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jc w:val="center"/>
        <w:rPr>
          <w:rFonts w:ascii="Times New Roman" w:hAnsi="Times New Roman" w:cs="Times New Roman" w:eastAsiaTheme="minorEastAsia"/>
          <w:b/>
          <w:caps w:val="0"/>
          <w:smallCaps w:val="0"/>
          <w:sz w:val="36"/>
          <w:szCs w:val="36"/>
        </w:rPr>
      </w:pPr>
    </w:p>
    <w:p>
      <w:pPr>
        <w:spacing w:line="360" w:lineRule="auto"/>
        <w:ind w:left="0" w:leftChars="0" w:firstLine="0" w:firstLineChars="0"/>
        <w:jc w:val="center"/>
        <w:rPr>
          <w:rFonts w:hint="eastAsia" w:ascii="Times New Roman" w:hAnsi="Times New Roman" w:cs="Times New Roman" w:eastAsiaTheme="minorEastAsia"/>
          <w:b/>
          <w:caps w:val="0"/>
          <w:smallCaps w:val="0"/>
          <w:sz w:val="36"/>
          <w:szCs w:val="36"/>
        </w:rPr>
      </w:pPr>
      <w:r>
        <w:rPr>
          <w:rFonts w:hint="eastAsia" w:ascii="Times New Roman" w:hAnsi="Times New Roman" w:cs="Times New Roman" w:eastAsiaTheme="minorEastAsia"/>
          <w:b/>
          <w:caps w:val="0"/>
          <w:smallCaps w:val="0"/>
          <w:sz w:val="36"/>
          <w:szCs w:val="36"/>
        </w:rPr>
        <w:t>湖南海丰物流老码头提质改造技改项目</w:t>
      </w:r>
    </w:p>
    <w:p>
      <w:pPr>
        <w:spacing w:line="360" w:lineRule="auto"/>
        <w:ind w:left="0" w:leftChars="0" w:firstLine="0" w:firstLineChars="0"/>
        <w:jc w:val="center"/>
        <w:rPr>
          <w:rFonts w:ascii="Times New Roman" w:hAnsi="Times New Roman" w:cs="Times New Roman" w:eastAsiaTheme="minorEastAsia"/>
          <w:b/>
          <w:caps w:val="0"/>
          <w:smallCaps w:val="0"/>
          <w:sz w:val="36"/>
          <w:szCs w:val="36"/>
        </w:rPr>
      </w:pPr>
      <w:r>
        <w:rPr>
          <w:rFonts w:ascii="Times New Roman" w:hAnsi="Times New Roman" w:cs="Times New Roman" w:eastAsiaTheme="minorEastAsia"/>
          <w:b/>
          <w:caps w:val="0"/>
          <w:smallCaps w:val="0"/>
          <w:sz w:val="36"/>
          <w:szCs w:val="36"/>
        </w:rPr>
        <w:t>环境影响报告书</w:t>
      </w:r>
    </w:p>
    <w:p>
      <w:pPr>
        <w:spacing w:line="360" w:lineRule="auto"/>
        <w:ind w:left="0" w:leftChars="0" w:firstLine="0" w:firstLineChars="0"/>
        <w:jc w:val="center"/>
        <w:rPr>
          <w:rFonts w:ascii="Times New Roman" w:hAnsi="Times New Roman" w:cs="Times New Roman" w:eastAsiaTheme="minorEastAsia"/>
          <w:caps w:val="0"/>
          <w:smallCaps w:val="0"/>
          <w:sz w:val="36"/>
          <w:szCs w:val="36"/>
        </w:rPr>
      </w:pPr>
      <w:r>
        <w:rPr>
          <w:rFonts w:ascii="Times New Roman" w:hAnsi="Times New Roman" w:cs="Times New Roman" w:eastAsiaTheme="minorEastAsia"/>
          <w:b/>
          <w:caps w:val="0"/>
          <w:smallCaps w:val="0"/>
          <w:sz w:val="36"/>
          <w:szCs w:val="36"/>
        </w:rPr>
        <w:t>（</w:t>
      </w:r>
      <w:r>
        <w:rPr>
          <w:rFonts w:hint="eastAsia" w:cs="Times New Roman" w:eastAsiaTheme="minorEastAsia"/>
          <w:b/>
          <w:caps w:val="0"/>
          <w:smallCaps w:val="0"/>
          <w:sz w:val="36"/>
          <w:szCs w:val="36"/>
          <w:lang w:eastAsia="zh-CN"/>
        </w:rPr>
        <w:t>报批</w:t>
      </w:r>
      <w:r>
        <w:rPr>
          <w:rFonts w:ascii="Times New Roman" w:hAnsi="Times New Roman" w:cs="Times New Roman" w:eastAsiaTheme="minorEastAsia"/>
          <w:b/>
          <w:caps w:val="0"/>
          <w:smallCaps w:val="0"/>
          <w:sz w:val="36"/>
          <w:szCs w:val="36"/>
        </w:rPr>
        <w:t>稿）</w:t>
      </w: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bookmarkStart w:id="256" w:name="_GoBack"/>
      <w:bookmarkEnd w:id="256"/>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rPr>
          <w:rFonts w:ascii="Times New Roman" w:hAnsi="Times New Roman" w:cs="Times New Roman" w:eastAsiaTheme="minorEastAsia"/>
          <w:caps w:val="0"/>
          <w:smallCaps w:val="0"/>
          <w:sz w:val="24"/>
          <w:szCs w:val="24"/>
        </w:rPr>
      </w:pPr>
    </w:p>
    <w:p>
      <w:pPr>
        <w:spacing w:line="360" w:lineRule="auto"/>
        <w:ind w:left="0" w:leftChars="0" w:firstLine="1280" w:firstLineChars="400"/>
        <w:jc w:val="both"/>
        <w:rPr>
          <w:rFonts w:hint="eastAsia" w:ascii="Times New Roman" w:hAnsi="Times New Roman" w:cs="Times New Roman" w:eastAsiaTheme="minorEastAsia"/>
          <w:caps w:val="0"/>
          <w:smallCaps w:val="0"/>
          <w:sz w:val="32"/>
          <w:szCs w:val="32"/>
          <w:lang w:eastAsia="zh-CN"/>
        </w:rPr>
      </w:pPr>
      <w:r>
        <w:rPr>
          <w:rFonts w:hint="eastAsia" w:cs="Times New Roman" w:eastAsiaTheme="minorEastAsia"/>
          <w:caps w:val="0"/>
          <w:smallCaps w:val="0"/>
          <w:sz w:val="32"/>
          <w:szCs w:val="32"/>
          <w:lang w:eastAsia="zh-CN"/>
        </w:rPr>
        <w:t>建设单位：湖南海丰物流有限公司</w:t>
      </w:r>
    </w:p>
    <w:p>
      <w:pPr>
        <w:spacing w:line="360" w:lineRule="auto"/>
        <w:ind w:left="0" w:leftChars="0" w:firstLine="0" w:firstLineChars="0"/>
        <w:jc w:val="center"/>
        <w:rPr>
          <w:rFonts w:ascii="Times New Roman" w:hAnsi="Times New Roman" w:cs="Times New Roman" w:eastAsiaTheme="minorEastAsia"/>
          <w:caps w:val="0"/>
          <w:smallCaps w:val="0"/>
          <w:sz w:val="32"/>
          <w:szCs w:val="32"/>
        </w:rPr>
      </w:pPr>
      <w:r>
        <w:rPr>
          <w:rFonts w:hint="eastAsia" w:cs="Times New Roman" w:eastAsiaTheme="minorEastAsia"/>
          <w:caps w:val="0"/>
          <w:smallCaps w:val="0"/>
          <w:sz w:val="32"/>
          <w:szCs w:val="32"/>
          <w:lang w:eastAsia="zh-CN"/>
        </w:rPr>
        <w:t>编制单位：</w:t>
      </w:r>
      <w:r>
        <w:rPr>
          <w:rFonts w:hint="eastAsia" w:ascii="Times New Roman" w:hAnsi="Times New Roman" w:cs="Times New Roman" w:eastAsiaTheme="minorEastAsia"/>
          <w:caps w:val="0"/>
          <w:smallCaps w:val="0"/>
          <w:sz w:val="32"/>
          <w:szCs w:val="32"/>
        </w:rPr>
        <w:t>湖南美景环保科技咨询服务有限公司</w:t>
      </w:r>
    </w:p>
    <w:p>
      <w:pPr>
        <w:spacing w:line="360" w:lineRule="auto"/>
        <w:ind w:left="0" w:leftChars="0" w:firstLine="0" w:firstLineChars="0"/>
        <w:jc w:val="center"/>
        <w:rPr>
          <w:rFonts w:ascii="Times New Roman" w:hAnsi="Times New Roman" w:cs="Times New Roman" w:eastAsiaTheme="minorEastAsia"/>
          <w:caps w:val="0"/>
          <w:smallCaps w:val="0"/>
          <w:sz w:val="32"/>
          <w:szCs w:val="32"/>
        </w:rPr>
      </w:pPr>
      <w:r>
        <w:rPr>
          <w:rFonts w:ascii="Times New Roman" w:hAnsi="Times New Roman" w:cs="Times New Roman" w:eastAsiaTheme="minorEastAsia"/>
          <w:caps w:val="0"/>
          <w:smallCaps w:val="0"/>
          <w:sz w:val="32"/>
          <w:szCs w:val="32"/>
        </w:rPr>
        <w:t>202</w:t>
      </w:r>
      <w:r>
        <w:rPr>
          <w:rFonts w:hint="eastAsia" w:cs="Times New Roman" w:eastAsiaTheme="minorEastAsia"/>
          <w:caps w:val="0"/>
          <w:smallCaps w:val="0"/>
          <w:sz w:val="32"/>
          <w:szCs w:val="32"/>
          <w:lang w:val="en-US" w:eastAsia="zh-CN"/>
        </w:rPr>
        <w:t>2</w:t>
      </w:r>
      <w:r>
        <w:rPr>
          <w:rFonts w:ascii="Times New Roman" w:hAnsi="Times New Roman" w:cs="Times New Roman" w:eastAsiaTheme="minorEastAsia"/>
          <w:caps w:val="0"/>
          <w:smallCaps w:val="0"/>
          <w:sz w:val="32"/>
          <w:szCs w:val="32"/>
        </w:rPr>
        <w:t>年</w:t>
      </w:r>
      <w:r>
        <w:rPr>
          <w:rFonts w:hint="eastAsia" w:cs="Times New Roman" w:eastAsiaTheme="minorEastAsia"/>
          <w:caps w:val="0"/>
          <w:smallCaps w:val="0"/>
          <w:sz w:val="32"/>
          <w:szCs w:val="32"/>
          <w:lang w:val="en-US" w:eastAsia="zh-CN"/>
        </w:rPr>
        <w:t>5</w:t>
      </w:r>
      <w:r>
        <w:rPr>
          <w:rFonts w:ascii="Times New Roman" w:hAnsi="Times New Roman" w:cs="Times New Roman" w:eastAsiaTheme="minorEastAsia"/>
          <w:caps w:val="0"/>
          <w:smallCaps w:val="0"/>
          <w:sz w:val="32"/>
          <w:szCs w:val="32"/>
        </w:rPr>
        <w:t>月</w:t>
      </w:r>
    </w:p>
    <w:p>
      <w:pPr>
        <w:pStyle w:val="107"/>
        <w:adjustRightInd w:val="0"/>
        <w:snapToGrid w:val="0"/>
        <w:spacing w:before="0" w:beforeAutospacing="0" w:after="0" w:afterAutospacing="0" w:line="360" w:lineRule="auto"/>
        <w:jc w:val="center"/>
        <w:rPr>
          <w:rFonts w:ascii="Times New Roman" w:hAnsi="Times New Roman" w:cs="Times New Roman" w:eastAsiaTheme="minorEastAsia"/>
          <w:b/>
          <w:caps w:val="0"/>
          <w:smallCaps w:val="0"/>
          <w:sz w:val="38"/>
          <w:szCs w:val="38"/>
        </w:rPr>
        <w:sectPr>
          <w:headerReference r:id="rId5" w:type="default"/>
          <w:footerReference r:id="rId6" w:type="default"/>
          <w:pgSz w:w="11906" w:h="16838"/>
          <w:pgMar w:top="1418" w:right="1418" w:bottom="1418" w:left="1418"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pPr>
        <w:pStyle w:val="69"/>
        <w:sectPr>
          <w:footerReference r:id="rId7" w:type="default"/>
          <w:pgSz w:w="16838" w:h="11906" w:orient="landscape"/>
          <w:pgMar w:top="1418" w:right="1418" w:bottom="1418" w:left="1418"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ascii="宋体" w:hAnsi="宋体" w:eastAsia="宋体" w:cs="宋体"/>
          <w:sz w:val="24"/>
          <w:szCs w:val="24"/>
        </w:rPr>
        <w:drawing>
          <wp:inline distT="0" distB="0" distL="114300" distR="114300">
            <wp:extent cx="8136890" cy="5750560"/>
            <wp:effectExtent l="0" t="0" r="16510" b="2540"/>
            <wp:docPr id="30"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descr="IMG_256"/>
                    <pic:cNvPicPr>
                      <a:picLocks noChangeAspect="1"/>
                    </pic:cNvPicPr>
                  </pic:nvPicPr>
                  <pic:blipFill>
                    <a:blip r:embed="rId24"/>
                    <a:stretch>
                      <a:fillRect/>
                    </a:stretch>
                  </pic:blipFill>
                  <pic:spPr>
                    <a:xfrm rot="10800000">
                      <a:off x="0" y="0"/>
                      <a:ext cx="8136890" cy="5750560"/>
                    </a:xfrm>
                    <a:prstGeom prst="rect">
                      <a:avLst/>
                    </a:prstGeom>
                    <a:noFill/>
                    <a:ln w="9525">
                      <a:noFill/>
                    </a:ln>
                  </pic:spPr>
                </pic:pic>
              </a:graphicData>
            </a:graphic>
          </wp:inline>
        </w:drawing>
      </w:r>
    </w:p>
    <w:p>
      <w:pPr>
        <w:ind w:left="0" w:leftChars="0" w:firstLine="0" w:firstLineChars="0"/>
        <w:jc w:val="center"/>
        <w:rPr>
          <w:rFonts w:hint="eastAsia" w:eastAsia="宋体"/>
          <w:lang w:eastAsia="zh-CN"/>
        </w:rPr>
        <w:sectPr>
          <w:pgSz w:w="11906" w:h="16838"/>
          <w:pgMar w:top="1418" w:right="1418" w:bottom="1418" w:left="1418"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eastAsia="宋体"/>
          <w:lang w:eastAsia="zh-CN"/>
        </w:rPr>
        <w:drawing>
          <wp:inline distT="0" distB="0" distL="114300" distR="114300">
            <wp:extent cx="7778115" cy="5498465"/>
            <wp:effectExtent l="0" t="0" r="6985" b="13335"/>
            <wp:docPr id="16" name="图片 16" descr="20211230012350725_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211230012350725_0001"/>
                    <pic:cNvPicPr>
                      <a:picLocks noChangeAspect="1"/>
                    </pic:cNvPicPr>
                  </pic:nvPicPr>
                  <pic:blipFill>
                    <a:blip r:embed="rId25"/>
                    <a:stretch>
                      <a:fillRect/>
                    </a:stretch>
                  </pic:blipFill>
                  <pic:spPr>
                    <a:xfrm rot="16200000">
                      <a:off x="0" y="0"/>
                      <a:ext cx="7778115" cy="5498465"/>
                    </a:xfrm>
                    <a:prstGeom prst="rect">
                      <a:avLst/>
                    </a:prstGeom>
                  </pic:spPr>
                </pic:pic>
              </a:graphicData>
            </a:graphic>
          </wp:inline>
        </w:drawing>
      </w:r>
      <w:r>
        <w:rPr>
          <w:rFonts w:hint="eastAsia" w:eastAsia="宋体"/>
          <w:lang w:eastAsia="zh-CN"/>
        </w:rPr>
        <w:drawing>
          <wp:inline distT="0" distB="0" distL="114300" distR="114300">
            <wp:extent cx="5755005" cy="8141335"/>
            <wp:effectExtent l="0" t="0" r="17145" b="12065"/>
            <wp:docPr id="8" name="图片 8" descr="20211230012350725_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211230012350725_0002"/>
                    <pic:cNvPicPr>
                      <a:picLocks noChangeAspect="1"/>
                    </pic:cNvPicPr>
                  </pic:nvPicPr>
                  <pic:blipFill>
                    <a:blip r:embed="rId26"/>
                    <a:stretch>
                      <a:fillRect/>
                    </a:stretch>
                  </pic:blipFill>
                  <pic:spPr>
                    <a:xfrm>
                      <a:off x="0" y="0"/>
                      <a:ext cx="5755005" cy="8141335"/>
                    </a:xfrm>
                    <a:prstGeom prst="rect">
                      <a:avLst/>
                    </a:prstGeom>
                  </pic:spPr>
                </pic:pic>
              </a:graphicData>
            </a:graphic>
          </wp:inline>
        </w:drawing>
      </w:r>
    </w:p>
    <w:p>
      <w:pPr>
        <w:pStyle w:val="2"/>
        <w:ind w:left="0" w:leftChars="0" w:firstLine="0" w:firstLineChars="0"/>
        <w:rPr>
          <w:rFonts w:hint="eastAsia"/>
          <w:lang w:eastAsia="zh-CN"/>
        </w:rPr>
        <w:sectPr>
          <w:pgSz w:w="11906" w:h="16838"/>
          <w:pgMar w:top="1418" w:right="1418" w:bottom="1418" w:left="1418"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lang w:eastAsia="zh-CN"/>
        </w:rPr>
        <w:drawing>
          <wp:anchor distT="0" distB="0" distL="114300" distR="114300" simplePos="0" relativeHeight="251694080" behindDoc="0" locked="0" layoutInCell="1" allowOverlap="1">
            <wp:simplePos x="0" y="0"/>
            <wp:positionH relativeFrom="column">
              <wp:posOffset>-196215</wp:posOffset>
            </wp:positionH>
            <wp:positionV relativeFrom="paragraph">
              <wp:posOffset>55245</wp:posOffset>
            </wp:positionV>
            <wp:extent cx="6155690" cy="8789035"/>
            <wp:effectExtent l="0" t="0" r="16510" b="12065"/>
            <wp:wrapTopAndBottom/>
            <wp:docPr id="26" name="图片 26" descr="763969aa9bbd259b1c685833b1c9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763969aa9bbd259b1c685833b1c9510"/>
                    <pic:cNvPicPr>
                      <a:picLocks noChangeAspect="1"/>
                    </pic:cNvPicPr>
                  </pic:nvPicPr>
                  <pic:blipFill>
                    <a:blip r:embed="rId27"/>
                    <a:stretch>
                      <a:fillRect/>
                    </a:stretch>
                  </pic:blipFill>
                  <pic:spPr>
                    <a:xfrm>
                      <a:off x="0" y="0"/>
                      <a:ext cx="6155690" cy="8789035"/>
                    </a:xfrm>
                    <a:prstGeom prst="rect">
                      <a:avLst/>
                    </a:prstGeom>
                  </pic:spPr>
                </pic:pic>
              </a:graphicData>
            </a:graphic>
          </wp:anchor>
        </w:drawing>
      </w:r>
    </w:p>
    <w:p>
      <w:pPr>
        <w:jc w:val="center"/>
        <w:rPr>
          <w:rFonts w:ascii="Times New Roman" w:hAnsi="Times New Roman" w:cs="Times New Roman" w:eastAsiaTheme="minorEastAsia"/>
          <w:b/>
          <w:caps w:val="0"/>
          <w:smallCaps w:val="0"/>
          <w:sz w:val="36"/>
          <w:szCs w:val="36"/>
        </w:rPr>
      </w:pPr>
      <w:r>
        <w:rPr>
          <w:rFonts w:ascii="Times New Roman" w:hAnsi="Times New Roman" w:cs="Times New Roman" w:eastAsiaTheme="minorEastAsia"/>
          <w:b/>
          <w:caps w:val="0"/>
          <w:smallCaps w:val="0"/>
          <w:sz w:val="36"/>
          <w:szCs w:val="36"/>
        </w:rPr>
        <w:t>目录</w:t>
      </w:r>
    </w:p>
    <w:p>
      <w:pPr>
        <w:pStyle w:val="44"/>
        <w:tabs>
          <w:tab w:val="right" w:leader="dot" w:pos="9070"/>
        </w:tabs>
      </w:pPr>
      <w:r>
        <w:rPr>
          <w:rFonts w:ascii="Times New Roman" w:hAnsi="Times New Roman" w:cs="Times New Roman"/>
          <w:b w:val="0"/>
          <w:bCs w:val="0"/>
          <w:caps w:val="0"/>
          <w:smallCaps w:val="0"/>
          <w:sz w:val="24"/>
          <w:szCs w:val="24"/>
          <w:highlight w:val="yellow"/>
        </w:rPr>
        <w:fldChar w:fldCharType="begin"/>
      </w:r>
      <w:r>
        <w:rPr>
          <w:rFonts w:ascii="Times New Roman" w:hAnsi="Times New Roman" w:cs="Times New Roman"/>
          <w:b w:val="0"/>
          <w:caps w:val="0"/>
          <w:smallCaps w:val="0"/>
          <w:sz w:val="24"/>
          <w:szCs w:val="24"/>
          <w:highlight w:val="yellow"/>
        </w:rPr>
        <w:instrText xml:space="preserve">TOC\o"1-2"\h\z\u</w:instrText>
      </w:r>
      <w:r>
        <w:rPr>
          <w:rFonts w:ascii="Times New Roman" w:hAnsi="Times New Roman" w:cs="Times New Roman"/>
          <w:b w:val="0"/>
          <w:bCs w:val="0"/>
          <w:caps w:val="0"/>
          <w:smallCaps w:val="0"/>
          <w:sz w:val="24"/>
          <w:szCs w:val="24"/>
          <w:highlight w:val="yellow"/>
        </w:rPr>
        <w:fldChar w:fldCharType="separate"/>
      </w:r>
      <w:r>
        <w:rPr>
          <w:rFonts w:ascii="Times New Roman" w:hAnsi="Times New Roman" w:cs="Times New Roman"/>
          <w:bCs w:val="0"/>
          <w:caps w:val="0"/>
          <w:smallCaps w:val="0"/>
          <w:szCs w:val="24"/>
          <w:highlight w:val="yellow"/>
        </w:rPr>
        <w:fldChar w:fldCharType="begin"/>
      </w:r>
      <w:r>
        <w:rPr>
          <w:rFonts w:ascii="Times New Roman" w:hAnsi="Times New Roman" w:cs="Times New Roman"/>
          <w:bCs w:val="0"/>
          <w:caps w:val="0"/>
          <w:smallCaps w:val="0"/>
          <w:szCs w:val="24"/>
          <w:highlight w:val="yellow"/>
        </w:rPr>
        <w:instrText xml:space="preserve"> HYPERLINK \l _Toc28230 </w:instrText>
      </w:r>
      <w:r>
        <w:rPr>
          <w:rFonts w:ascii="Times New Roman" w:hAnsi="Times New Roman" w:cs="Times New Roman"/>
          <w:bCs w:val="0"/>
          <w:caps w:val="0"/>
          <w:smallCaps w:val="0"/>
          <w:szCs w:val="24"/>
          <w:highlight w:val="yellow"/>
        </w:rPr>
        <w:fldChar w:fldCharType="separate"/>
      </w:r>
      <w:r>
        <w:rPr>
          <w:rFonts w:hint="eastAsia" w:ascii="Times New Roman" w:hAnsi="Times New Roman" w:cs="Times New Roman" w:eastAsiaTheme="minorEastAsia"/>
          <w:caps w:val="0"/>
          <w:smallCaps w:val="0"/>
          <w:szCs w:val="32"/>
        </w:rPr>
        <w:t xml:space="preserve">1 </w:t>
      </w:r>
      <w:r>
        <w:rPr>
          <w:rFonts w:ascii="Times New Roman" w:hAnsi="Times New Roman" w:cs="Times New Roman" w:eastAsiaTheme="minorEastAsia"/>
          <w:caps w:val="0"/>
          <w:smallCaps w:val="0"/>
          <w:szCs w:val="32"/>
        </w:rPr>
        <w:t>概述</w:t>
      </w:r>
      <w:r>
        <w:tab/>
      </w:r>
      <w:r>
        <w:fldChar w:fldCharType="begin"/>
      </w:r>
      <w:r>
        <w:instrText xml:space="preserve"> PAGEREF _Toc28230 \h </w:instrText>
      </w:r>
      <w:r>
        <w:fldChar w:fldCharType="separate"/>
      </w:r>
      <w:r>
        <w:t>1</w:t>
      </w:r>
      <w:r>
        <w:fldChar w:fldCharType="end"/>
      </w:r>
      <w:r>
        <w:rPr>
          <w:rFonts w:ascii="Times New Roman" w:hAnsi="Times New Roman" w:cs="Times New Roman"/>
          <w:bCs w:val="0"/>
          <w:caps w:val="0"/>
          <w:smallCaps w:val="0"/>
          <w:szCs w:val="24"/>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_Toc15394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1.1 </w:t>
      </w:r>
      <w:r>
        <w:rPr>
          <w:rFonts w:ascii="Times New Roman" w:hAnsi="Times New Roman" w:cs="Times New Roman" w:eastAsiaTheme="minorEastAsia"/>
          <w:caps w:val="0"/>
          <w:smallCaps w:val="0"/>
        </w:rPr>
        <w:t>项目由来</w:t>
      </w:r>
      <w:r>
        <w:tab/>
      </w:r>
      <w:r>
        <w:fldChar w:fldCharType="begin"/>
      </w:r>
      <w:r>
        <w:instrText xml:space="preserve"> PAGEREF _Toc15394 \h </w:instrText>
      </w:r>
      <w:r>
        <w:fldChar w:fldCharType="separate"/>
      </w:r>
      <w:r>
        <w:t>1</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_Toc6244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1.2 </w:t>
      </w:r>
      <w:r>
        <w:rPr>
          <w:rFonts w:ascii="Times New Roman" w:hAnsi="Times New Roman" w:cs="Times New Roman" w:eastAsiaTheme="minorEastAsia"/>
          <w:caps w:val="0"/>
          <w:smallCaps w:val="0"/>
        </w:rPr>
        <w:t>项目特点</w:t>
      </w:r>
      <w:r>
        <w:tab/>
      </w:r>
      <w:r>
        <w:fldChar w:fldCharType="begin"/>
      </w:r>
      <w:r>
        <w:instrText xml:space="preserve"> PAGEREF _Toc6244 \h </w:instrText>
      </w:r>
      <w:r>
        <w:fldChar w:fldCharType="separate"/>
      </w:r>
      <w:r>
        <w:t>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_Toc4560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1.3 </w:t>
      </w:r>
      <w:r>
        <w:rPr>
          <w:rFonts w:ascii="Times New Roman" w:hAnsi="Times New Roman" w:cs="Times New Roman" w:eastAsiaTheme="minorEastAsia"/>
          <w:caps w:val="0"/>
          <w:smallCaps w:val="0"/>
        </w:rPr>
        <w:t>环境影响评价工作过程</w:t>
      </w:r>
      <w:r>
        <w:tab/>
      </w:r>
      <w:r>
        <w:fldChar w:fldCharType="begin"/>
      </w:r>
      <w:r>
        <w:instrText xml:space="preserve"> PAGEREF _Toc4560 \h </w:instrText>
      </w:r>
      <w:r>
        <w:fldChar w:fldCharType="separate"/>
      </w:r>
      <w:r>
        <w:t>3</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_Toc7138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1.4 </w:t>
      </w:r>
      <w:r>
        <w:rPr>
          <w:rFonts w:ascii="Times New Roman" w:hAnsi="Times New Roman" w:cs="Times New Roman" w:eastAsiaTheme="minorEastAsia"/>
          <w:caps w:val="0"/>
          <w:smallCaps w:val="0"/>
        </w:rPr>
        <w:t>分析判定相关情况</w:t>
      </w:r>
      <w:r>
        <w:tab/>
      </w:r>
      <w:r>
        <w:fldChar w:fldCharType="begin"/>
      </w:r>
      <w:r>
        <w:instrText xml:space="preserve"> PAGEREF _Toc7138 \h </w:instrText>
      </w:r>
      <w:r>
        <w:fldChar w:fldCharType="separate"/>
      </w:r>
      <w:r>
        <w:t>3</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_Toc30682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1.5 </w:t>
      </w:r>
      <w:r>
        <w:rPr>
          <w:rFonts w:hint="eastAsia" w:cs="Times New Roman" w:eastAsiaTheme="minorEastAsia"/>
          <w:caps w:val="0"/>
          <w:smallCaps w:val="0"/>
          <w:lang w:eastAsia="zh-CN"/>
        </w:rPr>
        <w:t>环境制约因素及解决方案</w:t>
      </w:r>
      <w:r>
        <w:tab/>
      </w:r>
      <w:r>
        <w:fldChar w:fldCharType="begin"/>
      </w:r>
      <w:r>
        <w:instrText xml:space="preserve"> PAGEREF _Toc30682 \h </w:instrText>
      </w:r>
      <w:r>
        <w:fldChar w:fldCharType="separate"/>
      </w:r>
      <w:r>
        <w:t>12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_Toc7638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1.6 </w:t>
      </w:r>
      <w:r>
        <w:rPr>
          <w:rFonts w:ascii="Times New Roman" w:hAnsi="Times New Roman" w:cs="Times New Roman" w:eastAsiaTheme="minorEastAsia"/>
          <w:caps w:val="0"/>
          <w:smallCaps w:val="0"/>
        </w:rPr>
        <w:t>项目关注的主要环境问题</w:t>
      </w:r>
      <w:r>
        <w:tab/>
      </w:r>
      <w:r>
        <w:fldChar w:fldCharType="begin"/>
      </w:r>
      <w:r>
        <w:instrText xml:space="preserve"> PAGEREF _Toc7638 \h </w:instrText>
      </w:r>
      <w:r>
        <w:fldChar w:fldCharType="separate"/>
      </w:r>
      <w:r>
        <w:t>12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_Toc17644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1.7 </w:t>
      </w:r>
      <w:r>
        <w:rPr>
          <w:rFonts w:ascii="Times New Roman" w:hAnsi="Times New Roman" w:cs="Times New Roman" w:eastAsiaTheme="minorEastAsia"/>
          <w:caps w:val="0"/>
          <w:smallCaps w:val="0"/>
        </w:rPr>
        <w:t>环评主要结论</w:t>
      </w:r>
      <w:r>
        <w:tab/>
      </w:r>
      <w:r>
        <w:fldChar w:fldCharType="begin"/>
      </w:r>
      <w:r>
        <w:instrText xml:space="preserve"> PAGEREF _Toc17644 \h </w:instrText>
      </w:r>
      <w:r>
        <w:fldChar w:fldCharType="separate"/>
      </w:r>
      <w:r>
        <w:t>13</w:t>
      </w:r>
      <w:r>
        <w:fldChar w:fldCharType="end"/>
      </w:r>
      <w:r>
        <w:rPr>
          <w:rFonts w:ascii="Times New Roman" w:hAnsi="Times New Roman" w:cs="Times New Roman"/>
          <w:caps w:val="0"/>
          <w:smallCaps w:val="0"/>
          <w:highlight w:val="yellow"/>
        </w:rPr>
        <w:fldChar w:fldCharType="end"/>
      </w:r>
    </w:p>
    <w:p>
      <w:pPr>
        <w:pStyle w:val="44"/>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_Toc28794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32"/>
        </w:rPr>
        <w:t xml:space="preserve">2 </w:t>
      </w:r>
      <w:r>
        <w:rPr>
          <w:rFonts w:ascii="Times New Roman" w:hAnsi="Times New Roman" w:cs="Times New Roman" w:eastAsiaTheme="minorEastAsia"/>
          <w:caps w:val="0"/>
          <w:smallCaps w:val="0"/>
          <w:szCs w:val="32"/>
        </w:rPr>
        <w:t>总则</w:t>
      </w:r>
      <w:r>
        <w:tab/>
      </w:r>
      <w:r>
        <w:fldChar w:fldCharType="begin"/>
      </w:r>
      <w:r>
        <w:instrText xml:space="preserve"> PAGEREF _Toc28794 \h </w:instrText>
      </w:r>
      <w:r>
        <w:fldChar w:fldCharType="separate"/>
      </w:r>
      <w:r>
        <w:t>14</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_Toc1933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2.1 </w:t>
      </w:r>
      <w:r>
        <w:rPr>
          <w:rFonts w:ascii="Times New Roman" w:hAnsi="Times New Roman" w:cs="Times New Roman" w:eastAsiaTheme="minorEastAsia"/>
          <w:caps w:val="0"/>
          <w:smallCaps w:val="0"/>
        </w:rPr>
        <w:t>编制依据</w:t>
      </w:r>
      <w:r>
        <w:tab/>
      </w:r>
      <w:r>
        <w:fldChar w:fldCharType="begin"/>
      </w:r>
      <w:r>
        <w:instrText xml:space="preserve"> PAGEREF _Toc1933 \h </w:instrText>
      </w:r>
      <w:r>
        <w:fldChar w:fldCharType="separate"/>
      </w:r>
      <w:r>
        <w:t>14</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_Toc16527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2.2 </w:t>
      </w:r>
      <w:r>
        <w:rPr>
          <w:rFonts w:ascii="Times New Roman" w:hAnsi="Times New Roman" w:cs="Times New Roman" w:eastAsiaTheme="minorEastAsia"/>
          <w:caps w:val="0"/>
          <w:smallCaps w:val="0"/>
        </w:rPr>
        <w:t>环境影响因素识别及评价因子筛选</w:t>
      </w:r>
      <w:r>
        <w:tab/>
      </w:r>
      <w:r>
        <w:fldChar w:fldCharType="begin"/>
      </w:r>
      <w:r>
        <w:instrText xml:space="preserve"> PAGEREF _Toc16527 \h </w:instrText>
      </w:r>
      <w:r>
        <w:fldChar w:fldCharType="separate"/>
      </w:r>
      <w:r>
        <w:t>19</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_Toc30854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2.3 </w:t>
      </w:r>
      <w:r>
        <w:rPr>
          <w:rFonts w:ascii="Times New Roman" w:hAnsi="Times New Roman" w:cs="Times New Roman" w:eastAsiaTheme="minorEastAsia"/>
          <w:caps w:val="0"/>
          <w:smallCaps w:val="0"/>
        </w:rPr>
        <w:t>评价工作重点</w:t>
      </w:r>
      <w:r>
        <w:tab/>
      </w:r>
      <w:r>
        <w:fldChar w:fldCharType="begin"/>
      </w:r>
      <w:r>
        <w:instrText xml:space="preserve"> PAGEREF _Toc30854 \h </w:instrText>
      </w:r>
      <w:r>
        <w:fldChar w:fldCharType="separate"/>
      </w:r>
      <w:r>
        <w:t>21</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_Toc20124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2.4 </w:t>
      </w:r>
      <w:r>
        <w:rPr>
          <w:rFonts w:ascii="Times New Roman" w:hAnsi="Times New Roman" w:cs="Times New Roman" w:eastAsiaTheme="minorEastAsia"/>
          <w:caps w:val="0"/>
          <w:smallCaps w:val="0"/>
        </w:rPr>
        <w:t>评价工作等级及范围</w:t>
      </w:r>
      <w:r>
        <w:tab/>
      </w:r>
      <w:r>
        <w:fldChar w:fldCharType="begin"/>
      </w:r>
      <w:r>
        <w:instrText xml:space="preserve"> PAGEREF _Toc20124 \h </w:instrText>
      </w:r>
      <w:r>
        <w:fldChar w:fldCharType="separate"/>
      </w:r>
      <w:r>
        <w:t>21</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_Toc7581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24"/>
        </w:rPr>
        <w:t xml:space="preserve">2.5 </w:t>
      </w:r>
      <w:r>
        <w:rPr>
          <w:rFonts w:ascii="Times New Roman" w:hAnsi="Times New Roman" w:cs="Times New Roman" w:eastAsiaTheme="minorEastAsia"/>
          <w:caps w:val="0"/>
          <w:smallCaps w:val="0"/>
        </w:rPr>
        <w:t>环境功能区划与评价标准</w:t>
      </w:r>
      <w:r>
        <w:tab/>
      </w:r>
      <w:r>
        <w:fldChar w:fldCharType="begin"/>
      </w:r>
      <w:r>
        <w:instrText xml:space="preserve"> PAGEREF _Toc7581 \h </w:instrText>
      </w:r>
      <w:r>
        <w:fldChar w:fldCharType="separate"/>
      </w:r>
      <w:r>
        <w:t>27</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_Toc6970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2.6 </w:t>
      </w:r>
      <w:r>
        <w:rPr>
          <w:rFonts w:ascii="Times New Roman" w:hAnsi="Times New Roman" w:cs="Times New Roman" w:eastAsiaTheme="minorEastAsia"/>
          <w:caps w:val="0"/>
          <w:smallCaps w:val="0"/>
        </w:rPr>
        <w:t>主要环境保护目标调查</w:t>
      </w:r>
      <w:r>
        <w:tab/>
      </w:r>
      <w:r>
        <w:fldChar w:fldCharType="begin"/>
      </w:r>
      <w:r>
        <w:instrText xml:space="preserve"> PAGEREF _Toc6970 \h </w:instrText>
      </w:r>
      <w:r>
        <w:fldChar w:fldCharType="separate"/>
      </w:r>
      <w:r>
        <w:t>34</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_Toc1839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2.7 </w:t>
      </w:r>
      <w:r>
        <w:rPr>
          <w:rFonts w:ascii="Times New Roman" w:hAnsi="Times New Roman" w:cs="Times New Roman" w:eastAsiaTheme="minorEastAsia"/>
          <w:caps w:val="0"/>
          <w:smallCaps w:val="0"/>
        </w:rPr>
        <w:t>评价工作程序</w:t>
      </w:r>
      <w:r>
        <w:tab/>
      </w:r>
      <w:r>
        <w:fldChar w:fldCharType="begin"/>
      </w:r>
      <w:r>
        <w:instrText xml:space="preserve"> PAGEREF _Toc1839 \h </w:instrText>
      </w:r>
      <w:r>
        <w:fldChar w:fldCharType="separate"/>
      </w:r>
      <w:r>
        <w:t>36</w:t>
      </w:r>
      <w:r>
        <w:fldChar w:fldCharType="end"/>
      </w:r>
      <w:r>
        <w:rPr>
          <w:rFonts w:ascii="Times New Roman" w:hAnsi="Times New Roman" w:cs="Times New Roman"/>
          <w:caps w:val="0"/>
          <w:smallCaps w:val="0"/>
          <w:highlight w:val="yellow"/>
        </w:rPr>
        <w:fldChar w:fldCharType="end"/>
      </w:r>
    </w:p>
    <w:p>
      <w:pPr>
        <w:pStyle w:val="44"/>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_Toc26333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32"/>
        </w:rPr>
        <w:t xml:space="preserve">3 </w:t>
      </w:r>
      <w:r>
        <w:rPr>
          <w:rFonts w:ascii="Times New Roman" w:hAnsi="Times New Roman" w:cs="Times New Roman" w:eastAsiaTheme="minorEastAsia"/>
          <w:caps w:val="0"/>
          <w:smallCaps w:val="0"/>
          <w:szCs w:val="32"/>
        </w:rPr>
        <w:t>工程概况及工程环境影响分析</w:t>
      </w:r>
      <w:r>
        <w:tab/>
      </w:r>
      <w:r>
        <w:fldChar w:fldCharType="begin"/>
      </w:r>
      <w:r>
        <w:instrText xml:space="preserve"> PAGEREF _Toc26333 \h </w:instrText>
      </w:r>
      <w:r>
        <w:fldChar w:fldCharType="separate"/>
      </w:r>
      <w:r>
        <w:t>38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_Toc10078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3.1 </w:t>
      </w:r>
      <w:r>
        <w:rPr>
          <w:rFonts w:hint="eastAsia" w:cs="Times New Roman" w:eastAsiaTheme="minorEastAsia"/>
          <w:caps w:val="0"/>
          <w:smallCaps w:val="0"/>
          <w:lang w:eastAsia="zh-CN"/>
        </w:rPr>
        <w:t>汨罗港区推山咀岸段</w:t>
      </w:r>
      <w:r>
        <w:rPr>
          <w:rFonts w:ascii="Times New Roman" w:hAnsi="Times New Roman" w:cs="Times New Roman" w:eastAsiaTheme="minorEastAsia"/>
          <w:caps w:val="0"/>
          <w:smallCaps w:val="0"/>
        </w:rPr>
        <w:t>概况</w:t>
      </w:r>
      <w:r>
        <w:tab/>
      </w:r>
      <w:r>
        <w:fldChar w:fldCharType="begin"/>
      </w:r>
      <w:r>
        <w:instrText xml:space="preserve"> PAGEREF _Toc10078 \h </w:instrText>
      </w:r>
      <w:r>
        <w:fldChar w:fldCharType="separate"/>
      </w:r>
      <w:r>
        <w:t>38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_Toc10416 </w:instrText>
      </w:r>
      <w:r>
        <w:rPr>
          <w:rFonts w:ascii="Times New Roman" w:hAnsi="Times New Roman" w:cs="Times New Roman"/>
          <w:caps w:val="0"/>
          <w:smallCaps w:val="0"/>
          <w:highlight w:val="yellow"/>
        </w:rPr>
        <w:fldChar w:fldCharType="separate"/>
      </w:r>
      <w:r>
        <w:rPr>
          <w:rFonts w:hint="eastAsia"/>
        </w:rPr>
        <w:t xml:space="preserve">3.2 </w:t>
      </w:r>
      <w:r>
        <w:rPr>
          <w:rFonts w:hint="eastAsia"/>
          <w:lang w:eastAsia="zh-CN"/>
        </w:rPr>
        <w:t>现有老码头情况</w:t>
      </w:r>
      <w:r>
        <w:tab/>
      </w:r>
      <w:r>
        <w:fldChar w:fldCharType="begin"/>
      </w:r>
      <w:r>
        <w:instrText xml:space="preserve"> PAGEREF _Toc10416 \h </w:instrText>
      </w:r>
      <w:r>
        <w:fldChar w:fldCharType="separate"/>
      </w:r>
      <w:r>
        <w:t>38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_Toc30704 </w:instrText>
      </w:r>
      <w:r>
        <w:rPr>
          <w:rFonts w:ascii="Times New Roman" w:hAnsi="Times New Roman" w:cs="Times New Roman"/>
          <w:caps w:val="0"/>
          <w:smallCaps w:val="0"/>
          <w:highlight w:val="yellow"/>
        </w:rPr>
        <w:fldChar w:fldCharType="separate"/>
      </w:r>
      <w:r>
        <w:rPr>
          <w:rFonts w:hint="eastAsia"/>
        </w:rPr>
        <w:t>3.3 现有罐区概况</w:t>
      </w:r>
      <w:r>
        <w:tab/>
      </w:r>
      <w:r>
        <w:fldChar w:fldCharType="begin"/>
      </w:r>
      <w:r>
        <w:instrText xml:space="preserve"> PAGEREF _Toc30704 \h </w:instrText>
      </w:r>
      <w:r>
        <w:fldChar w:fldCharType="separate"/>
      </w:r>
      <w:r>
        <w:t>41</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_Toc32123 </w:instrText>
      </w:r>
      <w:r>
        <w:rPr>
          <w:rFonts w:ascii="Times New Roman" w:hAnsi="Times New Roman" w:cs="Times New Roman"/>
          <w:caps w:val="0"/>
          <w:smallCaps w:val="0"/>
          <w:highlight w:val="yellow"/>
        </w:rPr>
        <w:fldChar w:fldCharType="separate"/>
      </w:r>
      <w:r>
        <w:rPr>
          <w:rFonts w:hint="eastAsia"/>
        </w:rPr>
        <w:t>3.4 现有</w:t>
      </w:r>
      <w:r>
        <w:rPr>
          <w:rFonts w:hint="eastAsia"/>
          <w:lang w:eastAsia="zh-CN"/>
        </w:rPr>
        <w:t>工程污染物排放情况</w:t>
      </w:r>
      <w:r>
        <w:tab/>
      </w:r>
      <w:r>
        <w:fldChar w:fldCharType="begin"/>
      </w:r>
      <w:r>
        <w:instrText xml:space="preserve"> PAGEREF _Toc32123 \h </w:instrText>
      </w:r>
      <w:r>
        <w:fldChar w:fldCharType="separate"/>
      </w:r>
      <w:r>
        <w:t>43</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_Toc3108 </w:instrText>
      </w:r>
      <w:r>
        <w:rPr>
          <w:rFonts w:ascii="Times New Roman" w:hAnsi="Times New Roman" w:cs="Times New Roman"/>
          <w:caps w:val="0"/>
          <w:smallCaps w:val="0"/>
          <w:highlight w:val="yellow"/>
        </w:rPr>
        <w:fldChar w:fldCharType="separate"/>
      </w:r>
      <w:r>
        <w:rPr>
          <w:rFonts w:hint="eastAsia"/>
        </w:rPr>
        <w:t>3.5 现有</w:t>
      </w:r>
      <w:r>
        <w:t>工程存在的主要环境问题及“</w:t>
      </w:r>
      <w:r>
        <w:rPr>
          <w:rFonts w:hint="eastAsia"/>
        </w:rPr>
        <w:t>以新带老</w:t>
      </w:r>
      <w:r>
        <w:t>”</w:t>
      </w:r>
      <w:r>
        <w:rPr>
          <w:rFonts w:hint="eastAsia"/>
        </w:rPr>
        <w:t>整改</w:t>
      </w:r>
      <w:r>
        <w:t>措施</w:t>
      </w:r>
      <w:r>
        <w:tab/>
      </w:r>
      <w:r>
        <w:fldChar w:fldCharType="begin"/>
      </w:r>
      <w:r>
        <w:instrText xml:space="preserve"> PAGEREF _Toc3108 \h </w:instrText>
      </w:r>
      <w:r>
        <w:fldChar w:fldCharType="separate"/>
      </w:r>
      <w:r>
        <w:t>48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_Toc22203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3.6 </w:t>
      </w:r>
      <w:r>
        <w:rPr>
          <w:rFonts w:ascii="Times New Roman" w:hAnsi="Times New Roman" w:cs="Times New Roman" w:eastAsiaTheme="minorEastAsia"/>
          <w:caps w:val="0"/>
          <w:smallCaps w:val="0"/>
        </w:rPr>
        <w:t>提质改造工程概况</w:t>
      </w:r>
      <w:r>
        <w:tab/>
      </w:r>
      <w:r>
        <w:fldChar w:fldCharType="begin"/>
      </w:r>
      <w:r>
        <w:instrText xml:space="preserve"> PAGEREF _Toc22203 \h </w:instrText>
      </w:r>
      <w:r>
        <w:fldChar w:fldCharType="separate"/>
      </w:r>
      <w:r>
        <w:t>50</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_Toc22004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3.7 </w:t>
      </w:r>
      <w:r>
        <w:rPr>
          <w:rFonts w:ascii="Times New Roman" w:hAnsi="Times New Roman" w:cs="Times New Roman" w:eastAsiaTheme="minorEastAsia"/>
          <w:caps w:val="0"/>
          <w:smallCaps w:val="0"/>
        </w:rPr>
        <w:t>工程分析</w:t>
      </w:r>
      <w:r>
        <w:tab/>
      </w:r>
      <w:r>
        <w:fldChar w:fldCharType="begin"/>
      </w:r>
      <w:r>
        <w:instrText xml:space="preserve"> PAGEREF _Toc22004 \h </w:instrText>
      </w:r>
      <w:r>
        <w:fldChar w:fldCharType="separate"/>
      </w:r>
      <w:r>
        <w:t>66</w:t>
      </w:r>
      <w:r>
        <w:fldChar w:fldCharType="end"/>
      </w:r>
      <w:r>
        <w:rPr>
          <w:rFonts w:ascii="Times New Roman" w:hAnsi="Times New Roman" w:cs="Times New Roman"/>
          <w:caps w:val="0"/>
          <w:smallCaps w:val="0"/>
          <w:highlight w:val="yellow"/>
        </w:rPr>
        <w:fldChar w:fldCharType="end"/>
      </w:r>
    </w:p>
    <w:p>
      <w:pPr>
        <w:pStyle w:val="44"/>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_Toc13121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32"/>
        </w:rPr>
        <w:t xml:space="preserve">4 </w:t>
      </w:r>
      <w:r>
        <w:rPr>
          <w:rFonts w:ascii="Times New Roman" w:hAnsi="Times New Roman" w:cs="Times New Roman" w:eastAsiaTheme="minorEastAsia"/>
          <w:caps w:val="0"/>
          <w:smallCaps w:val="0"/>
          <w:szCs w:val="32"/>
        </w:rPr>
        <w:t>环境质量现状调查与评价</w:t>
      </w:r>
      <w:r>
        <w:tab/>
      </w:r>
      <w:r>
        <w:fldChar w:fldCharType="begin"/>
      </w:r>
      <w:r>
        <w:instrText xml:space="preserve"> PAGEREF _Toc13121 \h </w:instrText>
      </w:r>
      <w:r>
        <w:fldChar w:fldCharType="separate"/>
      </w:r>
      <w:r>
        <w:t>85</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_Toc25248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4.1 </w:t>
      </w:r>
      <w:r>
        <w:rPr>
          <w:rFonts w:ascii="Times New Roman" w:hAnsi="Times New Roman" w:cs="Times New Roman" w:eastAsiaTheme="minorEastAsia"/>
          <w:caps w:val="0"/>
          <w:smallCaps w:val="0"/>
        </w:rPr>
        <w:t>自然环境概况</w:t>
      </w:r>
      <w:r>
        <w:tab/>
      </w:r>
      <w:r>
        <w:fldChar w:fldCharType="begin"/>
      </w:r>
      <w:r>
        <w:instrText xml:space="preserve"> PAGEREF _Toc25248 \h </w:instrText>
      </w:r>
      <w:r>
        <w:fldChar w:fldCharType="separate"/>
      </w:r>
      <w:r>
        <w:t>85</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_Toc13855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4.2 </w:t>
      </w:r>
      <w:r>
        <w:rPr>
          <w:rFonts w:hint="eastAsia" w:cs="Times New Roman" w:eastAsiaTheme="minorEastAsia"/>
          <w:caps w:val="0"/>
          <w:smallCaps w:val="0"/>
          <w:lang w:eastAsia="zh-CN"/>
        </w:rPr>
        <w:t>生态敏感区环境概况</w:t>
      </w:r>
      <w:r>
        <w:tab/>
      </w:r>
      <w:r>
        <w:fldChar w:fldCharType="begin"/>
      </w:r>
      <w:r>
        <w:instrText xml:space="preserve"> PAGEREF _Toc13855 \h </w:instrText>
      </w:r>
      <w:r>
        <w:fldChar w:fldCharType="separate"/>
      </w:r>
      <w:r>
        <w:t>93</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_Toc12417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4.3 </w:t>
      </w:r>
      <w:r>
        <w:rPr>
          <w:rFonts w:ascii="Times New Roman" w:hAnsi="Times New Roman" w:cs="Times New Roman" w:eastAsiaTheme="minorEastAsia"/>
          <w:caps w:val="0"/>
          <w:smallCaps w:val="0"/>
        </w:rPr>
        <w:t>地表水环境现状调查与评价</w:t>
      </w:r>
      <w:r>
        <w:tab/>
      </w:r>
      <w:r>
        <w:fldChar w:fldCharType="begin"/>
      </w:r>
      <w:r>
        <w:instrText xml:space="preserve"> PAGEREF _Toc12417 \h </w:instrText>
      </w:r>
      <w:r>
        <w:fldChar w:fldCharType="separate"/>
      </w:r>
      <w:r>
        <w:t>96</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_Toc21931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4.4 </w:t>
      </w:r>
      <w:r>
        <w:rPr>
          <w:rFonts w:ascii="Times New Roman" w:hAnsi="Times New Roman" w:cs="Times New Roman"/>
          <w:caps w:val="0"/>
          <w:smallCaps w:val="0"/>
        </w:rPr>
        <w:t>地下水环境现状调查与评价</w:t>
      </w:r>
      <w:r>
        <w:tab/>
      </w:r>
      <w:r>
        <w:fldChar w:fldCharType="begin"/>
      </w:r>
      <w:r>
        <w:instrText xml:space="preserve"> PAGEREF _Toc21931 \h </w:instrText>
      </w:r>
      <w:r>
        <w:fldChar w:fldCharType="separate"/>
      </w:r>
      <w:r>
        <w:t>98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_Toc4204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4.5 </w:t>
      </w:r>
      <w:r>
        <w:rPr>
          <w:rFonts w:ascii="Times New Roman" w:hAnsi="Times New Roman" w:cs="Times New Roman" w:eastAsiaTheme="minorEastAsia"/>
          <w:caps w:val="0"/>
          <w:smallCaps w:val="0"/>
        </w:rPr>
        <w:t>环境空气现状调查与评价</w:t>
      </w:r>
      <w:r>
        <w:tab/>
      </w:r>
      <w:r>
        <w:fldChar w:fldCharType="begin"/>
      </w:r>
      <w:r>
        <w:instrText xml:space="preserve"> PAGEREF _Toc4204 \h </w:instrText>
      </w:r>
      <w:r>
        <w:fldChar w:fldCharType="separate"/>
      </w:r>
      <w:r>
        <w:t>100</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_Toc27611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4.6 </w:t>
      </w:r>
      <w:r>
        <w:rPr>
          <w:rFonts w:ascii="Times New Roman" w:hAnsi="Times New Roman" w:cs="Times New Roman" w:eastAsiaTheme="minorEastAsia"/>
          <w:caps w:val="0"/>
          <w:smallCaps w:val="0"/>
        </w:rPr>
        <w:t>声环境现状调查与评价</w:t>
      </w:r>
      <w:r>
        <w:tab/>
      </w:r>
      <w:r>
        <w:fldChar w:fldCharType="begin"/>
      </w:r>
      <w:r>
        <w:instrText xml:space="preserve"> PAGEREF _Toc27611 \h </w:instrText>
      </w:r>
      <w:r>
        <w:fldChar w:fldCharType="separate"/>
      </w:r>
      <w:r>
        <w:t>104</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_Toc22317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4.7 </w:t>
      </w:r>
      <w:r>
        <w:rPr>
          <w:rFonts w:ascii="Times New Roman" w:hAnsi="Times New Roman" w:cs="Times New Roman"/>
          <w:caps w:val="0"/>
          <w:smallCaps w:val="0"/>
        </w:rPr>
        <w:t>土壤环境现状调查与评价</w:t>
      </w:r>
      <w:r>
        <w:tab/>
      </w:r>
      <w:r>
        <w:fldChar w:fldCharType="begin"/>
      </w:r>
      <w:r>
        <w:instrText xml:space="preserve"> PAGEREF _Toc22317 \h </w:instrText>
      </w:r>
      <w:r>
        <w:fldChar w:fldCharType="separate"/>
      </w:r>
      <w:r>
        <w:t>105</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_Toc31307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4.8 </w:t>
      </w:r>
      <w:r>
        <w:rPr>
          <w:rFonts w:ascii="Times New Roman" w:hAnsi="Times New Roman" w:cs="Times New Roman" w:eastAsiaTheme="minorEastAsia"/>
          <w:caps w:val="0"/>
          <w:smallCaps w:val="0"/>
        </w:rPr>
        <w:t>生态环境现状调查与评价</w:t>
      </w:r>
      <w:r>
        <w:tab/>
      </w:r>
      <w:r>
        <w:fldChar w:fldCharType="begin"/>
      </w:r>
      <w:r>
        <w:instrText xml:space="preserve"> PAGEREF _Toc31307 \h </w:instrText>
      </w:r>
      <w:r>
        <w:fldChar w:fldCharType="separate"/>
      </w:r>
      <w:r>
        <w:t>108</w:t>
      </w:r>
      <w:r>
        <w:fldChar w:fldCharType="end"/>
      </w:r>
      <w:r>
        <w:rPr>
          <w:rFonts w:ascii="Times New Roman" w:hAnsi="Times New Roman" w:cs="Times New Roman"/>
          <w:caps w:val="0"/>
          <w:smallCaps w:val="0"/>
          <w:highlight w:val="yellow"/>
        </w:rPr>
        <w:fldChar w:fldCharType="end"/>
      </w:r>
    </w:p>
    <w:p>
      <w:pPr>
        <w:pStyle w:val="44"/>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_Toc2020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32"/>
        </w:rPr>
        <w:t xml:space="preserve">5 </w:t>
      </w:r>
      <w:r>
        <w:rPr>
          <w:rFonts w:ascii="Times New Roman" w:hAnsi="Times New Roman" w:cs="Times New Roman" w:eastAsiaTheme="minorEastAsia"/>
          <w:caps w:val="0"/>
          <w:smallCaps w:val="0"/>
          <w:szCs w:val="32"/>
        </w:rPr>
        <w:t>环境影响预测与评价</w:t>
      </w:r>
      <w:r>
        <w:tab/>
      </w:r>
      <w:r>
        <w:fldChar w:fldCharType="begin"/>
      </w:r>
      <w:r>
        <w:instrText xml:space="preserve"> PAGEREF _Toc2020 \h </w:instrText>
      </w:r>
      <w:r>
        <w:fldChar w:fldCharType="separate"/>
      </w:r>
      <w:r>
        <w:t>126</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_Toc18348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5.1 </w:t>
      </w:r>
      <w:r>
        <w:rPr>
          <w:rFonts w:ascii="Times New Roman" w:hAnsi="Times New Roman" w:cs="Times New Roman" w:eastAsiaTheme="minorEastAsia"/>
          <w:caps w:val="0"/>
          <w:smallCaps w:val="0"/>
        </w:rPr>
        <w:t>地表水环境影响影响评价</w:t>
      </w:r>
      <w:r>
        <w:tab/>
      </w:r>
      <w:r>
        <w:fldChar w:fldCharType="begin"/>
      </w:r>
      <w:r>
        <w:instrText xml:space="preserve"> PAGEREF _Toc18348 \h </w:instrText>
      </w:r>
      <w:r>
        <w:fldChar w:fldCharType="separate"/>
      </w:r>
      <w:r>
        <w:t>126</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_Toc9806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5.2 </w:t>
      </w:r>
      <w:r>
        <w:rPr>
          <w:rFonts w:ascii="Times New Roman" w:hAnsi="Times New Roman" w:cs="Times New Roman" w:eastAsiaTheme="minorEastAsia"/>
          <w:caps w:val="0"/>
          <w:smallCaps w:val="0"/>
        </w:rPr>
        <w:t>地下水环境影响评价</w:t>
      </w:r>
      <w:r>
        <w:tab/>
      </w:r>
      <w:r>
        <w:fldChar w:fldCharType="begin"/>
      </w:r>
      <w:r>
        <w:instrText xml:space="preserve"> PAGEREF _Toc9806 \h </w:instrText>
      </w:r>
      <w:r>
        <w:fldChar w:fldCharType="separate"/>
      </w:r>
      <w:r>
        <w:t>140</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_Toc26987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5.3 </w:t>
      </w:r>
      <w:r>
        <w:rPr>
          <w:rFonts w:ascii="Times New Roman" w:hAnsi="Times New Roman" w:cs="Times New Roman" w:eastAsiaTheme="minorEastAsia"/>
          <w:caps w:val="0"/>
          <w:smallCaps w:val="0"/>
        </w:rPr>
        <w:t>环境空气影响评价</w:t>
      </w:r>
      <w:r>
        <w:tab/>
      </w:r>
      <w:r>
        <w:fldChar w:fldCharType="begin"/>
      </w:r>
      <w:r>
        <w:instrText xml:space="preserve"> PAGEREF _Toc26987 \h </w:instrText>
      </w:r>
      <w:r>
        <w:fldChar w:fldCharType="separate"/>
      </w:r>
      <w:r>
        <w:t>141</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_Toc6200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5.4 </w:t>
      </w:r>
      <w:r>
        <w:rPr>
          <w:rFonts w:ascii="Times New Roman" w:hAnsi="Times New Roman" w:cs="Times New Roman" w:eastAsiaTheme="minorEastAsia"/>
          <w:caps w:val="0"/>
          <w:smallCaps w:val="0"/>
        </w:rPr>
        <w:t>声环境影响评价</w:t>
      </w:r>
      <w:r>
        <w:tab/>
      </w:r>
      <w:r>
        <w:fldChar w:fldCharType="begin"/>
      </w:r>
      <w:r>
        <w:instrText xml:space="preserve"> PAGEREF _Toc6200 \h </w:instrText>
      </w:r>
      <w:r>
        <w:fldChar w:fldCharType="separate"/>
      </w:r>
      <w:r>
        <w:t>145</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_Toc9171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24"/>
        </w:rPr>
        <w:t xml:space="preserve">5.5 </w:t>
      </w:r>
      <w:r>
        <w:rPr>
          <w:rFonts w:ascii="Times New Roman" w:hAnsi="Times New Roman" w:cs="Times New Roman" w:eastAsiaTheme="minorEastAsia"/>
          <w:caps w:val="0"/>
          <w:smallCaps w:val="0"/>
        </w:rPr>
        <w:t>固体废物环境影响评价</w:t>
      </w:r>
      <w:r>
        <w:tab/>
      </w:r>
      <w:r>
        <w:fldChar w:fldCharType="begin"/>
      </w:r>
      <w:r>
        <w:instrText xml:space="preserve"> PAGEREF _Toc9171 \h </w:instrText>
      </w:r>
      <w:r>
        <w:fldChar w:fldCharType="separate"/>
      </w:r>
      <w:r>
        <w:t>148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_Toc30642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5.6 土壤环境影响评价</w:t>
      </w:r>
      <w:r>
        <w:tab/>
      </w:r>
      <w:r>
        <w:fldChar w:fldCharType="begin"/>
      </w:r>
      <w:r>
        <w:instrText xml:space="preserve"> PAGEREF _Toc30642 \h </w:instrText>
      </w:r>
      <w:r>
        <w:fldChar w:fldCharType="separate"/>
      </w:r>
      <w:r>
        <w:t>152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_Toc7156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24"/>
        </w:rPr>
        <w:t xml:space="preserve">5.7 </w:t>
      </w:r>
      <w:r>
        <w:rPr>
          <w:rFonts w:ascii="Times New Roman" w:hAnsi="Times New Roman" w:cs="Times New Roman" w:eastAsiaTheme="minorEastAsia"/>
          <w:caps w:val="0"/>
          <w:smallCaps w:val="0"/>
        </w:rPr>
        <w:t>生态环境影响评价</w:t>
      </w:r>
      <w:r>
        <w:tab/>
      </w:r>
      <w:r>
        <w:fldChar w:fldCharType="begin"/>
      </w:r>
      <w:r>
        <w:instrText xml:space="preserve"> PAGEREF _Toc7156 \h </w:instrText>
      </w:r>
      <w:r>
        <w:fldChar w:fldCharType="separate"/>
      </w:r>
      <w:r>
        <w:t>155</w:t>
      </w:r>
      <w:r>
        <w:fldChar w:fldCharType="end"/>
      </w:r>
      <w:r>
        <w:rPr>
          <w:rFonts w:ascii="Times New Roman" w:hAnsi="Times New Roman" w:cs="Times New Roman"/>
          <w:caps w:val="0"/>
          <w:smallCaps w:val="0"/>
          <w:highlight w:val="yellow"/>
        </w:rPr>
        <w:fldChar w:fldCharType="end"/>
      </w:r>
    </w:p>
    <w:p>
      <w:pPr>
        <w:pStyle w:val="44"/>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_Toc959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32"/>
          <w:lang w:val="en-US" w:eastAsia="zh-CN"/>
        </w:rPr>
        <w:t>6 环境风险影响评价</w:t>
      </w:r>
      <w:r>
        <w:tab/>
      </w:r>
      <w:r>
        <w:fldChar w:fldCharType="begin"/>
      </w:r>
      <w:r>
        <w:instrText xml:space="preserve"> PAGEREF _Toc959 \h </w:instrText>
      </w:r>
      <w:r>
        <w:fldChar w:fldCharType="separate"/>
      </w:r>
      <w:r>
        <w:t>163</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_Toc29208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6.1 </w:t>
      </w:r>
      <w:r>
        <w:rPr>
          <w:rFonts w:ascii="Times New Roman" w:hAnsi="Times New Roman" w:cs="Times New Roman"/>
          <w:caps w:val="0"/>
          <w:smallCaps w:val="0"/>
        </w:rPr>
        <w:t>评价</w:t>
      </w:r>
      <w:r>
        <w:rPr>
          <w:rFonts w:hint="eastAsia" w:ascii="Times New Roman" w:hAnsi="Times New Roman" w:cs="Times New Roman"/>
          <w:caps w:val="0"/>
          <w:smallCaps w:val="0"/>
        </w:rPr>
        <w:t>目的和重点</w:t>
      </w:r>
      <w:r>
        <w:tab/>
      </w:r>
      <w:r>
        <w:fldChar w:fldCharType="begin"/>
      </w:r>
      <w:r>
        <w:instrText xml:space="preserve"> PAGEREF _Toc29208 \h </w:instrText>
      </w:r>
      <w:r>
        <w:fldChar w:fldCharType="separate"/>
      </w:r>
      <w:r>
        <w:t>163</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_Toc2960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6.2 </w:t>
      </w:r>
      <w:r>
        <w:rPr>
          <w:rFonts w:ascii="Times New Roman" w:hAnsi="Times New Roman" w:cs="Times New Roman"/>
          <w:caps w:val="0"/>
          <w:smallCaps w:val="0"/>
        </w:rPr>
        <w:t>环境风险潜势初判</w:t>
      </w:r>
      <w:r>
        <w:tab/>
      </w:r>
      <w:r>
        <w:fldChar w:fldCharType="begin"/>
      </w:r>
      <w:r>
        <w:instrText xml:space="preserve"> PAGEREF _Toc2960 \h </w:instrText>
      </w:r>
      <w:r>
        <w:fldChar w:fldCharType="separate"/>
      </w:r>
      <w:r>
        <w:t>163</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_Toc20623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6.3 </w:t>
      </w:r>
      <w:r>
        <w:rPr>
          <w:rFonts w:hint="eastAsia" w:ascii="Times New Roman" w:hAnsi="Times New Roman" w:cs="Times New Roman"/>
          <w:caps w:val="0"/>
          <w:smallCaps w:val="0"/>
          <w:lang w:val="en-US" w:eastAsia="zh-CN"/>
        </w:rPr>
        <w:t>评价等级判定</w:t>
      </w:r>
      <w:r>
        <w:tab/>
      </w:r>
      <w:r>
        <w:fldChar w:fldCharType="begin"/>
      </w:r>
      <w:r>
        <w:instrText xml:space="preserve"> PAGEREF _Toc20623 \h </w:instrText>
      </w:r>
      <w:r>
        <w:fldChar w:fldCharType="separate"/>
      </w:r>
      <w:r>
        <w:t>164</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_Toc20622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6.4 </w:t>
      </w:r>
      <w:r>
        <w:rPr>
          <w:rFonts w:ascii="Times New Roman" w:hAnsi="Times New Roman" w:cs="Times New Roman"/>
          <w:caps w:val="0"/>
          <w:smallCaps w:val="0"/>
        </w:rPr>
        <w:t>环境敏感目标概况</w:t>
      </w:r>
      <w:r>
        <w:tab/>
      </w:r>
      <w:r>
        <w:fldChar w:fldCharType="begin"/>
      </w:r>
      <w:r>
        <w:instrText xml:space="preserve"> PAGEREF _Toc20622 \h </w:instrText>
      </w:r>
      <w:r>
        <w:fldChar w:fldCharType="separate"/>
      </w:r>
      <w:r>
        <w:t>165</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_Toc6671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6.5 </w:t>
      </w:r>
      <w:r>
        <w:rPr>
          <w:rFonts w:ascii="Times New Roman" w:hAnsi="Times New Roman" w:cs="Times New Roman"/>
          <w:caps w:val="0"/>
          <w:smallCaps w:val="0"/>
        </w:rPr>
        <w:t>环境风险识别</w:t>
      </w:r>
      <w:r>
        <w:tab/>
      </w:r>
      <w:r>
        <w:fldChar w:fldCharType="begin"/>
      </w:r>
      <w:r>
        <w:instrText xml:space="preserve"> PAGEREF _Toc6671 \h </w:instrText>
      </w:r>
      <w:r>
        <w:fldChar w:fldCharType="separate"/>
      </w:r>
      <w:r>
        <w:t>165</w:t>
      </w:r>
      <w:r>
        <w:fldChar w:fldCharType="end"/>
      </w:r>
      <w:r>
        <w:rPr>
          <w:rFonts w:ascii="Times New Roman" w:hAnsi="Times New Roman" w:cs="Times New Roman"/>
          <w:caps w:val="0"/>
          <w:smallCaps w:val="0"/>
          <w:highlight w:val="yellow"/>
        </w:rPr>
        <w:fldChar w:fldCharType="end"/>
      </w:r>
    </w:p>
    <w:p>
      <w:pPr>
        <w:pStyle w:val="44"/>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_Toc32191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32"/>
        </w:rPr>
        <w:t xml:space="preserve">7 </w:t>
      </w:r>
      <w:r>
        <w:rPr>
          <w:rFonts w:ascii="Times New Roman" w:hAnsi="Times New Roman" w:cs="Times New Roman" w:eastAsiaTheme="minorEastAsia"/>
          <w:caps w:val="0"/>
          <w:smallCaps w:val="0"/>
          <w:szCs w:val="32"/>
        </w:rPr>
        <w:t>环境影响减缓措施及技术经济论证</w:t>
      </w:r>
      <w:r>
        <w:tab/>
      </w:r>
      <w:r>
        <w:fldChar w:fldCharType="begin"/>
      </w:r>
      <w:r>
        <w:instrText xml:space="preserve"> PAGEREF _Toc32191 \h </w:instrText>
      </w:r>
      <w:r>
        <w:fldChar w:fldCharType="separate"/>
      </w:r>
      <w:r>
        <w:t>177</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_Toc31753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7.1 </w:t>
      </w:r>
      <w:r>
        <w:rPr>
          <w:rFonts w:ascii="Times New Roman" w:hAnsi="Times New Roman" w:cs="Times New Roman" w:eastAsiaTheme="minorEastAsia"/>
          <w:caps w:val="0"/>
          <w:smallCaps w:val="0"/>
        </w:rPr>
        <w:t>施工期污染物防治措施</w:t>
      </w:r>
      <w:r>
        <w:tab/>
      </w:r>
      <w:r>
        <w:fldChar w:fldCharType="begin"/>
      </w:r>
      <w:r>
        <w:instrText xml:space="preserve"> PAGEREF _Toc31753 \h </w:instrText>
      </w:r>
      <w:r>
        <w:fldChar w:fldCharType="separate"/>
      </w:r>
      <w:r>
        <w:t>177</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_Toc1866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7.2 </w:t>
      </w:r>
      <w:r>
        <w:rPr>
          <w:rFonts w:ascii="Times New Roman" w:hAnsi="Times New Roman" w:cs="Times New Roman" w:eastAsiaTheme="minorEastAsia"/>
          <w:caps w:val="0"/>
          <w:smallCaps w:val="0"/>
        </w:rPr>
        <w:t>营运期污染防治措施</w:t>
      </w:r>
      <w:r>
        <w:tab/>
      </w:r>
      <w:r>
        <w:fldChar w:fldCharType="begin"/>
      </w:r>
      <w:r>
        <w:instrText xml:space="preserve"> PAGEREF _Toc1866 \h </w:instrText>
      </w:r>
      <w:r>
        <w:fldChar w:fldCharType="separate"/>
      </w:r>
      <w:r>
        <w:t>181</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_Toc3226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7.3 </w:t>
      </w:r>
      <w:r>
        <w:rPr>
          <w:rFonts w:ascii="Times New Roman" w:hAnsi="Times New Roman" w:cs="Times New Roman"/>
          <w:caps w:val="0"/>
          <w:smallCaps w:val="0"/>
        </w:rPr>
        <w:t>生态恢复与补偿措施</w:t>
      </w:r>
      <w:r>
        <w:tab/>
      </w:r>
      <w:r>
        <w:fldChar w:fldCharType="begin"/>
      </w:r>
      <w:r>
        <w:instrText xml:space="preserve"> PAGEREF _Toc3226 \h </w:instrText>
      </w:r>
      <w:r>
        <w:fldChar w:fldCharType="separate"/>
      </w:r>
      <w:r>
        <w:t>189</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_Toc6950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7.4 </w:t>
      </w:r>
      <w:r>
        <w:rPr>
          <w:rFonts w:ascii="Times New Roman" w:hAnsi="Times New Roman" w:cs="Times New Roman" w:eastAsiaTheme="minorEastAsia"/>
          <w:caps w:val="0"/>
          <w:smallCaps w:val="0"/>
        </w:rPr>
        <w:t>项目环保投资</w:t>
      </w:r>
      <w:r>
        <w:tab/>
      </w:r>
      <w:r>
        <w:fldChar w:fldCharType="begin"/>
      </w:r>
      <w:r>
        <w:instrText xml:space="preserve"> PAGEREF _Toc6950 \h </w:instrText>
      </w:r>
      <w:r>
        <w:fldChar w:fldCharType="separate"/>
      </w:r>
      <w:r>
        <w:t>189</w:t>
      </w:r>
      <w:r>
        <w:fldChar w:fldCharType="end"/>
      </w:r>
      <w:r>
        <w:rPr>
          <w:rFonts w:ascii="Times New Roman" w:hAnsi="Times New Roman" w:cs="Times New Roman"/>
          <w:caps w:val="0"/>
          <w:smallCaps w:val="0"/>
          <w:highlight w:val="yellow"/>
        </w:rPr>
        <w:fldChar w:fldCharType="end"/>
      </w:r>
    </w:p>
    <w:p>
      <w:pPr>
        <w:pStyle w:val="44"/>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_Toc6396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bCs/>
          <w:caps w:val="0"/>
          <w:smallCaps w:val="0"/>
          <w:kern w:val="44"/>
          <w:szCs w:val="32"/>
        </w:rPr>
        <w:t xml:space="preserve">8 </w:t>
      </w:r>
      <w:r>
        <w:rPr>
          <w:rFonts w:ascii="Times New Roman" w:hAnsi="Times New Roman" w:cs="Times New Roman" w:eastAsiaTheme="minorEastAsia"/>
          <w:bCs/>
          <w:caps w:val="0"/>
          <w:smallCaps w:val="0"/>
          <w:kern w:val="44"/>
          <w:szCs w:val="32"/>
        </w:rPr>
        <w:t>环境经济损益分析</w:t>
      </w:r>
      <w:r>
        <w:tab/>
      </w:r>
      <w:r>
        <w:fldChar w:fldCharType="begin"/>
      </w:r>
      <w:r>
        <w:instrText xml:space="preserve"> PAGEREF _Toc6396 \h </w:instrText>
      </w:r>
      <w:r>
        <w:fldChar w:fldCharType="separate"/>
      </w:r>
      <w:r>
        <w:t>192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_Toc21562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8.1 </w:t>
      </w:r>
      <w:r>
        <w:rPr>
          <w:rFonts w:ascii="Times New Roman" w:hAnsi="Times New Roman" w:cs="Times New Roman"/>
          <w:caps w:val="0"/>
          <w:smallCaps w:val="0"/>
        </w:rPr>
        <w:t>项目带来的环境损失</w:t>
      </w:r>
      <w:r>
        <w:tab/>
      </w:r>
      <w:r>
        <w:fldChar w:fldCharType="begin"/>
      </w:r>
      <w:r>
        <w:instrText xml:space="preserve"> PAGEREF _Toc21562 \h </w:instrText>
      </w:r>
      <w:r>
        <w:fldChar w:fldCharType="separate"/>
      </w:r>
      <w:r>
        <w:t>192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_Toc12463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8.2 </w:t>
      </w:r>
      <w:r>
        <w:rPr>
          <w:rFonts w:ascii="Times New Roman" w:hAnsi="Times New Roman" w:cs="Times New Roman"/>
          <w:caps w:val="0"/>
          <w:smallCaps w:val="0"/>
        </w:rPr>
        <w:t>工程产生的效益分析</w:t>
      </w:r>
      <w:r>
        <w:tab/>
      </w:r>
      <w:r>
        <w:fldChar w:fldCharType="begin"/>
      </w:r>
      <w:r>
        <w:instrText xml:space="preserve"> PAGEREF _Toc12463 \h </w:instrText>
      </w:r>
      <w:r>
        <w:fldChar w:fldCharType="separate"/>
      </w:r>
      <w:r>
        <w:t>192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_Toc11124 </w:instrText>
      </w:r>
      <w:r>
        <w:rPr>
          <w:rFonts w:ascii="Times New Roman" w:hAnsi="Times New Roman" w:cs="Times New Roman"/>
          <w:caps w:val="0"/>
          <w:smallCaps w:val="0"/>
          <w:highlight w:val="yellow"/>
        </w:rPr>
        <w:fldChar w:fldCharType="separate"/>
      </w:r>
      <w:r>
        <w:rPr>
          <w:rFonts w:hint="eastAsia" w:ascii="Times New Roman" w:hAnsi="Times New Roman" w:cs="Times New Roman"/>
          <w:caps w:val="0"/>
          <w:smallCaps w:val="0"/>
        </w:rPr>
        <w:t xml:space="preserve">8.3 </w:t>
      </w:r>
      <w:r>
        <w:rPr>
          <w:rFonts w:ascii="Times New Roman" w:hAnsi="Times New Roman" w:cs="Times New Roman"/>
          <w:caps w:val="0"/>
          <w:smallCaps w:val="0"/>
        </w:rPr>
        <w:t>环境影响经济损益分析</w:t>
      </w:r>
      <w:r>
        <w:tab/>
      </w:r>
      <w:r>
        <w:fldChar w:fldCharType="begin"/>
      </w:r>
      <w:r>
        <w:instrText xml:space="preserve"> PAGEREF _Toc11124 \h </w:instrText>
      </w:r>
      <w:r>
        <w:fldChar w:fldCharType="separate"/>
      </w:r>
      <w:r>
        <w:t>193</w:t>
      </w:r>
      <w:r>
        <w:fldChar w:fldCharType="end"/>
      </w:r>
      <w:r>
        <w:rPr>
          <w:rFonts w:ascii="Times New Roman" w:hAnsi="Times New Roman" w:cs="Times New Roman"/>
          <w:caps w:val="0"/>
          <w:smallCaps w:val="0"/>
          <w:highlight w:val="yellow"/>
        </w:rPr>
        <w:fldChar w:fldCharType="end"/>
      </w:r>
    </w:p>
    <w:p>
      <w:pPr>
        <w:pStyle w:val="44"/>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_Toc6828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32"/>
        </w:rPr>
        <w:t xml:space="preserve">9 </w:t>
      </w:r>
      <w:r>
        <w:rPr>
          <w:rFonts w:ascii="Times New Roman" w:hAnsi="Times New Roman" w:cs="Times New Roman" w:eastAsiaTheme="minorEastAsia"/>
          <w:caps w:val="0"/>
          <w:smallCaps w:val="0"/>
          <w:szCs w:val="32"/>
        </w:rPr>
        <w:t>环境保护管理及监测计划</w:t>
      </w:r>
      <w:r>
        <w:tab/>
      </w:r>
      <w:r>
        <w:fldChar w:fldCharType="begin"/>
      </w:r>
      <w:r>
        <w:instrText xml:space="preserve"> PAGEREF _Toc6828 \h </w:instrText>
      </w:r>
      <w:r>
        <w:fldChar w:fldCharType="separate"/>
      </w:r>
      <w:r>
        <w:t>194</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_Toc16032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9.1 </w:t>
      </w:r>
      <w:r>
        <w:rPr>
          <w:rFonts w:ascii="Times New Roman" w:hAnsi="Times New Roman" w:cs="Times New Roman" w:eastAsiaTheme="minorEastAsia"/>
          <w:caps w:val="0"/>
          <w:smallCaps w:val="0"/>
        </w:rPr>
        <w:t>环境管理</w:t>
      </w:r>
      <w:r>
        <w:tab/>
      </w:r>
      <w:r>
        <w:fldChar w:fldCharType="begin"/>
      </w:r>
      <w:r>
        <w:instrText xml:space="preserve"> PAGEREF _Toc16032 \h </w:instrText>
      </w:r>
      <w:r>
        <w:fldChar w:fldCharType="separate"/>
      </w:r>
      <w:r>
        <w:t>194</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_Toc3419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9.2 </w:t>
      </w:r>
      <w:r>
        <w:rPr>
          <w:rFonts w:ascii="Times New Roman" w:hAnsi="Times New Roman" w:cs="Times New Roman" w:eastAsiaTheme="minorEastAsia"/>
          <w:caps w:val="0"/>
          <w:smallCaps w:val="0"/>
        </w:rPr>
        <w:t>环境监测</w:t>
      </w:r>
      <w:r>
        <w:tab/>
      </w:r>
      <w:r>
        <w:fldChar w:fldCharType="begin"/>
      </w:r>
      <w:r>
        <w:instrText xml:space="preserve"> PAGEREF _Toc3419 \h </w:instrText>
      </w:r>
      <w:r>
        <w:fldChar w:fldCharType="separate"/>
      </w:r>
      <w:r>
        <w:t>198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_Toc785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9.3 </w:t>
      </w:r>
      <w:r>
        <w:rPr>
          <w:rFonts w:ascii="Times New Roman" w:hAnsi="Times New Roman" w:cs="Times New Roman" w:eastAsiaTheme="minorEastAsia"/>
          <w:caps w:val="0"/>
          <w:smallCaps w:val="0"/>
        </w:rPr>
        <w:t>污染物排放总量控制</w:t>
      </w:r>
      <w:r>
        <w:tab/>
      </w:r>
      <w:r>
        <w:fldChar w:fldCharType="begin"/>
      </w:r>
      <w:r>
        <w:instrText xml:space="preserve"> PAGEREF _Toc785 \h </w:instrText>
      </w:r>
      <w:r>
        <w:fldChar w:fldCharType="separate"/>
      </w:r>
      <w:r>
        <w:t>201</w:t>
      </w:r>
      <w:r>
        <w:fldChar w:fldCharType="end"/>
      </w:r>
      <w:r>
        <w:rPr>
          <w:rFonts w:ascii="Times New Roman" w:hAnsi="Times New Roman" w:cs="Times New Roman"/>
          <w:caps w:val="0"/>
          <w:smallCaps w:val="0"/>
          <w:highlight w:val="yellow"/>
        </w:rPr>
        <w:fldChar w:fldCharType="end"/>
      </w:r>
    </w:p>
    <w:p>
      <w:pPr>
        <w:pStyle w:val="44"/>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_Toc27210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szCs w:val="32"/>
        </w:rPr>
        <w:t xml:space="preserve">10 </w:t>
      </w:r>
      <w:r>
        <w:rPr>
          <w:rFonts w:ascii="Times New Roman" w:hAnsi="Times New Roman" w:cs="Times New Roman" w:eastAsiaTheme="minorEastAsia"/>
          <w:caps w:val="0"/>
          <w:smallCaps w:val="0"/>
          <w:szCs w:val="32"/>
        </w:rPr>
        <w:t>评价结论与建议</w:t>
      </w:r>
      <w:r>
        <w:tab/>
      </w:r>
      <w:r>
        <w:fldChar w:fldCharType="begin"/>
      </w:r>
      <w:r>
        <w:instrText xml:space="preserve"> PAGEREF _Toc27210 \h </w:instrText>
      </w:r>
      <w:r>
        <w:fldChar w:fldCharType="separate"/>
      </w:r>
      <w:r>
        <w:t>202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_Toc21767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 xml:space="preserve">10.1 </w:t>
      </w:r>
      <w:r>
        <w:rPr>
          <w:rFonts w:ascii="Times New Roman" w:hAnsi="Times New Roman" w:cs="Times New Roman" w:eastAsiaTheme="minorEastAsia"/>
          <w:caps w:val="0"/>
          <w:smallCaps w:val="0"/>
        </w:rPr>
        <w:t>项目概况</w:t>
      </w:r>
      <w:r>
        <w:tab/>
      </w:r>
      <w:r>
        <w:fldChar w:fldCharType="begin"/>
      </w:r>
      <w:r>
        <w:instrText xml:space="preserve"> PAGEREF _Toc21767 \h </w:instrText>
      </w:r>
      <w:r>
        <w:fldChar w:fldCharType="separate"/>
      </w:r>
      <w:r>
        <w:t>202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_Toc29012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10.2 环境质量现状</w:t>
      </w:r>
      <w:r>
        <w:tab/>
      </w:r>
      <w:r>
        <w:fldChar w:fldCharType="begin"/>
      </w:r>
      <w:r>
        <w:instrText xml:space="preserve"> PAGEREF _Toc29012 \h </w:instrText>
      </w:r>
      <w:r>
        <w:fldChar w:fldCharType="separate"/>
      </w:r>
      <w:r>
        <w:t>202</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_Toc31953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10.3 环境影响评价</w:t>
      </w:r>
      <w:r>
        <w:tab/>
      </w:r>
      <w:r>
        <w:fldChar w:fldCharType="begin"/>
      </w:r>
      <w:r>
        <w:instrText xml:space="preserve"> PAGEREF _Toc31953 \h </w:instrText>
      </w:r>
      <w:r>
        <w:fldChar w:fldCharType="separate"/>
      </w:r>
      <w:r>
        <w:t>203</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_Toc5988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10.4 主要环境保护措施</w:t>
      </w:r>
      <w:r>
        <w:tab/>
      </w:r>
      <w:r>
        <w:fldChar w:fldCharType="begin"/>
      </w:r>
      <w:r>
        <w:instrText xml:space="preserve"> PAGEREF _Toc5988 \h </w:instrText>
      </w:r>
      <w:r>
        <w:fldChar w:fldCharType="separate"/>
      </w:r>
      <w:r>
        <w:t>206</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_Toc13819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10.5 环境风险达到可控水平</w:t>
      </w:r>
      <w:r>
        <w:tab/>
      </w:r>
      <w:r>
        <w:fldChar w:fldCharType="begin"/>
      </w:r>
      <w:r>
        <w:instrText xml:space="preserve"> PAGEREF _Toc13819 \h </w:instrText>
      </w:r>
      <w:r>
        <w:fldChar w:fldCharType="separate"/>
      </w:r>
      <w:r>
        <w:t>208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_Toc24310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10.6 总量控制</w:t>
      </w:r>
      <w:r>
        <w:tab/>
      </w:r>
      <w:r>
        <w:fldChar w:fldCharType="begin"/>
      </w:r>
      <w:r>
        <w:instrText xml:space="preserve"> PAGEREF _Toc24310 \h </w:instrText>
      </w:r>
      <w:r>
        <w:fldChar w:fldCharType="separate"/>
      </w:r>
      <w:r>
        <w:t>208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_Toc9910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10.7 公众参与</w:t>
      </w:r>
      <w:r>
        <w:tab/>
      </w:r>
      <w:r>
        <w:fldChar w:fldCharType="begin"/>
      </w:r>
      <w:r>
        <w:instrText xml:space="preserve"> PAGEREF _Toc9910 \h </w:instrText>
      </w:r>
      <w:r>
        <w:fldChar w:fldCharType="separate"/>
      </w:r>
      <w:r>
        <w:t>208</w:t>
      </w:r>
      <w:r>
        <w:fldChar w:fldCharType="end"/>
      </w:r>
      <w:r>
        <w:rPr>
          <w:rFonts w:ascii="Times New Roman" w:hAnsi="Times New Roman" w:cs="Times New Roman"/>
          <w:caps w:val="0"/>
          <w:smallCaps w:val="0"/>
          <w:highlight w:val="yellow"/>
        </w:rPr>
        <w:fldChar w:fldCharType="end"/>
      </w:r>
    </w:p>
    <w:p>
      <w:pPr>
        <w:pStyle w:val="58"/>
        <w:tabs>
          <w:tab w:val="right" w:leader="dot" w:pos="9070"/>
        </w:tabs>
      </w:pPr>
      <w:r>
        <w:rPr>
          <w:rFonts w:ascii="Times New Roman" w:hAnsi="Times New Roman" w:cs="Times New Roman"/>
          <w:caps w:val="0"/>
          <w:smallCaps w:val="0"/>
          <w:highlight w:val="yellow"/>
        </w:rPr>
        <w:fldChar w:fldCharType="begin"/>
      </w:r>
      <w:r>
        <w:rPr>
          <w:rFonts w:ascii="Times New Roman" w:hAnsi="Times New Roman" w:cs="Times New Roman"/>
          <w:caps w:val="0"/>
          <w:smallCaps w:val="0"/>
          <w:highlight w:val="yellow"/>
        </w:rPr>
        <w:instrText xml:space="preserve"> HYPERLINK \l _Toc21648 </w:instrText>
      </w:r>
      <w:r>
        <w:rPr>
          <w:rFonts w:ascii="Times New Roman" w:hAnsi="Times New Roman" w:cs="Times New Roman"/>
          <w:caps w:val="0"/>
          <w:smallCaps w:val="0"/>
          <w:highlight w:val="yellow"/>
        </w:rPr>
        <w:fldChar w:fldCharType="separate"/>
      </w:r>
      <w:r>
        <w:rPr>
          <w:rFonts w:hint="eastAsia" w:ascii="Times New Roman" w:hAnsi="Times New Roman" w:cs="Times New Roman" w:eastAsiaTheme="minorEastAsia"/>
          <w:caps w:val="0"/>
          <w:smallCaps w:val="0"/>
        </w:rPr>
        <w:t>10.8 总结论</w:t>
      </w:r>
      <w:r>
        <w:tab/>
      </w:r>
      <w:r>
        <w:fldChar w:fldCharType="begin"/>
      </w:r>
      <w:r>
        <w:instrText xml:space="preserve"> PAGEREF _Toc21648 \h </w:instrText>
      </w:r>
      <w:r>
        <w:fldChar w:fldCharType="separate"/>
      </w:r>
      <w:r>
        <w:t>208</w:t>
      </w:r>
      <w:r>
        <w:fldChar w:fldCharType="end"/>
      </w:r>
      <w:r>
        <w:rPr>
          <w:rFonts w:ascii="Times New Roman" w:hAnsi="Times New Roman" w:cs="Times New Roman"/>
          <w:caps w:val="0"/>
          <w:smallCaps w:val="0"/>
          <w:highlight w:val="yellow"/>
        </w:rPr>
        <w:fldChar w:fldCharType="end"/>
      </w:r>
    </w:p>
    <w:p>
      <w:pPr>
        <w:pStyle w:val="99"/>
        <w:spacing w:line="240" w:lineRule="auto"/>
        <w:ind w:firstLine="0" w:firstLineChars="0"/>
        <w:rPr>
          <w:rFonts w:ascii="Times New Roman" w:hAnsi="Times New Roman" w:cs="Times New Roman"/>
          <w:caps w:val="0"/>
          <w:smallCaps w:val="0"/>
        </w:rPr>
      </w:pPr>
      <w:r>
        <w:rPr>
          <w:rFonts w:ascii="Times New Roman" w:hAnsi="Times New Roman" w:cs="Times New Roman"/>
          <w:caps w:val="0"/>
          <w:smallCaps w:val="0"/>
          <w:highlight w:val="yellow"/>
        </w:rPr>
        <w:fldChar w:fldCharType="end"/>
      </w:r>
      <w:r>
        <w:rPr>
          <w:rFonts w:ascii="Times New Roman" w:hAnsi="Times New Roman" w:cs="Times New Roman"/>
          <w:caps w:val="0"/>
          <w:smallCaps w:val="0"/>
        </w:rPr>
        <w:br w:type="page"/>
      </w:r>
    </w:p>
    <w:p>
      <w:pPr>
        <w:pStyle w:val="99"/>
        <w:spacing w:line="240" w:lineRule="auto"/>
        <w:ind w:firstLine="0" w:firstLineChars="0"/>
        <w:rPr>
          <w:rFonts w:ascii="Times New Roman" w:hAnsi="Times New Roman" w:cs="Times New Roman"/>
          <w:caps w:val="0"/>
          <w:smallCaps w:val="0"/>
        </w:rPr>
      </w:pPr>
    </w:p>
    <w:tbl>
      <w:tblPr>
        <w:tblStyle w:val="71"/>
        <w:tblW w:w="9070" w:type="dxa"/>
        <w:jc w:val="center"/>
        <w:tblLayout w:type="fixed"/>
        <w:tblCellMar>
          <w:top w:w="0" w:type="dxa"/>
          <w:left w:w="108" w:type="dxa"/>
          <w:bottom w:w="0" w:type="dxa"/>
          <w:right w:w="108" w:type="dxa"/>
        </w:tblCellMar>
      </w:tblPr>
      <w:tblGrid>
        <w:gridCol w:w="1105"/>
        <w:gridCol w:w="7965"/>
      </w:tblGrid>
      <w:tr>
        <w:tblPrEx>
          <w:tblCellMar>
            <w:top w:w="0" w:type="dxa"/>
            <w:left w:w="108" w:type="dxa"/>
            <w:bottom w:w="0" w:type="dxa"/>
            <w:right w:w="108" w:type="dxa"/>
          </w:tblCellMar>
        </w:tblPrEx>
        <w:trPr>
          <w:trHeight w:val="340" w:hRule="atLeast"/>
          <w:jc w:val="center"/>
        </w:trPr>
        <w:tc>
          <w:tcPr>
            <w:tcW w:w="9070" w:type="dxa"/>
            <w:gridSpan w:val="2"/>
            <w:vAlign w:val="center"/>
          </w:tcPr>
          <w:p>
            <w:pPr>
              <w:pStyle w:val="99"/>
              <w:spacing w:line="240" w:lineRule="auto"/>
              <w:ind w:firstLine="0" w:firstLineChars="0"/>
              <w:rPr>
                <w:rFonts w:ascii="Times New Roman" w:hAnsi="Times New Roman" w:cs="Times New Roman"/>
                <w:b/>
                <w:bCs/>
                <w:caps w:val="0"/>
                <w:smallCaps w:val="0"/>
              </w:rPr>
            </w:pPr>
            <w:r>
              <w:rPr>
                <w:rFonts w:ascii="Times New Roman" w:hAnsi="Times New Roman" w:cs="Times New Roman"/>
                <w:b/>
                <w:caps w:val="0"/>
                <w:smallCaps w:val="0"/>
              </w:rPr>
              <w:t>附表：</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附表1</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建设项目环评审批基础信息表；</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附表2</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建设项目地表水环境影响评价自查表；</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附表3</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建设项目大气环境影响评价自查表；</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附表4</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土壤环境影响评价自查表；</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rPr>
                <w:rFonts w:ascii="Times New Roman" w:hAnsi="Times New Roman" w:cs="Times New Roman"/>
                <w:caps w:val="0"/>
                <w:smallCaps w:val="0"/>
                <w:color w:val="FF0000"/>
              </w:rPr>
            </w:pPr>
          </w:p>
        </w:tc>
        <w:tc>
          <w:tcPr>
            <w:tcW w:w="7965" w:type="dxa"/>
            <w:vAlign w:val="center"/>
          </w:tcPr>
          <w:p>
            <w:pPr>
              <w:autoSpaceDE w:val="0"/>
              <w:autoSpaceDN w:val="0"/>
              <w:adjustRightInd w:val="0"/>
              <w:snapToGrid w:val="0"/>
              <w:jc w:val="left"/>
              <w:rPr>
                <w:rFonts w:ascii="Times New Roman" w:hAnsi="Times New Roman" w:cs="Times New Roman" w:eastAsiaTheme="minorEastAsia"/>
                <w:caps w:val="0"/>
                <w:smallCaps w:val="0"/>
                <w:color w:val="FF0000"/>
                <w:sz w:val="24"/>
                <w:szCs w:val="24"/>
              </w:rPr>
            </w:pPr>
          </w:p>
        </w:tc>
      </w:tr>
      <w:tr>
        <w:tblPrEx>
          <w:tblCellMar>
            <w:top w:w="0" w:type="dxa"/>
            <w:left w:w="108" w:type="dxa"/>
            <w:bottom w:w="0" w:type="dxa"/>
            <w:right w:w="108" w:type="dxa"/>
          </w:tblCellMar>
        </w:tblPrEx>
        <w:trPr>
          <w:trHeight w:val="340" w:hRule="atLeast"/>
          <w:jc w:val="center"/>
        </w:trPr>
        <w:tc>
          <w:tcPr>
            <w:tcW w:w="9070" w:type="dxa"/>
            <w:gridSpan w:val="2"/>
            <w:vAlign w:val="bottom"/>
          </w:tcPr>
          <w:p>
            <w:pPr>
              <w:pStyle w:val="99"/>
              <w:spacing w:line="240" w:lineRule="auto"/>
              <w:ind w:firstLine="0" w:firstLineChars="0"/>
              <w:rPr>
                <w:rFonts w:ascii="Times New Roman" w:hAnsi="Times New Roman" w:cs="Times New Roman"/>
                <w:b/>
                <w:caps w:val="0"/>
                <w:smallCaps w:val="0"/>
              </w:rPr>
            </w:pPr>
            <w:r>
              <w:rPr>
                <w:rFonts w:ascii="Times New Roman" w:hAnsi="Times New Roman" w:cs="Times New Roman"/>
                <w:b/>
                <w:caps w:val="0"/>
                <w:smallCaps w:val="0"/>
              </w:rPr>
              <w:t>附件：</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b/>
                <w:bCs/>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附件1</w:t>
            </w:r>
          </w:p>
        </w:tc>
        <w:tc>
          <w:tcPr>
            <w:tcW w:w="7965" w:type="dxa"/>
            <w:vAlign w:val="center"/>
          </w:tcPr>
          <w:p>
            <w:pPr>
              <w:pStyle w:val="99"/>
              <w:spacing w:line="240" w:lineRule="auto"/>
              <w:ind w:firstLine="0" w:firstLineChars="0"/>
              <w:jc w:val="both"/>
              <w:rPr>
                <w:rFonts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环评委托书</w:t>
            </w:r>
            <w:r>
              <w:rPr>
                <w:rFonts w:ascii="Times New Roman" w:hAnsi="Times New Roman" w:cs="Times New Roman"/>
                <w:caps w:val="0"/>
                <w:smallCaps w:val="0"/>
                <w:color w:val="000000" w:themeColor="text1"/>
                <w14:textFill>
                  <w14:solidFill>
                    <w14:schemeClr w14:val="tx1"/>
                  </w14:solidFill>
                </w14:textFill>
              </w:rPr>
              <w:t>；</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附件2</w:t>
            </w:r>
          </w:p>
        </w:tc>
        <w:tc>
          <w:tcPr>
            <w:tcW w:w="7965" w:type="dxa"/>
            <w:vAlign w:val="center"/>
          </w:tcPr>
          <w:p>
            <w:pPr>
              <w:pStyle w:val="99"/>
              <w:spacing w:line="240" w:lineRule="auto"/>
              <w:ind w:firstLine="0" w:firstLineChars="0"/>
              <w:jc w:val="both"/>
              <w:rPr>
                <w:rFonts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rPr>
              <w:t>湖南海丰物流老码头提质改造技改项目</w:t>
            </w:r>
            <w:r>
              <w:rPr>
                <w:rFonts w:hint="eastAsia" w:ascii="Times New Roman" w:hAnsi="Times New Roman" w:cs="Times New Roman"/>
                <w:caps w:val="0"/>
                <w:smallCaps w:val="0"/>
                <w:color w:val="000000" w:themeColor="text1"/>
                <w14:textFill>
                  <w14:solidFill>
                    <w14:schemeClr w14:val="tx1"/>
                  </w14:solidFill>
                </w14:textFill>
              </w:rPr>
              <w:t>备案证明</w:t>
            </w:r>
            <w:r>
              <w:rPr>
                <w:rFonts w:ascii="Times New Roman" w:hAnsi="Times New Roman" w:cs="Times New Roman"/>
                <w:caps w:val="0"/>
                <w:smallCaps w:val="0"/>
                <w:color w:val="000000" w:themeColor="text1"/>
                <w14:textFill>
                  <w14:solidFill>
                    <w14:schemeClr w14:val="tx1"/>
                  </w14:solidFill>
                </w14:textFill>
              </w:rPr>
              <w:t>；</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附件3</w:t>
            </w:r>
          </w:p>
        </w:tc>
        <w:tc>
          <w:tcPr>
            <w:tcW w:w="7965" w:type="dxa"/>
            <w:vAlign w:val="center"/>
          </w:tcPr>
          <w:p>
            <w:pPr>
              <w:pStyle w:val="99"/>
              <w:spacing w:line="240" w:lineRule="auto"/>
              <w:ind w:firstLine="0" w:firstLineChars="0"/>
              <w:jc w:val="both"/>
              <w:rPr>
                <w:rFonts w:ascii="Times New Roman" w:hAnsi="Times New Roman" w:cs="Times New Roman"/>
                <w:bCs/>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关于对《湖南海丰物流老码头提质改造技改项目方案设计》的批复（岳地海批〔2021〕4号）；</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附件4</w:t>
            </w:r>
          </w:p>
        </w:tc>
        <w:tc>
          <w:tcPr>
            <w:tcW w:w="7965" w:type="dxa"/>
            <w:vAlign w:val="center"/>
          </w:tcPr>
          <w:p>
            <w:pPr>
              <w:pStyle w:val="99"/>
              <w:spacing w:line="240" w:lineRule="auto"/>
              <w:ind w:firstLine="0" w:firstLineChars="0"/>
              <w:jc w:val="both"/>
              <w:rPr>
                <w:rFonts w:ascii="Times New Roman" w:hAnsi="Times New Roman" w:cs="Times New Roman"/>
                <w:bCs/>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关于对《海丰物流码头现状综合评估报告》的审核意见（岳地海〔2021〕10号）</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14:textFill>
                  <w14:solidFill>
                    <w14:schemeClr w14:val="tx1"/>
                  </w14:solidFill>
                </w14:textFill>
              </w:rPr>
              <w:t>5</w:t>
            </w:r>
          </w:p>
        </w:tc>
        <w:tc>
          <w:tcPr>
            <w:tcW w:w="7965" w:type="dxa"/>
            <w:vAlign w:val="center"/>
          </w:tcPr>
          <w:p>
            <w:pPr>
              <w:pStyle w:val="99"/>
              <w:spacing w:line="240" w:lineRule="auto"/>
              <w:ind w:firstLine="0" w:firstLineChars="0"/>
              <w:jc w:val="both"/>
              <w:rPr>
                <w:rFonts w:ascii="Times New Roman" w:hAnsi="Times New Roman" w:cs="Times New Roman"/>
                <w:bCs/>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关于印发《湘江资水沅水岳阳段港口码头专项整治方案》的通知（岳政办函[2020]39号）；</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14:textFill>
                  <w14:solidFill>
                    <w14:schemeClr w14:val="tx1"/>
                  </w14:solidFill>
                </w14:textFill>
              </w:rPr>
              <w:t>6</w:t>
            </w:r>
          </w:p>
        </w:tc>
        <w:tc>
          <w:tcPr>
            <w:tcW w:w="7965" w:type="dxa"/>
            <w:vAlign w:val="center"/>
          </w:tcPr>
          <w:p>
            <w:pPr>
              <w:pStyle w:val="99"/>
              <w:spacing w:line="240" w:lineRule="auto"/>
              <w:ind w:firstLine="0" w:firstLineChars="0"/>
              <w:jc w:val="both"/>
              <w:rPr>
                <w:rFonts w:ascii="Times New Roman" w:hAnsi="Times New Roman" w:cs="Times New Roman" w:eastAsiaTheme="minorEastAsia"/>
                <w:bCs/>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交通运输部办公厅湖南省人民政府办公厅关于岳阳港总体规划的审查意交办规划函〔2019〕218号；</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14:textFill>
                  <w14:solidFill>
                    <w14:schemeClr w14:val="tx1"/>
                  </w14:solidFill>
                </w14:textFill>
              </w:rPr>
              <w:t>7</w:t>
            </w:r>
          </w:p>
        </w:tc>
        <w:tc>
          <w:tcPr>
            <w:tcW w:w="7965" w:type="dxa"/>
            <w:vAlign w:val="center"/>
          </w:tcPr>
          <w:p>
            <w:pPr>
              <w:pStyle w:val="99"/>
              <w:spacing w:line="240" w:lineRule="auto"/>
              <w:ind w:firstLine="0" w:firstLineChars="0"/>
              <w:jc w:val="both"/>
              <w:rPr>
                <w:rFonts w:ascii="Times New Roman" w:hAnsi="Times New Roman" w:cs="Times New Roman" w:eastAsiaTheme="minorEastAsia"/>
                <w:bCs/>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中华人民共和国生态环境部关于《岳阳港总体规划（2017-2035年）环境影响报告书》的审查意见（环审〔2020〕65号）；</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14:textFill>
                  <w14:solidFill>
                    <w14:schemeClr w14:val="tx1"/>
                  </w14:solidFill>
                </w14:textFill>
              </w:rPr>
              <w:t>8</w:t>
            </w:r>
          </w:p>
        </w:tc>
        <w:tc>
          <w:tcPr>
            <w:tcW w:w="7965" w:type="dxa"/>
            <w:vAlign w:val="center"/>
          </w:tcPr>
          <w:p>
            <w:pPr>
              <w:pStyle w:val="99"/>
              <w:spacing w:line="240" w:lineRule="auto"/>
              <w:ind w:firstLine="0" w:firstLineChars="0"/>
              <w:jc w:val="both"/>
              <w:rPr>
                <w:rFonts w:ascii="Times New Roman" w:hAnsi="Times New Roman" w:cs="Times New Roman" w:eastAsiaTheme="minorEastAsia"/>
                <w:bCs/>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企业营业执照；</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14:textFill>
                  <w14:solidFill>
                    <w14:schemeClr w14:val="tx1"/>
                  </w14:solidFill>
                </w14:textFill>
              </w:rPr>
              <w:t>9</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14:textFill>
                  <w14:solidFill>
                    <w14:schemeClr w14:val="tx1"/>
                  </w14:solidFill>
                </w14:textFill>
              </w:rPr>
            </w:pPr>
            <w:r>
              <w:rPr>
                <w:rFonts w:hint="default" w:ascii="Times New Roman" w:hAnsi="Times New Roman" w:cs="Times New Roman"/>
                <w:bCs/>
                <w:caps w:val="0"/>
                <w:smallCaps w:val="0"/>
                <w:color w:val="000000" w:themeColor="text1"/>
                <w:lang w:val="en-US" w:eastAsia="zh-CN"/>
                <w14:textFill>
                  <w14:solidFill>
                    <w14:schemeClr w14:val="tx1"/>
                  </w14:solidFill>
                </w14:textFill>
              </w:rPr>
              <w:t>湖南海丰物流有限公司湘北沥青库（1000m</w:t>
            </w:r>
            <w:r>
              <w:rPr>
                <w:rFonts w:hint="default" w:ascii="Times New Roman" w:hAnsi="Times New Roman" w:cs="Times New Roman"/>
                <w:bCs/>
                <w:caps w:val="0"/>
                <w:smallCaps w:val="0"/>
                <w:color w:val="000000" w:themeColor="text1"/>
                <w:vertAlign w:val="superscript"/>
                <w:lang w:val="en-US" w:eastAsia="zh-CN"/>
                <w14:textFill>
                  <w14:solidFill>
                    <w14:schemeClr w14:val="tx1"/>
                  </w14:solidFill>
                </w14:textFill>
              </w:rPr>
              <w:t>3</w:t>
            </w:r>
            <w:r>
              <w:rPr>
                <w:rFonts w:hint="default" w:ascii="Times New Roman" w:hAnsi="Times New Roman" w:cs="Times New Roman"/>
                <w:bCs/>
                <w:caps w:val="0"/>
                <w:smallCaps w:val="0"/>
                <w:color w:val="000000" w:themeColor="text1"/>
                <w:lang w:val="en-US" w:eastAsia="zh-CN"/>
                <w14:textFill>
                  <w14:solidFill>
                    <w14:schemeClr w14:val="tx1"/>
                  </w14:solidFill>
                </w14:textFill>
              </w:rPr>
              <w:t>）建设项目</w:t>
            </w:r>
            <w:r>
              <w:rPr>
                <w:rFonts w:hint="eastAsia" w:ascii="Times New Roman" w:hAnsi="Times New Roman" w:cs="Times New Roman"/>
                <w:bCs/>
                <w:caps w:val="0"/>
                <w:smallCaps w:val="0"/>
                <w:color w:val="000000" w:themeColor="text1"/>
                <w:lang w:val="en-US" w:eastAsia="zh-CN"/>
                <w14:textFill>
                  <w14:solidFill>
                    <w14:schemeClr w14:val="tx1"/>
                  </w14:solidFill>
                </w14:textFill>
              </w:rPr>
              <w:t>环评批复</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14:textFill>
                  <w14:solidFill>
                    <w14:schemeClr w14:val="tx1"/>
                  </w14:solidFill>
                </w14:textFill>
              </w:rPr>
              <w:t>10</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14:textFill>
                  <w14:solidFill>
                    <w14:schemeClr w14:val="tx1"/>
                  </w14:solidFill>
                </w14:textFill>
              </w:rPr>
            </w:pPr>
            <w:r>
              <w:rPr>
                <w:rFonts w:hint="default" w:ascii="Times New Roman" w:hAnsi="Times New Roman" w:cs="Times New Roman"/>
                <w:bCs/>
                <w:caps w:val="0"/>
                <w:smallCaps w:val="0"/>
                <w:color w:val="000000" w:themeColor="text1"/>
                <w:lang w:val="en-US" w:eastAsia="zh-CN"/>
                <w14:textFill>
                  <w14:solidFill>
                    <w14:schemeClr w14:val="tx1"/>
                  </w14:solidFill>
                </w14:textFill>
              </w:rPr>
              <w:t>湖南海丰物流有限公司湘北沥青库（1000m</w:t>
            </w:r>
            <w:r>
              <w:rPr>
                <w:rFonts w:hint="default" w:ascii="Times New Roman" w:hAnsi="Times New Roman" w:cs="Times New Roman"/>
                <w:bCs/>
                <w:caps w:val="0"/>
                <w:smallCaps w:val="0"/>
                <w:color w:val="000000" w:themeColor="text1"/>
                <w:vertAlign w:val="superscript"/>
                <w:lang w:val="en-US" w:eastAsia="zh-CN"/>
                <w14:textFill>
                  <w14:solidFill>
                    <w14:schemeClr w14:val="tx1"/>
                  </w14:solidFill>
                </w14:textFill>
              </w:rPr>
              <w:t>3</w:t>
            </w:r>
            <w:r>
              <w:rPr>
                <w:rFonts w:hint="default" w:ascii="Times New Roman" w:hAnsi="Times New Roman" w:cs="Times New Roman"/>
                <w:bCs/>
                <w:caps w:val="0"/>
                <w:smallCaps w:val="0"/>
                <w:color w:val="000000" w:themeColor="text1"/>
                <w:lang w:val="en-US" w:eastAsia="zh-CN"/>
                <w14:textFill>
                  <w14:solidFill>
                    <w14:schemeClr w14:val="tx1"/>
                  </w14:solidFill>
                </w14:textFill>
              </w:rPr>
              <w:t>）建设项目竣工环境保护验收意见</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附件11</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关于湖南海丰物流有限公司2017年度库区改扩建工程环境影响评价的审批意见（岳环区分批[2017]05号）；</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附件12</w:t>
            </w:r>
          </w:p>
        </w:tc>
        <w:tc>
          <w:tcPr>
            <w:tcW w:w="7965" w:type="dxa"/>
            <w:vAlign w:val="center"/>
          </w:tcPr>
          <w:p>
            <w:pPr>
              <w:pStyle w:val="99"/>
              <w:spacing w:line="240" w:lineRule="auto"/>
              <w:ind w:firstLine="0" w:firstLineChars="0"/>
              <w:jc w:val="both"/>
              <w:rPr>
                <w:rFonts w:ascii="Times New Roman" w:hAnsi="Times New Roman" w:cs="Times New Roman" w:eastAsiaTheme="minorEastAsia"/>
                <w:bCs/>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湖南海丰物流有限公司2017年度库区改扩建工程</w:t>
            </w:r>
            <w:r>
              <w:rPr>
                <w:rFonts w:hint="eastAsia" w:ascii="Times New Roman" w:hAnsi="Times New Roman" w:cs="Times New Roman"/>
                <w:bCs/>
                <w:caps w:val="0"/>
                <w:smallCaps w:val="0"/>
                <w:color w:val="000000" w:themeColor="text1"/>
                <w:lang w:eastAsia="zh-CN"/>
                <w14:textFill>
                  <w14:solidFill>
                    <w14:schemeClr w14:val="tx1"/>
                  </w14:solidFill>
                </w14:textFill>
              </w:rPr>
              <w:t>自行验收备案文件</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附件13</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lang w:val="en-US" w:eastAsia="zh-CN"/>
                <w14:textFill>
                  <w14:solidFill>
                    <w14:schemeClr w14:val="tx1"/>
                  </w14:solidFill>
                </w14:textFill>
              </w:rPr>
            </w:pPr>
            <w:r>
              <w:rPr>
                <w:rFonts w:hint="eastAsia" w:ascii="Times New Roman" w:hAnsi="Times New Roman" w:cs="Times New Roman"/>
                <w:bCs/>
                <w:caps w:val="0"/>
                <w:smallCaps w:val="0"/>
                <w:color w:val="000000" w:themeColor="text1"/>
                <w:lang w:val="en-US" w:eastAsia="zh-CN"/>
                <w14:textFill>
                  <w14:solidFill>
                    <w14:schemeClr w14:val="tx1"/>
                  </w14:solidFill>
                </w14:textFill>
              </w:rPr>
              <w:t>关于湖南海丰物流有限公司锅炉改造工程环境影响评价的批复（岳环屈分评[2020]11号）</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eastAsia"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附件14</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lang w:val="en-US" w:eastAsia="zh-CN"/>
                <w14:textFill>
                  <w14:solidFill>
                    <w14:schemeClr w14:val="tx1"/>
                  </w14:solidFill>
                </w14:textFill>
              </w:rPr>
            </w:pPr>
            <w:r>
              <w:rPr>
                <w:rFonts w:hint="eastAsia" w:ascii="Times New Roman" w:hAnsi="Times New Roman" w:cs="Times New Roman"/>
                <w:bCs/>
                <w:caps w:val="0"/>
                <w:smallCaps w:val="0"/>
                <w:color w:val="000000" w:themeColor="text1"/>
                <w:lang w:val="en-US" w:eastAsia="zh-CN"/>
                <w14:textFill>
                  <w14:solidFill>
                    <w14:schemeClr w14:val="tx1"/>
                  </w14:solidFill>
                </w14:textFill>
              </w:rPr>
              <w:t>湖南海丰物流有限公司锅炉改造工程自行验收备案文件</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eastAsia"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附件1</w:t>
            </w:r>
            <w:r>
              <w:rPr>
                <w:rFonts w:hint="eastAsia" w:ascii="Times New Roman" w:hAnsi="Times New Roman" w:cs="Times New Roman"/>
                <w:caps w:val="0"/>
                <w:smallCaps w:val="0"/>
                <w:color w:val="000000" w:themeColor="text1"/>
                <w:lang w:val="en-US" w:eastAsia="zh-CN"/>
                <w14:textFill>
                  <w14:solidFill>
                    <w14:schemeClr w14:val="tx1"/>
                  </w14:solidFill>
                </w14:textFill>
              </w:rPr>
              <w:t>5</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lang w:val="en-US" w:eastAsia="zh-CN"/>
                <w14:textFill>
                  <w14:solidFill>
                    <w14:schemeClr w14:val="tx1"/>
                  </w14:solidFill>
                </w14:textFill>
              </w:rPr>
            </w:pPr>
            <w:r>
              <w:rPr>
                <w:rFonts w:hint="eastAsia" w:ascii="Times New Roman" w:hAnsi="Times New Roman" w:cs="Times New Roman"/>
                <w:bCs/>
                <w:caps w:val="0"/>
                <w:smallCaps w:val="0"/>
                <w:color w:val="000000" w:themeColor="text1"/>
                <w:lang w:val="en-US" w:eastAsia="zh-CN"/>
                <w14:textFill>
                  <w14:solidFill>
                    <w14:schemeClr w14:val="tx1"/>
                  </w14:solidFill>
                </w14:textFill>
              </w:rPr>
              <w:t>排污许可证</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eastAsia"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附件1</w:t>
            </w:r>
            <w:r>
              <w:rPr>
                <w:rFonts w:hint="eastAsia" w:ascii="Times New Roman" w:hAnsi="Times New Roman" w:cs="Times New Roman"/>
                <w:caps w:val="0"/>
                <w:smallCaps w:val="0"/>
                <w:color w:val="000000" w:themeColor="text1"/>
                <w:lang w:val="en-US" w:eastAsia="zh-CN"/>
                <w14:textFill>
                  <w14:solidFill>
                    <w14:schemeClr w14:val="tx1"/>
                  </w14:solidFill>
                </w14:textFill>
              </w:rPr>
              <w:t>6</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lang w:eastAsia="zh-CN"/>
              </w:rPr>
              <w:t>应急预案备案表</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eastAsia"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附件1</w:t>
            </w:r>
            <w:r>
              <w:rPr>
                <w:rFonts w:hint="eastAsia" w:ascii="Times New Roman" w:hAnsi="Times New Roman" w:cs="Times New Roman"/>
                <w:caps w:val="0"/>
                <w:smallCaps w:val="0"/>
                <w:color w:val="000000" w:themeColor="text1"/>
                <w:lang w:val="en-US" w:eastAsia="zh-CN"/>
                <w14:textFill>
                  <w14:solidFill>
                    <w14:schemeClr w14:val="tx1"/>
                  </w14:solidFill>
                </w14:textFill>
              </w:rPr>
              <w:t>7</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lang w:val="en-US" w:eastAsia="zh-CN"/>
                <w14:textFill>
                  <w14:solidFill>
                    <w14:schemeClr w14:val="tx1"/>
                  </w14:solidFill>
                </w14:textFill>
              </w:rPr>
            </w:pPr>
            <w:r>
              <w:rPr>
                <w:rFonts w:hint="eastAsia" w:ascii="Times New Roman" w:hAnsi="Times New Roman" w:cs="Times New Roman"/>
                <w:bCs/>
                <w:caps w:val="0"/>
                <w:smallCaps w:val="0"/>
                <w:color w:val="000000" w:themeColor="text1"/>
                <w14:textFill>
                  <w14:solidFill>
                    <w14:schemeClr w14:val="tx1"/>
                  </w14:solidFill>
                </w14:textFill>
              </w:rPr>
              <w:t>岳阳市生态环境局屈原分局关于</w:t>
            </w:r>
            <w:r>
              <w:rPr>
                <w:rFonts w:hint="eastAsia" w:ascii="Times New Roman" w:hAnsi="Times New Roman" w:cs="Times New Roman"/>
                <w:caps w:val="0"/>
                <w:smallCaps w:val="0"/>
                <w:color w:val="000000" w:themeColor="text1"/>
                <w14:textFill>
                  <w14:solidFill>
                    <w14:schemeClr w14:val="tx1"/>
                  </w14:solidFill>
                </w14:textFill>
              </w:rPr>
              <w:t>湖南海丰物流有限公司湖南海丰物流老码头提质改造技改项目</w:t>
            </w:r>
            <w:r>
              <w:rPr>
                <w:rFonts w:hint="eastAsia" w:ascii="Times New Roman" w:hAnsi="Times New Roman" w:cs="Times New Roman"/>
                <w:bCs/>
                <w:caps w:val="0"/>
                <w:smallCaps w:val="0"/>
                <w:color w:val="000000" w:themeColor="text1"/>
                <w14:textFill>
                  <w14:solidFill>
                    <w14:schemeClr w14:val="tx1"/>
                  </w14:solidFill>
                </w14:textFill>
              </w:rPr>
              <w:t>执行标准的函</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default" w:ascii="Times New Roman" w:hAnsi="Times New Roman" w:cs="Times New Roman" w:eastAsiaTheme="minorEastAsia"/>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lang w:val="en-US" w:eastAsia="zh-CN"/>
                <w14:textFill>
                  <w14:solidFill>
                    <w14:schemeClr w14:val="tx1"/>
                  </w14:solidFill>
                </w14:textFill>
              </w:rPr>
              <w:t>18</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lang w:val="en-US" w:eastAsia="zh-CN"/>
                <w14:textFill>
                  <w14:solidFill>
                    <w14:schemeClr w14:val="tx1"/>
                  </w14:solidFill>
                </w14:textFill>
              </w:rPr>
            </w:pPr>
            <w:r>
              <w:rPr>
                <w:rFonts w:hint="eastAsia"/>
                <w:lang w:val="en-US" w:eastAsia="zh-CN"/>
              </w:rPr>
              <w:t>《关于申请开展&lt;湖南海丰物流老码头提质改造技改项目对岳阳市东洞庭湖江豚自然保护区影响专题论证报告&gt;审查的函》的复函</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default" w:ascii="Times New Roman" w:hAnsi="Times New Roman" w:cs="Times New Roman" w:eastAsiaTheme="minorEastAsia"/>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lang w:val="en-US" w:eastAsia="zh-CN"/>
                <w14:textFill>
                  <w14:solidFill>
                    <w14:schemeClr w14:val="tx1"/>
                  </w14:solidFill>
                </w14:textFill>
              </w:rPr>
              <w:t>19</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lang w:val="en-US" w:eastAsia="zh-CN"/>
                <w14:textFill>
                  <w14:solidFill>
                    <w14:schemeClr w14:val="tx1"/>
                  </w14:solidFill>
                </w14:textFill>
              </w:rPr>
            </w:pPr>
            <w:r>
              <w:rPr>
                <w:rFonts w:hint="eastAsia"/>
                <w:lang w:val="en-US" w:eastAsia="zh-CN"/>
              </w:rPr>
              <w:t>《湖南海丰物流老码头提质改造技改项目对岳阳市东洞庭湖江豚自然保护区影响专题论证报告》初审意见</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default" w:ascii="Times New Roman" w:hAnsi="Times New Roman" w:cs="Times New Roman" w:eastAsiaTheme="minorEastAsia"/>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lang w:val="en-US" w:eastAsia="zh-CN"/>
                <w14:textFill>
                  <w14:solidFill>
                    <w14:schemeClr w14:val="tx1"/>
                  </w14:solidFill>
                </w14:textFill>
              </w:rPr>
              <w:t>20</w:t>
            </w:r>
          </w:p>
        </w:tc>
        <w:tc>
          <w:tcPr>
            <w:tcW w:w="7965" w:type="dxa"/>
            <w:vAlign w:val="center"/>
          </w:tcPr>
          <w:p>
            <w:pPr>
              <w:pStyle w:val="99"/>
              <w:spacing w:line="240" w:lineRule="auto"/>
              <w:ind w:firstLine="0" w:firstLineChars="0"/>
              <w:jc w:val="both"/>
              <w:rPr>
                <w:rFonts w:hint="eastAsia" w:ascii="Times New Roman" w:hAnsi="Times New Roman" w:cs="Times New Roman"/>
                <w:bCs/>
                <w:caps w:val="0"/>
                <w:smallCaps w:val="0"/>
                <w:color w:val="000000" w:themeColor="text1"/>
                <w:lang w:val="en-US" w:eastAsia="zh-CN"/>
                <w14:textFill>
                  <w14:solidFill>
                    <w14:schemeClr w14:val="tx1"/>
                  </w14:solidFill>
                </w14:textFill>
              </w:rPr>
            </w:pPr>
            <w:r>
              <w:rPr>
                <w:rFonts w:hint="eastAsia" w:ascii="Times New Roman" w:hAnsi="Times New Roman" w:cs="Times New Roman"/>
                <w:bCs/>
                <w:caps w:val="0"/>
                <w:smallCaps w:val="0"/>
                <w:color w:val="000000" w:themeColor="text1"/>
                <w:lang w:val="en-US" w:eastAsia="zh-CN"/>
                <w14:textFill>
                  <w14:solidFill>
                    <w14:schemeClr w14:val="tx1"/>
                  </w14:solidFill>
                </w14:textFill>
              </w:rPr>
              <w:t>岳阳市交通运输局关于湖南海丰物流老码头提质改造技改项目一阶段施工图设计的批复</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default"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lang w:val="en-US" w:eastAsia="zh-CN"/>
                <w14:textFill>
                  <w14:solidFill>
                    <w14:schemeClr w14:val="tx1"/>
                  </w14:solidFill>
                </w14:textFill>
              </w:rPr>
              <w:t>21</w:t>
            </w:r>
          </w:p>
        </w:tc>
        <w:tc>
          <w:tcPr>
            <w:tcW w:w="7965" w:type="dxa"/>
            <w:vAlign w:val="center"/>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湖南省交通运输厅关于海丰物流老码头工程航道通航条件影响评价的审核意见</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default"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lang w:val="en-US" w:eastAsia="zh-CN"/>
                <w14:textFill>
                  <w14:solidFill>
                    <w14:schemeClr w14:val="tx1"/>
                  </w14:solidFill>
                </w14:textFill>
              </w:rPr>
              <w:t>22</w:t>
            </w:r>
          </w:p>
        </w:tc>
        <w:tc>
          <w:tcPr>
            <w:tcW w:w="7965" w:type="dxa"/>
            <w:vAlign w:val="center"/>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湖南省交通运输厅关于湖南海丰物流有限公司老码头提质改造技改项目安全条件审查的意见</w:t>
            </w:r>
          </w:p>
        </w:tc>
      </w:tr>
      <w:tr>
        <w:tblPrEx>
          <w:tblCellMar>
            <w:top w:w="0" w:type="dxa"/>
            <w:left w:w="108" w:type="dxa"/>
            <w:bottom w:w="0" w:type="dxa"/>
            <w:right w:w="108" w:type="dxa"/>
          </w:tblCellMar>
        </w:tblPrEx>
        <w:trPr>
          <w:trHeight w:val="340" w:hRule="atLeast"/>
          <w:jc w:val="center"/>
        </w:trPr>
        <w:tc>
          <w:tcPr>
            <w:tcW w:w="1105" w:type="dxa"/>
            <w:vAlign w:val="center"/>
          </w:tcPr>
          <w:p>
            <w:pPr>
              <w:pStyle w:val="99"/>
              <w:spacing w:line="240" w:lineRule="auto"/>
              <w:ind w:firstLine="0" w:firstLineChars="0"/>
              <w:jc w:val="center"/>
              <w:rPr>
                <w:rFonts w:hint="default"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附件</w:t>
            </w:r>
            <w:r>
              <w:rPr>
                <w:rFonts w:hint="eastAsia" w:ascii="Times New Roman" w:hAnsi="Times New Roman" w:cs="Times New Roman"/>
                <w:caps w:val="0"/>
                <w:smallCaps w:val="0"/>
                <w:color w:val="000000" w:themeColor="text1"/>
                <w:lang w:val="en-US" w:eastAsia="zh-CN"/>
                <w14:textFill>
                  <w14:solidFill>
                    <w14:schemeClr w14:val="tx1"/>
                  </w14:solidFill>
                </w14:textFill>
              </w:rPr>
              <w:t>23</w:t>
            </w:r>
          </w:p>
        </w:tc>
        <w:tc>
          <w:tcPr>
            <w:tcW w:w="7965" w:type="dxa"/>
            <w:vAlign w:val="center"/>
          </w:tcPr>
          <w:p>
            <w:pPr>
              <w:pStyle w:val="99"/>
              <w:spacing w:line="240" w:lineRule="auto"/>
              <w:ind w:firstLine="0" w:firstLineChars="0"/>
              <w:jc w:val="both"/>
              <w:rPr>
                <w:rFonts w:hint="eastAsia" w:ascii="Times New Roman" w:hAnsi="Times New Roman" w:cs="Times New Roman" w:eastAsiaTheme="minorEastAsia"/>
                <w:caps w:val="0"/>
                <w:smallCaps w:val="0"/>
                <w:color w:val="FF0000"/>
                <w:kern w:val="2"/>
                <w:sz w:val="24"/>
                <w:szCs w:val="24"/>
                <w:highlight w:val="yellow"/>
                <w:lang w:val="en-US" w:eastAsia="zh-CN" w:bidi="ar-SA"/>
              </w:rPr>
            </w:pPr>
            <w:r>
              <w:rPr>
                <w:rFonts w:hint="eastAsia" w:ascii="Times New Roman" w:hAnsi="Times New Roman" w:cs="Times New Roman"/>
                <w:bCs/>
                <w:caps w:val="0"/>
                <w:smallCaps w:val="0"/>
                <w:color w:val="000000" w:themeColor="text1"/>
                <w:lang w:val="en-US" w:eastAsia="zh-CN"/>
                <w14:textFill>
                  <w14:solidFill>
                    <w14:schemeClr w14:val="tx1"/>
                  </w14:solidFill>
                </w14:textFill>
              </w:rPr>
              <w:t>监测报告</w:t>
            </w:r>
          </w:p>
        </w:tc>
      </w:tr>
      <w:tr>
        <w:tblPrEx>
          <w:tblCellMar>
            <w:top w:w="0" w:type="dxa"/>
            <w:left w:w="108" w:type="dxa"/>
            <w:bottom w:w="0" w:type="dxa"/>
            <w:right w:w="108" w:type="dxa"/>
          </w:tblCellMar>
        </w:tblPrEx>
        <w:trPr>
          <w:trHeight w:val="340" w:hRule="atLeast"/>
          <w:jc w:val="center"/>
        </w:trPr>
        <w:tc>
          <w:tcPr>
            <w:tcW w:w="1105" w:type="dxa"/>
            <w:vAlign w:val="top"/>
          </w:tcPr>
          <w:p>
            <w:pPr>
              <w:pStyle w:val="99"/>
              <w:spacing w:line="240" w:lineRule="auto"/>
              <w:ind w:firstLine="0" w:firstLineChars="0"/>
              <w:rPr>
                <w:rFonts w:hint="eastAsia"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p>
        </w:tc>
        <w:tc>
          <w:tcPr>
            <w:tcW w:w="7965" w:type="dxa"/>
            <w:vAlign w:val="top"/>
          </w:tcPr>
          <w:p>
            <w:pPr>
              <w:pStyle w:val="99"/>
              <w:spacing w:line="240" w:lineRule="auto"/>
              <w:ind w:firstLine="0" w:firstLineChars="0"/>
              <w:rPr>
                <w:rFonts w:hint="eastAsia" w:ascii="Times New Roman" w:hAnsi="Times New Roman" w:cs="Times New Roman" w:eastAsiaTheme="minorEastAsia"/>
                <w:caps w:val="0"/>
                <w:smallCaps w:val="0"/>
                <w:kern w:val="2"/>
                <w:sz w:val="24"/>
                <w:szCs w:val="24"/>
                <w:lang w:val="en-US" w:eastAsia="zh-CN" w:bidi="ar-SA"/>
              </w:rPr>
            </w:pPr>
          </w:p>
        </w:tc>
      </w:tr>
      <w:tr>
        <w:tblPrEx>
          <w:tblCellMar>
            <w:top w:w="0" w:type="dxa"/>
            <w:left w:w="108" w:type="dxa"/>
            <w:bottom w:w="0" w:type="dxa"/>
            <w:right w:w="108" w:type="dxa"/>
          </w:tblCellMar>
        </w:tblPrEx>
        <w:trPr>
          <w:trHeight w:val="340" w:hRule="atLeast"/>
          <w:jc w:val="center"/>
        </w:trPr>
        <w:tc>
          <w:tcPr>
            <w:tcW w:w="1105" w:type="dxa"/>
            <w:vAlign w:val="top"/>
          </w:tcPr>
          <w:p>
            <w:pPr>
              <w:pStyle w:val="99"/>
              <w:spacing w:line="240" w:lineRule="auto"/>
              <w:ind w:firstLine="0" w:firstLineChars="0"/>
              <w:rPr>
                <w:rFonts w:hint="eastAsia" w:ascii="Times New Roman" w:hAnsi="Times New Roman" w:cs="Times New Roman" w:eastAsiaTheme="minorEastAsia"/>
                <w:caps w:val="0"/>
                <w:smallCaps w:val="0"/>
                <w:color w:val="000000" w:themeColor="text1"/>
                <w:kern w:val="2"/>
                <w:sz w:val="24"/>
                <w:szCs w:val="24"/>
                <w:lang w:val="en-US" w:eastAsia="zh-CN" w:bidi="ar-SA"/>
                <w14:textFill>
                  <w14:solidFill>
                    <w14:schemeClr w14:val="tx1"/>
                  </w14:solidFill>
                </w14:textFill>
              </w:rPr>
            </w:pPr>
          </w:p>
        </w:tc>
        <w:tc>
          <w:tcPr>
            <w:tcW w:w="7965" w:type="dxa"/>
            <w:vAlign w:val="top"/>
          </w:tcPr>
          <w:p>
            <w:pPr>
              <w:pStyle w:val="99"/>
              <w:spacing w:line="240" w:lineRule="auto"/>
              <w:ind w:firstLine="0" w:firstLineChars="0"/>
              <w:rPr>
                <w:rFonts w:hint="eastAsia" w:ascii="Times New Roman" w:hAnsi="Times New Roman" w:cs="Times New Roman" w:eastAsiaTheme="minorEastAsia"/>
                <w:caps w:val="0"/>
                <w:smallCaps w:val="0"/>
                <w:color w:val="FF0000"/>
                <w:kern w:val="2"/>
                <w:sz w:val="24"/>
                <w:szCs w:val="24"/>
                <w:highlight w:val="yellow"/>
                <w:lang w:val="en-US" w:eastAsia="zh-CN" w:bidi="ar-SA"/>
              </w:rPr>
            </w:pPr>
          </w:p>
        </w:tc>
      </w:tr>
      <w:tr>
        <w:tblPrEx>
          <w:tblCellMar>
            <w:top w:w="0" w:type="dxa"/>
            <w:left w:w="108" w:type="dxa"/>
            <w:bottom w:w="0" w:type="dxa"/>
            <w:right w:w="108" w:type="dxa"/>
          </w:tblCellMar>
        </w:tblPrEx>
        <w:trPr>
          <w:trHeight w:val="340" w:hRule="atLeast"/>
          <w:jc w:val="center"/>
        </w:trPr>
        <w:tc>
          <w:tcPr>
            <w:tcW w:w="9070" w:type="dxa"/>
            <w:gridSpan w:val="2"/>
            <w:vAlign w:val="bottom"/>
          </w:tcPr>
          <w:p>
            <w:pPr>
              <w:adjustRightInd w:val="0"/>
              <w:snapToGrid w:val="0"/>
              <w:rPr>
                <w:rFonts w:ascii="Times New Roman" w:hAnsi="Times New Roman" w:cs="Times New Roman" w:eastAsiaTheme="minorEastAsia"/>
                <w:caps w:val="0"/>
                <w:smallCaps w:val="0"/>
                <w:color w:val="000000" w:themeColor="text1"/>
                <w:sz w:val="24"/>
                <w14:textFill>
                  <w14:solidFill>
                    <w14:schemeClr w14:val="tx1"/>
                  </w14:solidFill>
                </w14:textFill>
              </w:rPr>
            </w:pPr>
            <w:r>
              <w:rPr>
                <w:rFonts w:ascii="Times New Roman" w:hAnsi="Times New Roman" w:cs="Times New Roman" w:eastAsiaTheme="minorEastAsia"/>
                <w:b/>
                <w:caps w:val="0"/>
                <w:smallCaps w:val="0"/>
                <w:color w:val="000000" w:themeColor="text1"/>
                <w:sz w:val="24"/>
                <w14:textFill>
                  <w14:solidFill>
                    <w14:schemeClr w14:val="tx1"/>
                  </w14:solidFill>
                </w14:textFill>
              </w:rPr>
              <w:t>附图：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附图1</w:t>
            </w:r>
          </w:p>
        </w:tc>
        <w:tc>
          <w:tcPr>
            <w:tcW w:w="7965" w:type="dxa"/>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本项目地理位置图；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附图2</w:t>
            </w:r>
          </w:p>
        </w:tc>
        <w:tc>
          <w:tcPr>
            <w:tcW w:w="7965" w:type="dxa"/>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本项目码头总平面布置图；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附图3</w:t>
            </w:r>
          </w:p>
        </w:tc>
        <w:tc>
          <w:tcPr>
            <w:tcW w:w="7965" w:type="dxa"/>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本项目工艺布置图；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附图4</w:t>
            </w:r>
          </w:p>
        </w:tc>
        <w:tc>
          <w:tcPr>
            <w:tcW w:w="7965" w:type="dxa"/>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本项目与自然保护区关系图；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附图5</w:t>
            </w:r>
          </w:p>
        </w:tc>
        <w:tc>
          <w:tcPr>
            <w:tcW w:w="7965" w:type="dxa"/>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本项目与东洞庭湖江豚自然保护区关系图；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附图6</w:t>
            </w:r>
          </w:p>
        </w:tc>
        <w:tc>
          <w:tcPr>
            <w:tcW w:w="7965" w:type="dxa"/>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本项目与湘阴县横岭湖省级自然保护区关系图；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附图7</w:t>
            </w:r>
          </w:p>
        </w:tc>
        <w:tc>
          <w:tcPr>
            <w:tcW w:w="7965" w:type="dxa"/>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与南洞庭湖大口鲶青虾中华鳖国家级水产种质资源保护区关系图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附图8</w:t>
            </w:r>
          </w:p>
        </w:tc>
        <w:tc>
          <w:tcPr>
            <w:tcW w:w="7965" w:type="dxa"/>
            <w:vAlign w:val="top"/>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本项目与饮用水源保护区关系图；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附图9</w:t>
            </w:r>
          </w:p>
        </w:tc>
        <w:tc>
          <w:tcPr>
            <w:tcW w:w="7965" w:type="dxa"/>
            <w:vAlign w:val="top"/>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项目监测点位布置图；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eastAsia"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附图10</w:t>
            </w:r>
          </w:p>
        </w:tc>
        <w:tc>
          <w:tcPr>
            <w:tcW w:w="7965" w:type="dxa"/>
            <w:vAlign w:val="top"/>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本项目主要环境保护目标分布图；</w:t>
            </w:r>
          </w:p>
        </w:tc>
      </w:tr>
      <w:tr>
        <w:tblPrEx>
          <w:tblCellMar>
            <w:top w:w="0" w:type="dxa"/>
            <w:left w:w="108" w:type="dxa"/>
            <w:bottom w:w="0" w:type="dxa"/>
            <w:right w:w="108" w:type="dxa"/>
          </w:tblCellMar>
        </w:tblPrEx>
        <w:trPr>
          <w:trHeight w:val="340" w:hRule="atLeast"/>
          <w:jc w:val="center"/>
        </w:trPr>
        <w:tc>
          <w:tcPr>
            <w:tcW w:w="1105" w:type="dxa"/>
          </w:tcPr>
          <w:p>
            <w:pPr>
              <w:pStyle w:val="99"/>
              <w:spacing w:line="240" w:lineRule="auto"/>
              <w:ind w:firstLine="0" w:firstLineChars="0"/>
              <w:jc w:val="center"/>
              <w:rPr>
                <w:rFonts w:hint="default" w:ascii="Times New Roman" w:hAnsi="Times New Roman" w:cs="Times New Roman"/>
                <w:caps w:val="0"/>
                <w:smallCaps w:val="0"/>
                <w:color w:val="000000" w:themeColor="text1"/>
                <w:lang w:val="en-US" w:eastAsia="zh-CN"/>
                <w14:textFill>
                  <w14:solidFill>
                    <w14:schemeClr w14:val="tx1"/>
                  </w14:solidFill>
                </w14:textFill>
              </w:rPr>
            </w:pPr>
            <w:r>
              <w:rPr>
                <w:rFonts w:hint="eastAsia" w:ascii="Times New Roman" w:hAnsi="Times New Roman" w:cs="Times New Roman"/>
                <w:caps w:val="0"/>
                <w:smallCaps w:val="0"/>
                <w:color w:val="000000" w:themeColor="text1"/>
                <w:lang w:eastAsia="zh-CN"/>
                <w14:textFill>
                  <w14:solidFill>
                    <w14:schemeClr w14:val="tx1"/>
                  </w14:solidFill>
                </w14:textFill>
              </w:rPr>
              <w:t>附图</w:t>
            </w:r>
            <w:r>
              <w:rPr>
                <w:rFonts w:hint="eastAsia" w:ascii="Times New Roman" w:hAnsi="Times New Roman" w:cs="Times New Roman"/>
                <w:caps w:val="0"/>
                <w:smallCaps w:val="0"/>
                <w:color w:val="000000" w:themeColor="text1"/>
                <w:lang w:val="en-US" w:eastAsia="zh-CN"/>
                <w14:textFill>
                  <w14:solidFill>
                    <w14:schemeClr w14:val="tx1"/>
                  </w14:solidFill>
                </w14:textFill>
              </w:rPr>
              <w:t>11</w:t>
            </w:r>
          </w:p>
        </w:tc>
        <w:tc>
          <w:tcPr>
            <w:tcW w:w="7965" w:type="dxa"/>
            <w:vAlign w:val="top"/>
          </w:tcPr>
          <w:p>
            <w:pPr>
              <w:pStyle w:val="99"/>
              <w:spacing w:line="240" w:lineRule="auto"/>
              <w:ind w:firstLine="0" w:firstLineChars="0"/>
              <w:jc w:val="both"/>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本项目周边环境图；</w:t>
            </w:r>
          </w:p>
        </w:tc>
      </w:tr>
    </w:tbl>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69"/>
        <w:ind w:firstLine="0" w:firstLineChars="0"/>
        <w:rPr>
          <w:rFonts w:ascii="Times New Roman" w:hAnsi="Times New Roman" w:cs="Times New Roman" w:eastAsiaTheme="minorEastAsia"/>
          <w:caps w:val="0"/>
          <w:smallCaps w:val="0"/>
        </w:rPr>
      </w:pPr>
    </w:p>
    <w:p>
      <w:pPr>
        <w:pStyle w:val="4"/>
        <w:keepNext/>
        <w:keepLines/>
        <w:pageBreakBefore w:val="0"/>
        <w:widowControl w:val="0"/>
        <w:kinsoku/>
        <w:wordWrap/>
        <w:overflowPunct/>
        <w:topLinePunct w:val="0"/>
        <w:autoSpaceDE/>
        <w:autoSpaceDN/>
        <w:bidi w:val="0"/>
        <w:adjustRightInd w:val="0"/>
        <w:snapToGrid w:val="0"/>
        <w:spacing w:line="480" w:lineRule="auto"/>
        <w:ind w:left="431" w:firstLine="0" w:firstLineChars="0"/>
        <w:jc w:val="center"/>
        <w:textAlignment w:val="auto"/>
        <w:rPr>
          <w:rFonts w:ascii="Times New Roman" w:hAnsi="Times New Roman" w:cs="Times New Roman" w:eastAsiaTheme="minorEastAsia"/>
          <w:b/>
          <w:caps w:val="0"/>
          <w:smallCaps w:val="0"/>
          <w:sz w:val="32"/>
          <w:szCs w:val="32"/>
        </w:rPr>
        <w:sectPr>
          <w:footerReference r:id="rId8" w:type="default"/>
          <w:pgSz w:w="11906" w:h="16838"/>
          <w:pgMar w:top="1418" w:right="1418" w:bottom="1418" w:left="1418"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pPr>
        <w:pStyle w:val="4"/>
        <w:keepNext/>
        <w:keepLines/>
        <w:pageBreakBefore w:val="0"/>
        <w:widowControl w:val="0"/>
        <w:kinsoku/>
        <w:wordWrap/>
        <w:overflowPunct/>
        <w:topLinePunct w:val="0"/>
        <w:autoSpaceDE/>
        <w:autoSpaceDN/>
        <w:bidi w:val="0"/>
        <w:adjustRightInd w:val="0"/>
        <w:snapToGrid w:val="0"/>
        <w:spacing w:line="480" w:lineRule="auto"/>
        <w:ind w:left="431" w:firstLine="0" w:firstLineChars="0"/>
        <w:jc w:val="center"/>
        <w:textAlignment w:val="auto"/>
        <w:rPr>
          <w:rFonts w:ascii="Times New Roman" w:hAnsi="Times New Roman" w:cs="Times New Roman" w:eastAsiaTheme="minorEastAsia"/>
          <w:b/>
          <w:caps w:val="0"/>
          <w:smallCaps w:val="0"/>
          <w:sz w:val="32"/>
          <w:szCs w:val="32"/>
        </w:rPr>
      </w:pPr>
      <w:r>
        <w:rPr>
          <w:rFonts w:hint="eastAsia" w:ascii="Times New Roman" w:hAnsi="Times New Roman" w:cs="Times New Roman" w:eastAsiaTheme="minorEastAsia"/>
          <w:b/>
          <w:caps w:val="0"/>
          <w:smallCaps w:val="0"/>
          <w:sz w:val="32"/>
          <w:szCs w:val="32"/>
          <w:lang w:val="en-US" w:eastAsia="zh-CN"/>
        </w:rPr>
        <w:t xml:space="preserve"> </w:t>
      </w:r>
      <w:bookmarkStart w:id="0" w:name="_Toc28230"/>
      <w:r>
        <w:rPr>
          <w:rFonts w:ascii="Times New Roman" w:hAnsi="Times New Roman" w:cs="Times New Roman" w:eastAsiaTheme="minorEastAsia"/>
          <w:b/>
          <w:caps w:val="0"/>
          <w:smallCaps w:val="0"/>
          <w:sz w:val="32"/>
          <w:szCs w:val="32"/>
        </w:rPr>
        <w:t>概述</w:t>
      </w:r>
      <w:bookmarkEnd w:id="0"/>
    </w:p>
    <w:p>
      <w:pPr>
        <w:pStyle w:val="5"/>
        <w:rPr>
          <w:rFonts w:ascii="Times New Roman" w:hAnsi="Times New Roman" w:cs="Times New Roman" w:eastAsiaTheme="minorEastAsia"/>
          <w:b/>
          <w:caps w:val="0"/>
          <w:smallCaps w:val="0"/>
        </w:rPr>
      </w:pPr>
      <w:bookmarkStart w:id="1" w:name="_Toc15394"/>
      <w:r>
        <w:rPr>
          <w:rFonts w:ascii="Times New Roman" w:hAnsi="Times New Roman" w:cs="Times New Roman" w:eastAsiaTheme="minorEastAsia"/>
          <w:b/>
          <w:caps w:val="0"/>
          <w:smallCaps w:val="0"/>
        </w:rPr>
        <w:t>项目由来</w:t>
      </w:r>
      <w:bookmarkEnd w:id="1"/>
    </w:p>
    <w:p>
      <w:pPr>
        <w:adjustRightInd w:val="0"/>
        <w:snapToGrid w:val="0"/>
        <w:spacing w:line="360" w:lineRule="auto"/>
        <w:ind w:firstLine="480" w:firstLineChars="200"/>
        <w:rPr>
          <w:rFonts w:hint="eastAsia" w:ascii="Times New Roman" w:hAnsi="Times New Roman" w:cs="Times New Roman" w:eastAsiaTheme="minorEastAsia"/>
          <w:caps w:val="0"/>
          <w:smallCaps w:val="0"/>
          <w:kern w:val="0"/>
          <w:sz w:val="24"/>
          <w:szCs w:val="24"/>
        </w:rPr>
      </w:pPr>
      <w:r>
        <w:rPr>
          <w:rFonts w:hint="eastAsia" w:ascii="Times New Roman" w:hAnsi="Times New Roman" w:cs="Times New Roman" w:eastAsiaTheme="minorEastAsia"/>
          <w:caps w:val="0"/>
          <w:smallCaps w:val="0"/>
          <w:kern w:val="0"/>
          <w:sz w:val="24"/>
          <w:szCs w:val="24"/>
        </w:rPr>
        <w:t>湖南海丰物流有限公司为兆华供应链管理集团有限公司（以下简称兆华集团）子公司，兆华集团注册资金40305.93万元人民币，以沥青集装箱运输、租赁为特色，业务范围涵盖沥青贸易、沥青集装箱、沥青仓储、沥青加工、电子商务等领域。海丰码头位于湖南省岳阳市屈原管理区湘江右岸，</w:t>
      </w:r>
      <w:r>
        <w:rPr>
          <w:rFonts w:hint="eastAsia" w:ascii="Times New Roman" w:hAnsi="Times New Roman" w:cs="Times New Roman" w:eastAsiaTheme="minorEastAsia"/>
          <w:caps w:val="0"/>
          <w:smallCaps w:val="0"/>
          <w:kern w:val="0"/>
          <w:sz w:val="24"/>
          <w:szCs w:val="24"/>
          <w:lang w:eastAsia="zh-CN"/>
        </w:rPr>
        <w:t>始建于上世纪</w:t>
      </w:r>
      <w:r>
        <w:rPr>
          <w:rFonts w:hint="eastAsia" w:cs="Times New Roman" w:eastAsiaTheme="minorEastAsia"/>
          <w:caps w:val="0"/>
          <w:smallCaps w:val="0"/>
          <w:kern w:val="0"/>
          <w:sz w:val="24"/>
          <w:szCs w:val="24"/>
          <w:lang w:val="en-US" w:eastAsia="zh-CN"/>
        </w:rPr>
        <w:t>90</w:t>
      </w:r>
      <w:r>
        <w:rPr>
          <w:rFonts w:hint="eastAsia" w:ascii="Times New Roman" w:hAnsi="Times New Roman" w:cs="Times New Roman" w:eastAsiaTheme="minorEastAsia"/>
          <w:caps w:val="0"/>
          <w:smallCaps w:val="0"/>
          <w:kern w:val="0"/>
          <w:sz w:val="24"/>
          <w:szCs w:val="24"/>
          <w:lang w:val="en-US" w:eastAsia="zh-CN"/>
        </w:rPr>
        <w:t>年代，作为普货码头投入运营，</w:t>
      </w:r>
      <w:r>
        <w:rPr>
          <w:rFonts w:hint="eastAsia" w:ascii="Times New Roman" w:hAnsi="Times New Roman" w:cs="Times New Roman" w:eastAsiaTheme="minorEastAsia"/>
          <w:caps w:val="0"/>
          <w:smallCaps w:val="0"/>
          <w:kern w:val="0"/>
          <w:sz w:val="24"/>
          <w:szCs w:val="24"/>
        </w:rPr>
        <w:t>码头等级为500吨级，</w:t>
      </w:r>
      <w:r>
        <w:rPr>
          <w:rFonts w:hint="eastAsia" w:ascii="Times New Roman" w:hAnsi="Times New Roman" w:cs="Times New Roman" w:eastAsiaTheme="minorEastAsia"/>
          <w:caps w:val="0"/>
          <w:smallCaps w:val="0"/>
          <w:kern w:val="0"/>
          <w:sz w:val="24"/>
          <w:szCs w:val="24"/>
          <w:lang w:val="en-US" w:eastAsia="zh-CN"/>
        </w:rPr>
        <w:t>2010年</w:t>
      </w:r>
      <w:r>
        <w:rPr>
          <w:rFonts w:hint="eastAsia" w:cs="Times New Roman" w:eastAsiaTheme="minorEastAsia"/>
          <w:caps w:val="0"/>
          <w:smallCaps w:val="0"/>
          <w:kern w:val="0"/>
          <w:sz w:val="24"/>
          <w:szCs w:val="24"/>
          <w:lang w:val="en-US" w:eastAsia="zh-CN"/>
        </w:rPr>
        <w:t>，</w:t>
      </w:r>
      <w:r>
        <w:rPr>
          <w:rFonts w:hint="eastAsia" w:ascii="Times New Roman" w:hAnsi="Times New Roman" w:cs="Times New Roman"/>
          <w:caps w:val="0"/>
          <w:smallCaps w:val="0"/>
        </w:rPr>
        <w:t>湖南海丰物流有限公司</w:t>
      </w:r>
      <w:r>
        <w:rPr>
          <w:rFonts w:hint="eastAsia" w:ascii="Times New Roman" w:hAnsi="Times New Roman" w:cs="Times New Roman"/>
          <w:caps w:val="0"/>
          <w:smallCaps w:val="0"/>
          <w:lang w:eastAsia="zh-CN"/>
        </w:rPr>
        <w:t>取得该码头的经营许可，</w:t>
      </w:r>
      <w:r>
        <w:rPr>
          <w:rFonts w:hint="eastAsia" w:ascii="Times New Roman" w:hAnsi="Times New Roman" w:cs="Times New Roman"/>
          <w:caps w:val="0"/>
          <w:smallCaps w:val="0"/>
          <w:lang w:val="en-US" w:eastAsia="zh-CN"/>
        </w:rPr>
        <w:t>2011年海丰物流库区建成运营</w:t>
      </w:r>
      <w:r>
        <w:rPr>
          <w:rFonts w:hint="eastAsia" w:cs="Times New Roman"/>
          <w:caps w:val="0"/>
          <w:smallCaps w:val="0"/>
          <w:lang w:val="en-US" w:eastAsia="zh-CN"/>
        </w:rPr>
        <w:t>。</w:t>
      </w:r>
      <w:r>
        <w:rPr>
          <w:rFonts w:hint="eastAsia" w:ascii="Times New Roman" w:hAnsi="Times New Roman" w:cs="Times New Roman" w:eastAsiaTheme="minorEastAsia"/>
          <w:caps w:val="0"/>
          <w:smallCaps w:val="0"/>
          <w:kern w:val="0"/>
          <w:sz w:val="24"/>
          <w:szCs w:val="24"/>
          <w:lang w:eastAsia="zh-CN"/>
        </w:rPr>
        <w:t>由于建设时间较早，没有环评手续。</w:t>
      </w:r>
    </w:p>
    <w:p>
      <w:pPr>
        <w:widowControl/>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eastAsiaTheme="minorEastAsia"/>
          <w:caps w:val="0"/>
          <w:smallCaps w:val="0"/>
          <w:kern w:val="0"/>
          <w:sz w:val="24"/>
          <w:szCs w:val="24"/>
        </w:rPr>
        <w:t>中共中央政治局2016年3月25日审议通过《长江经济带发展规划纲要》。习近平总书记在会议上指出长江经济带发展的战略定位必须坚持“生态优先、绿色发展，共抓大保护，不搞大开发”。</w:t>
      </w:r>
    </w:p>
    <w:p>
      <w:pPr>
        <w:widowControl/>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2018年4月24日~25日，习近平总书记先后到宜昌、荆州、岳阳、武汉以及三峡坝区等地，考察了企业转型发展、化工企业搬迁、非法码头整治、污染治理、河势控制和护岸工程、航道治理、湿地修复、水文站水文监测工作等方面的情况。</w:t>
      </w:r>
    </w:p>
    <w:p>
      <w:pPr>
        <w:widowControl/>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eastAsiaTheme="minorEastAsia"/>
          <w:caps w:val="0"/>
          <w:smallCaps w:val="0"/>
          <w:kern w:val="0"/>
          <w:sz w:val="24"/>
          <w:szCs w:val="24"/>
        </w:rPr>
        <w:t>2018年4月26日，习近平总书记在武汉主持召开深入推动长江经济带发展座谈会并发表重要讲话。习总书记强调，推动长江经济带发展是党中央作出的重大决策，是关系国家发展全局的重大战略，对实现“两个一百年”奋斗目标、实现中华民族伟大复兴的中国梦具有重要意义。新形势下推动长江经济带发展，关键是要正确把握整体推进和重点突破、生态环境保护和经济发展、总体谋划和久久为功、破除旧动能和培育新动能、自我发展和协同发展的关系，坚持新发展理念，坚持稳中求进工作总基调，坚持共抓大保护、不搞大开发，加强改革创新、战略统筹、规划引导，以长江经济带发展推动经济高质量发展。</w:t>
      </w:r>
    </w:p>
    <w:p>
      <w:pPr>
        <w:widowControl/>
        <w:adjustRightInd w:val="0"/>
        <w:snapToGrid w:val="0"/>
        <w:spacing w:line="360" w:lineRule="auto"/>
        <w:ind w:firstLine="480" w:firstLineChars="200"/>
        <w:rPr>
          <w:rFonts w:hint="eastAsia" w:ascii="Times New Roman" w:hAnsi="Times New Roman" w:cs="Times New Roman" w:eastAsiaTheme="minorEastAsia"/>
          <w:caps w:val="0"/>
          <w:smallCaps w:val="0"/>
          <w:kern w:val="0"/>
          <w:sz w:val="24"/>
          <w:szCs w:val="24"/>
          <w:u w:val="single"/>
          <w:lang w:eastAsia="zh-CN"/>
        </w:rPr>
      </w:pPr>
      <w:r>
        <w:rPr>
          <w:rFonts w:hint="eastAsia" w:ascii="Times New Roman" w:hAnsi="Times New Roman" w:cs="Times New Roman" w:eastAsiaTheme="minorEastAsia"/>
          <w:caps w:val="0"/>
          <w:smallCaps w:val="0"/>
          <w:kern w:val="0"/>
          <w:sz w:val="24"/>
          <w:szCs w:val="24"/>
          <w:u w:val="single"/>
        </w:rPr>
        <w:t>为贯彻落实习近平总书记在深入推动长江经济带发展座谈会和岳阳视察时的重要讲话精神，2018年5月至今，湖南省多次专题研究推进长江岸线湖南段港口码头专项整治工作。2019年，湖南省启动了洞庭湖和湘资沅澧四水非法码头专项整治工作，湘江干线航道岳阳段共摸排认定核查码头47处，渡口13处。根据专项整治工作的会议要求，海丰码头属于符合港口规划，但手续不全、安全环保不达标，要求规范提升的码头</w:t>
      </w:r>
      <w:r>
        <w:rPr>
          <w:rFonts w:hint="eastAsia" w:ascii="Times New Roman" w:hAnsi="Times New Roman" w:cs="Times New Roman" w:eastAsiaTheme="minorEastAsia"/>
          <w:caps w:val="0"/>
          <w:smallCaps w:val="0"/>
          <w:kern w:val="0"/>
          <w:sz w:val="24"/>
          <w:szCs w:val="24"/>
          <w:u w:val="single"/>
          <w:lang w:eastAsia="zh-CN"/>
        </w:rPr>
        <w:t>，需按《关于明确湘江码头整治规范提升标准的通知》（岳地海[2020]80号）进行提质改造工作，并编制环境影响评价报告，完善环保手续。</w:t>
      </w:r>
    </w:p>
    <w:p>
      <w:pPr>
        <w:adjustRightInd w:val="0"/>
        <w:snapToGrid w:val="0"/>
        <w:spacing w:line="360" w:lineRule="auto"/>
        <w:ind w:firstLine="480" w:firstLineChars="200"/>
        <w:rPr>
          <w:rFonts w:hint="eastAsia" w:ascii="Times New Roman" w:hAnsi="Times New Roman" w:cs="Times New Roman" w:eastAsiaTheme="minorEastAsia"/>
          <w:caps w:val="0"/>
          <w:smallCaps w:val="0"/>
          <w:kern w:val="0"/>
          <w:sz w:val="24"/>
          <w:szCs w:val="24"/>
        </w:rPr>
      </w:pPr>
      <w:r>
        <w:rPr>
          <w:rFonts w:hint="eastAsia" w:ascii="Times New Roman" w:hAnsi="Times New Roman" w:cs="Times New Roman" w:eastAsiaTheme="minorEastAsia"/>
          <w:caps w:val="0"/>
          <w:smallCaps w:val="0"/>
          <w:kern w:val="0"/>
          <w:sz w:val="24"/>
          <w:szCs w:val="24"/>
          <w:u w:val="single"/>
        </w:rPr>
        <w:t>据近几年沥青运量统计，原码头设计通过能力已不能满足使用要求。码头结构老化现象严重，且装卸工艺设备、消防安全设施、环保设施等较为落后，已不能适应新形势下内河港口安全、绿色发展要求。</w:t>
      </w:r>
      <w:r>
        <w:rPr>
          <w:rFonts w:hint="eastAsia" w:ascii="Times New Roman" w:hAnsi="Times New Roman" w:cs="Times New Roman" w:eastAsiaTheme="minorEastAsia"/>
          <w:caps w:val="0"/>
          <w:smallCaps w:val="0"/>
          <w:kern w:val="0"/>
          <w:sz w:val="24"/>
          <w:szCs w:val="24"/>
          <w:u w:val="single"/>
          <w:lang w:val="en-US" w:eastAsia="zh-CN"/>
        </w:rPr>
        <w:t>根据湖南省关于长江岸线湖南段港口码头专项整治的工作部署，</w:t>
      </w:r>
      <w:r>
        <w:rPr>
          <w:rFonts w:hint="eastAsia" w:ascii="Times New Roman" w:hAnsi="Times New Roman" w:cs="Times New Roman" w:eastAsiaTheme="minorEastAsia"/>
          <w:caps w:val="0"/>
          <w:smallCaps w:val="0"/>
          <w:kern w:val="0"/>
          <w:sz w:val="24"/>
          <w:szCs w:val="24"/>
          <w:u w:val="single"/>
          <w:lang w:eastAsia="zh-CN"/>
        </w:rPr>
        <w:t>湖南海丰物流有限公司</w:t>
      </w:r>
      <w:r>
        <w:rPr>
          <w:rFonts w:hint="eastAsia" w:ascii="Times New Roman" w:hAnsi="Times New Roman" w:cs="Times New Roman" w:eastAsiaTheme="minorEastAsia"/>
          <w:caps w:val="0"/>
          <w:smallCaps w:val="0"/>
          <w:kern w:val="0"/>
          <w:sz w:val="24"/>
          <w:szCs w:val="24"/>
          <w:u w:val="single"/>
          <w:lang w:val="en-US" w:eastAsia="zh-CN"/>
        </w:rPr>
        <w:t>积极推进</w:t>
      </w:r>
      <w:r>
        <w:rPr>
          <w:rFonts w:hint="eastAsia" w:ascii="Times New Roman" w:hAnsi="Times New Roman" w:cs="Times New Roman" w:eastAsiaTheme="minorEastAsia"/>
          <w:caps w:val="0"/>
          <w:smallCaps w:val="0"/>
          <w:kern w:val="0"/>
          <w:sz w:val="24"/>
          <w:szCs w:val="24"/>
          <w:u w:val="single"/>
          <w:lang w:eastAsia="zh-CN"/>
        </w:rPr>
        <w:t>海丰码头</w:t>
      </w:r>
      <w:r>
        <w:rPr>
          <w:rFonts w:hint="eastAsia" w:ascii="Times New Roman" w:hAnsi="Times New Roman" w:cs="Times New Roman" w:eastAsiaTheme="minorEastAsia"/>
          <w:caps w:val="0"/>
          <w:smallCaps w:val="0"/>
          <w:kern w:val="0"/>
          <w:sz w:val="24"/>
          <w:szCs w:val="24"/>
          <w:u w:val="single"/>
          <w:lang w:val="en-US" w:eastAsia="zh-CN"/>
        </w:rPr>
        <w:t>的提质改造工作，委托湖南省交通规划勘察设计院有限公司编制了《</w:t>
      </w:r>
      <w:r>
        <w:rPr>
          <w:rFonts w:hint="eastAsia" w:ascii="Times New Roman" w:hAnsi="Times New Roman" w:cs="Times New Roman" w:eastAsiaTheme="minorEastAsia"/>
          <w:caps w:val="0"/>
          <w:smallCaps w:val="0"/>
          <w:kern w:val="0"/>
          <w:sz w:val="24"/>
          <w:szCs w:val="24"/>
          <w:u w:val="single"/>
          <w:lang w:eastAsia="zh-CN"/>
        </w:rPr>
        <w:t>湖南海丰物流有限公司海丰码头</w:t>
      </w:r>
      <w:r>
        <w:rPr>
          <w:rFonts w:hint="eastAsia" w:ascii="Times New Roman" w:hAnsi="Times New Roman" w:cs="Times New Roman" w:eastAsiaTheme="minorEastAsia"/>
          <w:caps w:val="0"/>
          <w:smallCaps w:val="0"/>
          <w:kern w:val="0"/>
          <w:sz w:val="24"/>
          <w:szCs w:val="24"/>
          <w:u w:val="single"/>
          <w:lang w:val="en-US" w:eastAsia="zh-CN"/>
        </w:rPr>
        <w:t>提质改造工程实施方案》。根据《河港工程总体设计规范》（JTS 166-2020）和《</w:t>
      </w:r>
      <w:r>
        <w:rPr>
          <w:rFonts w:hint="eastAsia" w:ascii="Times New Roman" w:hAnsi="Times New Roman" w:cs="Times New Roman" w:eastAsiaTheme="minorEastAsia"/>
          <w:caps w:val="0"/>
          <w:smallCaps w:val="0"/>
          <w:kern w:val="0"/>
          <w:sz w:val="24"/>
          <w:szCs w:val="24"/>
          <w:u w:val="single"/>
          <w:lang w:eastAsia="zh-CN"/>
        </w:rPr>
        <w:t>湖南海丰物流有限公司海丰码头</w:t>
      </w:r>
      <w:r>
        <w:rPr>
          <w:rFonts w:hint="eastAsia" w:ascii="Times New Roman" w:hAnsi="Times New Roman" w:cs="Times New Roman" w:eastAsiaTheme="minorEastAsia"/>
          <w:caps w:val="0"/>
          <w:smallCaps w:val="0"/>
          <w:kern w:val="0"/>
          <w:sz w:val="24"/>
          <w:szCs w:val="24"/>
          <w:u w:val="single"/>
          <w:lang w:val="en-US" w:eastAsia="zh-CN"/>
        </w:rPr>
        <w:t>提质改造工程实施方案》，本次提质改造工程设置1个2000吨级沥青码头。</w:t>
      </w:r>
      <w:r>
        <w:rPr>
          <w:rFonts w:hint="eastAsia" w:cs="Times New Roman"/>
          <w:caps w:val="0"/>
          <w:smallCaps w:val="0"/>
          <w:u w:val="single"/>
          <w:lang w:val="en-US" w:eastAsia="zh-CN"/>
        </w:rPr>
        <w:t>根据《湖南省交通运输厅关于湖南海丰物流老码头提质改造技改项目航道通航条件影响评价的审核意见》（湘交函[2021]512号）、《湖南省交通运输厅关于湖南海丰物流有限公司老码头提质改造技改项目安全条件审查的意见》（湘交函[2021]666号）以及</w:t>
      </w:r>
      <w:r>
        <w:rPr>
          <w:rFonts w:hint="eastAsia" w:ascii="Times New Roman" w:hAnsi="Times New Roman" w:cs="Times New Roman"/>
          <w:caps w:val="0"/>
          <w:smallCaps w:val="0"/>
          <w:u w:val="single"/>
          <w:lang w:val="en-US" w:eastAsia="zh-CN"/>
        </w:rPr>
        <w:t>《岳阳市交通运输局关于湖南海丰物流老码头提质改造技改项目一阶段施工图设计的批复》（文号“岳交港航〔2021〕237 号”）</w:t>
      </w:r>
      <w:r>
        <w:rPr>
          <w:rFonts w:hint="eastAsia" w:cs="Times New Roman"/>
          <w:caps w:val="0"/>
          <w:smallCaps w:val="0"/>
          <w:u w:val="single"/>
          <w:lang w:val="en-US" w:eastAsia="zh-CN"/>
        </w:rPr>
        <w:t>等文件</w:t>
      </w:r>
      <w:r>
        <w:rPr>
          <w:rFonts w:hint="eastAsia" w:ascii="Times New Roman" w:hAnsi="Times New Roman" w:cs="Times New Roman"/>
          <w:caps w:val="0"/>
          <w:smallCaps w:val="0"/>
          <w:u w:val="single"/>
          <w:lang w:val="en-US" w:eastAsia="zh-CN"/>
        </w:rPr>
        <w:t>，</w:t>
      </w:r>
      <w:r>
        <w:rPr>
          <w:rFonts w:hint="eastAsia" w:cs="Times New Roman"/>
          <w:caps w:val="0"/>
          <w:smallCaps w:val="0"/>
          <w:u w:val="single"/>
          <w:lang w:val="en-US" w:eastAsia="zh-CN"/>
        </w:rPr>
        <w:t>拟</w:t>
      </w:r>
      <w:r>
        <w:rPr>
          <w:rFonts w:hint="eastAsia" w:ascii="Times New Roman" w:hAnsi="Times New Roman" w:cs="Times New Roman"/>
          <w:caps w:val="0"/>
          <w:smallCaps w:val="0"/>
          <w:u w:val="single"/>
          <w:lang w:val="en-US" w:eastAsia="zh-CN"/>
        </w:rPr>
        <w:t>将原码头 1个500吨级泊位提质改造为1个2000吨级沥青泊位</w:t>
      </w:r>
      <w:r>
        <w:rPr>
          <w:rFonts w:hint="eastAsia" w:cs="Times New Roman"/>
          <w:caps w:val="0"/>
          <w:smallCaps w:val="0"/>
          <w:u w:val="single"/>
          <w:lang w:val="en-US" w:eastAsia="zh-CN"/>
        </w:rPr>
        <w:t>，顺岸布置，泊位长度150m</w:t>
      </w:r>
      <w:r>
        <w:rPr>
          <w:rFonts w:hint="eastAsia" w:ascii="Times New Roman" w:hAnsi="Times New Roman" w:cs="Times New Roman"/>
          <w:caps w:val="0"/>
          <w:smallCaps w:val="0"/>
          <w:lang w:val="en-US" w:eastAsia="zh-CN"/>
        </w:rPr>
        <w:t>。</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根据《中华人民共和国环境保护法》、《中华人民共和国环境影响评价法》《建设项目环境保护管理条例》等法律、法规的规定，对照《建设项目环境影响评价分类管理名录</w:t>
      </w:r>
      <w:r>
        <w:rPr>
          <w:rFonts w:hint="eastAsia" w:ascii="Times New Roman" w:hAnsi="Times New Roman" w:cs="Times New Roman" w:eastAsiaTheme="minorEastAsia"/>
          <w:caps w:val="0"/>
          <w:smallCaps w:val="0"/>
          <w:kern w:val="0"/>
          <w:sz w:val="24"/>
          <w:szCs w:val="24"/>
          <w:lang w:eastAsia="zh-CN"/>
        </w:rPr>
        <w:t>（</w:t>
      </w:r>
      <w:r>
        <w:rPr>
          <w:rFonts w:hint="eastAsia" w:ascii="Times New Roman" w:hAnsi="Times New Roman" w:cs="Times New Roman" w:eastAsiaTheme="minorEastAsia"/>
          <w:caps w:val="0"/>
          <w:smallCaps w:val="0"/>
          <w:kern w:val="0"/>
          <w:sz w:val="24"/>
          <w:szCs w:val="24"/>
          <w:lang w:val="en-US" w:eastAsia="zh-CN"/>
        </w:rPr>
        <w:t>2021年版</w:t>
      </w:r>
      <w:r>
        <w:rPr>
          <w:rFonts w:hint="eastAsia" w:ascii="Times New Roman" w:hAnsi="Times New Roman" w:cs="Times New Roman" w:eastAsiaTheme="minorEastAsia"/>
          <w:caps w:val="0"/>
          <w:smallCaps w:val="0"/>
          <w:kern w:val="0"/>
          <w:sz w:val="24"/>
          <w:szCs w:val="24"/>
          <w:lang w:eastAsia="zh-CN"/>
        </w:rPr>
        <w:t>）</w:t>
      </w:r>
      <w:r>
        <w:rPr>
          <w:rFonts w:ascii="Times New Roman" w:hAnsi="Times New Roman" w:cs="Times New Roman" w:eastAsiaTheme="minorEastAsia"/>
          <w:caps w:val="0"/>
          <w:smallCaps w:val="0"/>
          <w:kern w:val="0"/>
          <w:sz w:val="24"/>
          <w:szCs w:val="24"/>
        </w:rPr>
        <w:t>》（</w:t>
      </w:r>
      <w:r>
        <w:rPr>
          <w:rFonts w:hint="eastAsia" w:ascii="Times New Roman" w:hAnsi="Times New Roman" w:cs="Times New Roman" w:eastAsiaTheme="minorEastAsia"/>
          <w:caps w:val="0"/>
          <w:smallCaps w:val="0"/>
          <w:kern w:val="0"/>
          <w:sz w:val="24"/>
          <w:szCs w:val="24"/>
          <w:lang w:eastAsia="zh-CN"/>
        </w:rPr>
        <w:t>部令</w:t>
      </w:r>
      <w:r>
        <w:rPr>
          <w:rFonts w:ascii="Times New Roman" w:hAnsi="Times New Roman" w:cs="Times New Roman" w:eastAsiaTheme="minorEastAsia"/>
          <w:caps w:val="0"/>
          <w:smallCaps w:val="0"/>
          <w:kern w:val="0"/>
          <w:sz w:val="24"/>
          <w:szCs w:val="24"/>
        </w:rPr>
        <w:t>第</w:t>
      </w:r>
      <w:r>
        <w:rPr>
          <w:rFonts w:hint="eastAsia" w:ascii="Times New Roman" w:hAnsi="Times New Roman" w:cs="Times New Roman" w:eastAsiaTheme="minorEastAsia"/>
          <w:caps w:val="0"/>
          <w:smallCaps w:val="0"/>
          <w:kern w:val="0"/>
          <w:sz w:val="24"/>
          <w:szCs w:val="24"/>
          <w:lang w:val="en-US" w:eastAsia="zh-CN"/>
        </w:rPr>
        <w:t>16</w:t>
      </w:r>
      <w:r>
        <w:rPr>
          <w:rFonts w:ascii="Times New Roman" w:hAnsi="Times New Roman" w:cs="Times New Roman" w:eastAsiaTheme="minorEastAsia"/>
          <w:caps w:val="0"/>
          <w:smallCaps w:val="0"/>
          <w:kern w:val="0"/>
          <w:sz w:val="24"/>
          <w:szCs w:val="24"/>
        </w:rPr>
        <w:t>号）中“</w:t>
      </w:r>
      <w:r>
        <w:rPr>
          <w:rFonts w:hint="eastAsia" w:ascii="Times New Roman" w:hAnsi="Times New Roman" w:cs="Times New Roman" w:eastAsiaTheme="minorEastAsia"/>
          <w:caps w:val="0"/>
          <w:smallCaps w:val="0"/>
          <w:kern w:val="0"/>
          <w:sz w:val="24"/>
          <w:szCs w:val="24"/>
        </w:rPr>
        <w:t>五十二</w:t>
      </w:r>
      <w:r>
        <w:rPr>
          <w:rFonts w:ascii="Times New Roman" w:hAnsi="Times New Roman" w:cs="Times New Roman" w:eastAsiaTheme="minorEastAsia"/>
          <w:caps w:val="0"/>
          <w:smallCaps w:val="0"/>
          <w:kern w:val="0"/>
          <w:sz w:val="24"/>
          <w:szCs w:val="24"/>
        </w:rPr>
        <w:t>、交通运输业、管道运输业”类别的第1</w:t>
      </w:r>
      <w:r>
        <w:rPr>
          <w:rFonts w:hint="eastAsia" w:ascii="Times New Roman" w:hAnsi="Times New Roman" w:cs="Times New Roman" w:eastAsiaTheme="minorEastAsia"/>
          <w:caps w:val="0"/>
          <w:smallCaps w:val="0"/>
          <w:kern w:val="0"/>
          <w:sz w:val="24"/>
          <w:szCs w:val="24"/>
        </w:rPr>
        <w:t>38</w:t>
      </w:r>
      <w:r>
        <w:rPr>
          <w:rFonts w:ascii="Times New Roman" w:hAnsi="Times New Roman" w:cs="Times New Roman" w:eastAsiaTheme="minorEastAsia"/>
          <w:caps w:val="0"/>
          <w:smallCaps w:val="0"/>
          <w:kern w:val="0"/>
          <w:sz w:val="24"/>
          <w:szCs w:val="24"/>
        </w:rPr>
        <w:t>条油气、液体化工码头中“新建</w:t>
      </w:r>
      <w:r>
        <w:rPr>
          <w:rFonts w:hint="eastAsia" w:ascii="Times New Roman" w:hAnsi="Times New Roman" w:cs="Times New Roman" w:eastAsiaTheme="minorEastAsia"/>
          <w:caps w:val="0"/>
          <w:smallCaps w:val="0"/>
          <w:kern w:val="0"/>
          <w:sz w:val="24"/>
          <w:szCs w:val="24"/>
          <w:lang w:eastAsia="zh-CN"/>
        </w:rPr>
        <w:t>；岸线、水工构筑物、吞吐量、储运量增加的</w:t>
      </w:r>
      <w:r>
        <w:rPr>
          <w:rFonts w:ascii="Times New Roman" w:hAnsi="Times New Roman" w:cs="Times New Roman" w:eastAsiaTheme="minorEastAsia"/>
          <w:caps w:val="0"/>
          <w:smallCaps w:val="0"/>
          <w:kern w:val="0"/>
          <w:sz w:val="24"/>
          <w:szCs w:val="24"/>
        </w:rPr>
        <w:t>扩建</w:t>
      </w:r>
      <w:r>
        <w:rPr>
          <w:rFonts w:hint="eastAsia" w:ascii="Times New Roman" w:hAnsi="Times New Roman" w:cs="Times New Roman" w:eastAsiaTheme="minorEastAsia"/>
          <w:caps w:val="0"/>
          <w:smallCaps w:val="0"/>
          <w:kern w:val="0"/>
          <w:sz w:val="24"/>
          <w:szCs w:val="24"/>
          <w:lang w:eastAsia="zh-CN"/>
        </w:rPr>
        <w:t>；装卸货种变化的扩建</w:t>
      </w:r>
      <w:r>
        <w:rPr>
          <w:rFonts w:ascii="Times New Roman" w:hAnsi="Times New Roman" w:cs="Times New Roman" w:eastAsiaTheme="minorEastAsia"/>
          <w:caps w:val="0"/>
          <w:smallCaps w:val="0"/>
          <w:kern w:val="0"/>
          <w:sz w:val="24"/>
          <w:szCs w:val="24"/>
        </w:rPr>
        <w:t>”应编制环境影响报告书。根据现场勘查及资料收集，</w:t>
      </w:r>
      <w:r>
        <w:rPr>
          <w:rFonts w:hint="eastAsia" w:ascii="Times New Roman" w:hAnsi="Times New Roman" w:cs="Times New Roman" w:eastAsiaTheme="minorEastAsia"/>
          <w:caps w:val="0"/>
          <w:smallCaps w:val="0"/>
          <w:kern w:val="0"/>
          <w:sz w:val="24"/>
          <w:szCs w:val="24"/>
          <w:lang w:eastAsia="zh-CN"/>
        </w:rPr>
        <w:t>原码头为</w:t>
      </w:r>
      <w:r>
        <w:rPr>
          <w:rFonts w:hint="eastAsia" w:ascii="Times New Roman" w:hAnsi="Times New Roman" w:cs="Times New Roman" w:eastAsiaTheme="minorEastAsia"/>
          <w:caps w:val="0"/>
          <w:smallCaps w:val="0"/>
          <w:kern w:val="0"/>
          <w:sz w:val="24"/>
          <w:szCs w:val="24"/>
          <w:lang w:val="en-US" w:eastAsia="zh-CN"/>
        </w:rPr>
        <w:t>500吨级的普通货物码头，提质改造后为2000吨级的沥青码头，其装卸货种发生变化扩建液体化工码头</w:t>
      </w:r>
      <w:r>
        <w:rPr>
          <w:rFonts w:ascii="Times New Roman" w:hAnsi="Times New Roman" w:cs="Times New Roman" w:eastAsiaTheme="minorEastAsia"/>
          <w:caps w:val="0"/>
          <w:smallCaps w:val="0"/>
          <w:kern w:val="0"/>
          <w:sz w:val="24"/>
          <w:szCs w:val="24"/>
        </w:rPr>
        <w:t>，其环评类别应为环境影响报告书。</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为履行环保审批手续，</w:t>
      </w:r>
      <w:r>
        <w:rPr>
          <w:rFonts w:hint="eastAsia" w:ascii="Times New Roman" w:hAnsi="Times New Roman" w:cs="Times New Roman" w:eastAsiaTheme="minorEastAsia"/>
          <w:caps w:val="0"/>
          <w:smallCaps w:val="0"/>
          <w:kern w:val="0"/>
          <w:sz w:val="24"/>
          <w:szCs w:val="24"/>
        </w:rPr>
        <w:t>湖南海丰物流有限公司</w:t>
      </w:r>
      <w:r>
        <w:rPr>
          <w:rFonts w:ascii="Times New Roman" w:hAnsi="Times New Roman" w:cs="Times New Roman" w:eastAsiaTheme="minorEastAsia"/>
          <w:caps w:val="0"/>
          <w:smallCaps w:val="0"/>
          <w:kern w:val="0"/>
          <w:sz w:val="24"/>
          <w:szCs w:val="24"/>
        </w:rPr>
        <w:t>对本项目进行环境影响评价。在接受委托之后，我</w:t>
      </w:r>
      <w:r>
        <w:rPr>
          <w:rFonts w:hint="eastAsia" w:cs="Times New Roman" w:eastAsiaTheme="minorEastAsia"/>
          <w:caps w:val="0"/>
          <w:smallCaps w:val="0"/>
          <w:kern w:val="0"/>
          <w:sz w:val="24"/>
          <w:szCs w:val="24"/>
          <w:lang w:eastAsia="zh-CN"/>
        </w:rPr>
        <w:t>公</w:t>
      </w:r>
      <w:r>
        <w:rPr>
          <w:rFonts w:ascii="Times New Roman" w:hAnsi="Times New Roman" w:cs="Times New Roman" w:eastAsiaTheme="minorEastAsia"/>
          <w:caps w:val="0"/>
          <w:smallCaps w:val="0"/>
          <w:kern w:val="0"/>
          <w:sz w:val="24"/>
          <w:szCs w:val="24"/>
        </w:rPr>
        <w:t>司立即成立项目组，组织人员对项目现场进行了细致的踏勘，收集了相关基础资料，按照相关要求，编制了该项目环境影响报告书，报</w:t>
      </w:r>
      <w:r>
        <w:rPr>
          <w:rFonts w:hint="eastAsia" w:ascii="Times New Roman" w:hAnsi="Times New Roman" w:cs="Times New Roman" w:eastAsiaTheme="minorEastAsia"/>
          <w:caps w:val="0"/>
          <w:smallCaps w:val="0"/>
          <w:kern w:val="0"/>
          <w:sz w:val="24"/>
          <w:szCs w:val="24"/>
        </w:rPr>
        <w:t>生态环境</w:t>
      </w:r>
      <w:r>
        <w:rPr>
          <w:rFonts w:ascii="Times New Roman" w:hAnsi="Times New Roman" w:cs="Times New Roman" w:eastAsiaTheme="minorEastAsia"/>
          <w:caps w:val="0"/>
          <w:smallCaps w:val="0"/>
          <w:kern w:val="0"/>
          <w:sz w:val="24"/>
          <w:szCs w:val="24"/>
        </w:rPr>
        <w:t>主管部门审查批准。</w:t>
      </w:r>
    </w:p>
    <w:p>
      <w:pPr>
        <w:pStyle w:val="5"/>
        <w:rPr>
          <w:rFonts w:ascii="Times New Roman" w:hAnsi="Times New Roman" w:cs="Times New Roman" w:eastAsiaTheme="minorEastAsia"/>
          <w:b/>
          <w:caps w:val="0"/>
          <w:smallCaps w:val="0"/>
        </w:rPr>
      </w:pPr>
      <w:bookmarkStart w:id="2" w:name="_Toc6244"/>
      <w:r>
        <w:rPr>
          <w:rFonts w:ascii="Times New Roman" w:hAnsi="Times New Roman" w:cs="Times New Roman" w:eastAsiaTheme="minorEastAsia"/>
          <w:b/>
          <w:caps w:val="0"/>
          <w:smallCaps w:val="0"/>
        </w:rPr>
        <w:t>项目特点</w:t>
      </w:r>
      <w:bookmarkEnd w:id="2"/>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本项目包括码头及管线工程。码头位于岳阳</w:t>
      </w:r>
      <w:r>
        <w:rPr>
          <w:rFonts w:hint="eastAsia" w:ascii="Times New Roman" w:hAnsi="Times New Roman" w:cs="Times New Roman" w:eastAsiaTheme="minorEastAsia"/>
          <w:caps w:val="0"/>
          <w:smallCaps w:val="0"/>
          <w:kern w:val="0"/>
          <w:sz w:val="24"/>
          <w:szCs w:val="24"/>
        </w:rPr>
        <w:t>港汨罗港区</w:t>
      </w:r>
      <w:r>
        <w:rPr>
          <w:rFonts w:ascii="Times New Roman" w:hAnsi="Times New Roman" w:cs="Times New Roman" w:eastAsiaTheme="minorEastAsia"/>
          <w:caps w:val="0"/>
          <w:smallCaps w:val="0"/>
          <w:kern w:val="0"/>
          <w:sz w:val="24"/>
          <w:szCs w:val="24"/>
        </w:rPr>
        <w:t>作业区岸线，管线连接码头与罐区。</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color w:val="000000"/>
          <w:kern w:val="0"/>
          <w:sz w:val="24"/>
          <w:szCs w:val="24"/>
        </w:rPr>
        <w:t>本项目分为水域和陆域两个部分。水域工程：拟对</w:t>
      </w:r>
      <w:r>
        <w:rPr>
          <w:rFonts w:hint="eastAsia" w:ascii="Times New Roman" w:hAnsi="Times New Roman" w:cs="Times New Roman" w:eastAsiaTheme="minorEastAsia"/>
          <w:caps w:val="0"/>
          <w:smallCaps w:val="0"/>
          <w:color w:val="000000"/>
          <w:kern w:val="0"/>
          <w:sz w:val="24"/>
          <w:szCs w:val="24"/>
        </w:rPr>
        <w:t>原码头</w:t>
      </w:r>
      <w:r>
        <w:rPr>
          <w:rFonts w:ascii="Times New Roman" w:hAnsi="Times New Roman" w:cs="Times New Roman" w:eastAsiaTheme="minorEastAsia"/>
          <w:caps w:val="0"/>
          <w:smallCaps w:val="0"/>
          <w:color w:val="000000"/>
          <w:kern w:val="0"/>
          <w:sz w:val="24"/>
          <w:szCs w:val="24"/>
        </w:rPr>
        <w:t>拆除重建，建设</w:t>
      </w:r>
      <w:r>
        <w:rPr>
          <w:rFonts w:hint="eastAsia" w:ascii="Times New Roman" w:hAnsi="Times New Roman" w:cs="Times New Roman" w:eastAsiaTheme="minorEastAsia"/>
          <w:caps w:val="0"/>
          <w:smallCaps w:val="0"/>
          <w:color w:val="000000"/>
          <w:kern w:val="0"/>
          <w:sz w:val="24"/>
          <w:szCs w:val="24"/>
        </w:rPr>
        <w:t>1</w:t>
      </w:r>
      <w:r>
        <w:rPr>
          <w:rFonts w:ascii="Times New Roman" w:hAnsi="Times New Roman" w:cs="Times New Roman" w:eastAsiaTheme="minorEastAsia"/>
          <w:caps w:val="0"/>
          <w:smallCaps w:val="0"/>
          <w:color w:val="000000"/>
          <w:kern w:val="0"/>
          <w:sz w:val="24"/>
          <w:szCs w:val="24"/>
        </w:rPr>
        <w:t>个</w:t>
      </w:r>
      <w:r>
        <w:rPr>
          <w:rFonts w:hint="eastAsia" w:ascii="Times New Roman" w:hAnsi="Times New Roman" w:cs="Times New Roman" w:eastAsiaTheme="minorEastAsia"/>
          <w:caps w:val="0"/>
          <w:smallCaps w:val="0"/>
          <w:color w:val="000000"/>
          <w:kern w:val="0"/>
          <w:sz w:val="24"/>
          <w:szCs w:val="24"/>
        </w:rPr>
        <w:t>2</w:t>
      </w:r>
      <w:r>
        <w:rPr>
          <w:rFonts w:ascii="Times New Roman" w:hAnsi="Times New Roman" w:cs="Times New Roman" w:eastAsiaTheme="minorEastAsia"/>
          <w:caps w:val="0"/>
          <w:smallCaps w:val="0"/>
          <w:color w:val="000000"/>
          <w:kern w:val="0"/>
          <w:sz w:val="24"/>
          <w:szCs w:val="24"/>
        </w:rPr>
        <w:t>000吨级</w:t>
      </w:r>
      <w:r>
        <w:rPr>
          <w:rFonts w:hint="eastAsia" w:ascii="Times New Roman" w:hAnsi="Times New Roman" w:cs="Times New Roman" w:eastAsiaTheme="minorEastAsia"/>
          <w:caps w:val="0"/>
          <w:smallCaps w:val="0"/>
          <w:color w:val="000000"/>
          <w:kern w:val="0"/>
          <w:sz w:val="24"/>
          <w:szCs w:val="24"/>
        </w:rPr>
        <w:t>沥青</w:t>
      </w:r>
      <w:r>
        <w:rPr>
          <w:rFonts w:ascii="Times New Roman" w:hAnsi="Times New Roman" w:cs="Times New Roman" w:eastAsiaTheme="minorEastAsia"/>
          <w:caps w:val="0"/>
          <w:smallCaps w:val="0"/>
          <w:color w:val="000000"/>
          <w:kern w:val="0"/>
          <w:sz w:val="24"/>
          <w:szCs w:val="24"/>
        </w:rPr>
        <w:t>泊位</w:t>
      </w:r>
      <w:r>
        <w:rPr>
          <w:rFonts w:hint="eastAsia" w:ascii="Times New Roman" w:hAnsi="Times New Roman" w:cs="Times New Roman" w:eastAsiaTheme="minorEastAsia"/>
          <w:caps w:val="0"/>
          <w:smallCaps w:val="0"/>
          <w:color w:val="000000"/>
          <w:kern w:val="0"/>
          <w:sz w:val="24"/>
          <w:szCs w:val="24"/>
        </w:rPr>
        <w:t>，本项目</w:t>
      </w:r>
      <w:r>
        <w:rPr>
          <w:rFonts w:ascii="Times New Roman" w:hAnsi="Times New Roman" w:cs="Times New Roman" w:eastAsiaTheme="minorEastAsia"/>
          <w:caps w:val="0"/>
          <w:smallCaps w:val="0"/>
          <w:color w:val="000000"/>
          <w:kern w:val="0"/>
          <w:sz w:val="24"/>
          <w:szCs w:val="24"/>
        </w:rPr>
        <w:t>主要施工项目有水工建筑物、工艺设备及土建工程、水、电、信配套设施安装等</w:t>
      </w:r>
      <w:r>
        <w:rPr>
          <w:rFonts w:hint="eastAsia" w:ascii="Times New Roman" w:hAnsi="Times New Roman" w:cs="Times New Roman" w:eastAsiaTheme="minorEastAsia"/>
          <w:caps w:val="0"/>
          <w:smallCaps w:val="0"/>
          <w:color w:val="000000"/>
          <w:kern w:val="0"/>
          <w:sz w:val="24"/>
          <w:szCs w:val="24"/>
        </w:rPr>
        <w:t>。</w:t>
      </w:r>
      <w:r>
        <w:rPr>
          <w:rFonts w:ascii="Times New Roman" w:hAnsi="Times New Roman" w:cs="Times New Roman" w:eastAsiaTheme="minorEastAsia"/>
          <w:caps w:val="0"/>
          <w:smallCaps w:val="0"/>
          <w:color w:val="000000"/>
          <w:kern w:val="0"/>
          <w:sz w:val="24"/>
          <w:szCs w:val="24"/>
        </w:rPr>
        <w:t>陆域工程：依托现有设施，不涉及储罐区，增加部分转输泵、系统管线及其配套电气、自控、电信设施，拆除原有</w:t>
      </w:r>
      <w:r>
        <w:rPr>
          <w:rFonts w:hint="eastAsia" w:ascii="Times New Roman" w:hAnsi="Times New Roman" w:cs="Times New Roman" w:eastAsiaTheme="minorEastAsia"/>
          <w:caps w:val="0"/>
          <w:smallCaps w:val="0"/>
          <w:color w:val="000000"/>
          <w:kern w:val="0"/>
          <w:sz w:val="24"/>
          <w:szCs w:val="24"/>
        </w:rPr>
        <w:t>斜坡码头</w:t>
      </w:r>
      <w:r>
        <w:rPr>
          <w:rFonts w:hint="eastAsia" w:ascii="Times New Roman" w:hAnsi="Times New Roman" w:cs="Times New Roman" w:eastAsiaTheme="minorEastAsia"/>
          <w:caps w:val="0"/>
          <w:smallCaps w:val="0"/>
          <w:color w:val="000000"/>
          <w:kern w:val="0"/>
          <w:sz w:val="24"/>
          <w:szCs w:val="24"/>
          <w:lang w:eastAsia="zh-CN"/>
        </w:rPr>
        <w:t>管线</w:t>
      </w:r>
      <w:r>
        <w:rPr>
          <w:rFonts w:hint="eastAsia" w:ascii="Times New Roman" w:hAnsi="Times New Roman" w:cs="Times New Roman" w:eastAsiaTheme="minorEastAsia"/>
          <w:caps w:val="0"/>
          <w:smallCaps w:val="0"/>
          <w:color w:val="000000"/>
          <w:kern w:val="0"/>
          <w:sz w:val="24"/>
          <w:szCs w:val="24"/>
        </w:rPr>
        <w:t>并复绿</w:t>
      </w:r>
      <w:r>
        <w:rPr>
          <w:rFonts w:ascii="Times New Roman" w:hAnsi="Times New Roman" w:cs="Times New Roman" w:eastAsiaTheme="minorEastAsia"/>
          <w:caps w:val="0"/>
          <w:smallCaps w:val="0"/>
          <w:color w:val="000000"/>
          <w:kern w:val="0"/>
          <w:sz w:val="24"/>
          <w:szCs w:val="24"/>
        </w:rPr>
        <w:t>。</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本项目施工期约</w:t>
      </w:r>
      <w:r>
        <w:rPr>
          <w:rFonts w:hint="eastAsia" w:ascii="Times New Roman" w:hAnsi="Times New Roman" w:cs="Times New Roman" w:eastAsiaTheme="minorEastAsia"/>
          <w:caps w:val="0"/>
          <w:smallCaps w:val="0"/>
          <w:kern w:val="0"/>
          <w:sz w:val="24"/>
          <w:szCs w:val="24"/>
        </w:rPr>
        <w:t>3</w:t>
      </w:r>
      <w:r>
        <w:rPr>
          <w:rFonts w:ascii="Times New Roman" w:hAnsi="Times New Roman" w:cs="Times New Roman" w:eastAsiaTheme="minorEastAsia"/>
          <w:caps w:val="0"/>
          <w:smallCaps w:val="0"/>
          <w:kern w:val="0"/>
          <w:sz w:val="24"/>
          <w:szCs w:val="24"/>
        </w:rPr>
        <w:t>个月，</w:t>
      </w:r>
      <w:r>
        <w:rPr>
          <w:rFonts w:ascii="Times New Roman" w:hAnsi="Times New Roman" w:cs="Times New Roman" w:eastAsiaTheme="minorEastAsia"/>
          <w:caps w:val="0"/>
          <w:smallCaps w:val="0"/>
          <w:color w:val="000000"/>
          <w:kern w:val="0"/>
          <w:sz w:val="24"/>
          <w:szCs w:val="24"/>
        </w:rPr>
        <w:t>本项目总投资</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约</w:t>
      </w:r>
      <w:r>
        <w:rPr>
          <w:rFonts w:hint="eastAsia" w:ascii="Times New Roman" w:hAnsi="Times New Roman" w:cs="Times New Roman" w:eastAsiaTheme="minorEastAsia"/>
          <w:caps w:val="0"/>
          <w:smallCaps w:val="0"/>
          <w:color w:val="000000" w:themeColor="text1"/>
          <w:kern w:val="0"/>
          <w:sz w:val="24"/>
          <w:szCs w:val="24"/>
          <w14:textFill>
            <w14:solidFill>
              <w14:schemeClr w14:val="tx1"/>
            </w14:solidFill>
          </w14:textFill>
        </w:rPr>
        <w:t>2679.77</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万</w:t>
      </w:r>
      <w:r>
        <w:rPr>
          <w:rFonts w:ascii="Times New Roman" w:hAnsi="Times New Roman" w:cs="Times New Roman" w:eastAsiaTheme="minorEastAsia"/>
          <w:caps w:val="0"/>
          <w:smallCaps w:val="0"/>
          <w:color w:val="000000"/>
          <w:kern w:val="0"/>
          <w:sz w:val="24"/>
          <w:szCs w:val="24"/>
        </w:rPr>
        <w:t>元。</w:t>
      </w:r>
    </w:p>
    <w:p>
      <w:pPr>
        <w:pStyle w:val="5"/>
        <w:rPr>
          <w:rFonts w:ascii="Times New Roman" w:hAnsi="Times New Roman" w:cs="Times New Roman" w:eastAsiaTheme="minorEastAsia"/>
          <w:b/>
          <w:caps w:val="0"/>
          <w:smallCaps w:val="0"/>
        </w:rPr>
      </w:pPr>
      <w:bookmarkStart w:id="3" w:name="_Toc4560"/>
      <w:r>
        <w:rPr>
          <w:rFonts w:ascii="Times New Roman" w:hAnsi="Times New Roman" w:cs="Times New Roman" w:eastAsiaTheme="minorEastAsia"/>
          <w:b/>
          <w:caps w:val="0"/>
          <w:smallCaps w:val="0"/>
        </w:rPr>
        <w:t>环境影响评价工作过程</w:t>
      </w:r>
      <w:bookmarkEnd w:id="3"/>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根据《中华人民共和国环境评价法》第十六条、第二十五条和国务院第682号令《建设项目环境保护管理办法》的有关规定，为切实做好建设项目的环境保护工作，使经济建设与环境保护协调发展，确保项目工程顺利进行，本项目必须进行环评申报审批程序。对照中华人民共和国环境保护部第</w:t>
      </w:r>
      <w:r>
        <w:rPr>
          <w:rFonts w:hint="eastAsia" w:ascii="Times New Roman" w:hAnsi="Times New Roman" w:cs="Times New Roman" w:eastAsiaTheme="minorEastAsia"/>
          <w:caps w:val="0"/>
          <w:smallCaps w:val="0"/>
          <w:kern w:val="0"/>
          <w:sz w:val="24"/>
          <w:szCs w:val="24"/>
          <w:lang w:val="en-US" w:eastAsia="zh-CN"/>
        </w:rPr>
        <w:t>16</w:t>
      </w:r>
      <w:r>
        <w:rPr>
          <w:rFonts w:ascii="Times New Roman" w:hAnsi="Times New Roman" w:cs="Times New Roman" w:eastAsiaTheme="minorEastAsia"/>
          <w:caps w:val="0"/>
          <w:smallCaps w:val="0"/>
          <w:kern w:val="0"/>
          <w:sz w:val="24"/>
          <w:szCs w:val="24"/>
        </w:rPr>
        <w:t>号令《建设项目环境影响评价分类管理名录》</w:t>
      </w:r>
      <w:r>
        <w:rPr>
          <w:rFonts w:hint="eastAsia" w:ascii="Times New Roman" w:hAnsi="Times New Roman" w:cs="Times New Roman" w:eastAsiaTheme="minorEastAsia"/>
          <w:caps w:val="0"/>
          <w:smallCaps w:val="0"/>
          <w:kern w:val="0"/>
          <w:sz w:val="24"/>
          <w:szCs w:val="24"/>
          <w:lang w:eastAsia="zh-CN"/>
        </w:rPr>
        <w:t>中“五十二、交通运输业、管道运输业”类别的第138条油气、液体化工码头中“新建；岸线、水工构筑物、吞吐量、储运量增加的扩建；装卸货种变化的扩建”应编制环境影响报告书。根据现场勘查及资料收集，原码头为</w:t>
      </w:r>
      <w:r>
        <w:rPr>
          <w:rFonts w:hint="eastAsia" w:ascii="Times New Roman" w:hAnsi="Times New Roman" w:cs="Times New Roman" w:eastAsiaTheme="minorEastAsia"/>
          <w:caps w:val="0"/>
          <w:smallCaps w:val="0"/>
          <w:kern w:val="0"/>
          <w:sz w:val="24"/>
          <w:szCs w:val="24"/>
          <w:lang w:val="en-US" w:eastAsia="zh-CN"/>
        </w:rPr>
        <w:t>500吨级的普通货物码头，提质改造后为2000吨级的沥青码头，其装卸货种发生变化扩建液体化工码头</w:t>
      </w:r>
      <w:r>
        <w:rPr>
          <w:rFonts w:hint="eastAsia" w:ascii="Times New Roman" w:hAnsi="Times New Roman" w:cs="Times New Roman" w:eastAsiaTheme="minorEastAsia"/>
          <w:caps w:val="0"/>
          <w:smallCaps w:val="0"/>
          <w:kern w:val="0"/>
          <w:sz w:val="24"/>
          <w:szCs w:val="24"/>
          <w:lang w:eastAsia="zh-CN"/>
        </w:rPr>
        <w:t>，其环评类别应为环境影响报告书。</w:t>
      </w:r>
      <w:r>
        <w:rPr>
          <w:rFonts w:ascii="Times New Roman" w:hAnsi="Times New Roman" w:cs="Times New Roman" w:eastAsiaTheme="minorEastAsia"/>
          <w:caps w:val="0"/>
          <w:smallCaps w:val="0"/>
          <w:kern w:val="0"/>
          <w:sz w:val="24"/>
          <w:szCs w:val="24"/>
        </w:rPr>
        <w:t>根据现场勘查及资料收集，确定项目码头为</w:t>
      </w:r>
      <w:r>
        <w:rPr>
          <w:rFonts w:hint="eastAsia" w:ascii="Times New Roman" w:hAnsi="Times New Roman" w:cs="Times New Roman" w:eastAsiaTheme="minorEastAsia"/>
          <w:caps w:val="0"/>
          <w:smallCaps w:val="0"/>
          <w:kern w:val="0"/>
          <w:sz w:val="24"/>
          <w:szCs w:val="24"/>
          <w:lang w:eastAsia="zh-CN"/>
        </w:rPr>
        <w:t>扩建液体</w:t>
      </w:r>
      <w:r>
        <w:rPr>
          <w:rFonts w:hint="eastAsia" w:ascii="Times New Roman" w:hAnsi="Times New Roman" w:cs="Times New Roman" w:eastAsiaTheme="minorEastAsia"/>
          <w:caps w:val="0"/>
          <w:smallCaps w:val="0"/>
          <w:kern w:val="0"/>
          <w:sz w:val="24"/>
          <w:szCs w:val="24"/>
        </w:rPr>
        <w:t>化工</w:t>
      </w:r>
      <w:r>
        <w:rPr>
          <w:rFonts w:ascii="Times New Roman" w:hAnsi="Times New Roman" w:cs="Times New Roman" w:eastAsiaTheme="minorEastAsia"/>
          <w:caps w:val="0"/>
          <w:smallCaps w:val="0"/>
          <w:kern w:val="0"/>
          <w:sz w:val="24"/>
          <w:szCs w:val="24"/>
        </w:rPr>
        <w:t>码头，其环评类别应为环境影响报告书。</w:t>
      </w:r>
      <w:r>
        <w:rPr>
          <w:rFonts w:hint="eastAsia" w:ascii="Times New Roman" w:hAnsi="Times New Roman" w:cs="Times New Roman" w:eastAsiaTheme="minorEastAsia"/>
          <w:caps w:val="0"/>
          <w:smallCaps w:val="0"/>
          <w:kern w:val="0"/>
          <w:sz w:val="24"/>
          <w:szCs w:val="24"/>
        </w:rPr>
        <w:t>湖南海丰物流有限公司</w:t>
      </w:r>
      <w:r>
        <w:rPr>
          <w:rFonts w:ascii="Times New Roman" w:hAnsi="Times New Roman" w:cs="Times New Roman" w:eastAsiaTheme="minorEastAsia"/>
          <w:caps w:val="0"/>
          <w:smallCaps w:val="0"/>
          <w:kern w:val="0"/>
          <w:sz w:val="24"/>
          <w:szCs w:val="24"/>
        </w:rPr>
        <w:t>于20</w:t>
      </w:r>
      <w:r>
        <w:rPr>
          <w:rFonts w:hint="eastAsia" w:ascii="Times New Roman" w:hAnsi="Times New Roman" w:cs="Times New Roman" w:eastAsiaTheme="minorEastAsia"/>
          <w:caps w:val="0"/>
          <w:smallCaps w:val="0"/>
          <w:kern w:val="0"/>
          <w:sz w:val="24"/>
          <w:szCs w:val="24"/>
        </w:rPr>
        <w:t>21</w:t>
      </w:r>
      <w:r>
        <w:rPr>
          <w:rFonts w:ascii="Times New Roman" w:hAnsi="Times New Roman" w:cs="Times New Roman" w:eastAsiaTheme="minorEastAsia"/>
          <w:caps w:val="0"/>
          <w:smallCaps w:val="0"/>
          <w:kern w:val="0"/>
          <w:sz w:val="24"/>
          <w:szCs w:val="24"/>
        </w:rPr>
        <w:t>年</w:t>
      </w:r>
      <w:r>
        <w:rPr>
          <w:rFonts w:hint="eastAsia" w:ascii="Times New Roman" w:hAnsi="Times New Roman" w:cs="Times New Roman" w:eastAsiaTheme="minorEastAsia"/>
          <w:caps w:val="0"/>
          <w:smallCaps w:val="0"/>
          <w:kern w:val="0"/>
          <w:sz w:val="24"/>
          <w:szCs w:val="24"/>
        </w:rPr>
        <w:t>4</w:t>
      </w:r>
      <w:r>
        <w:rPr>
          <w:rFonts w:ascii="Times New Roman" w:hAnsi="Times New Roman" w:cs="Times New Roman" w:eastAsiaTheme="minorEastAsia"/>
          <w:caps w:val="0"/>
          <w:smallCaps w:val="0"/>
          <w:kern w:val="0"/>
          <w:sz w:val="24"/>
          <w:szCs w:val="24"/>
        </w:rPr>
        <w:t>月委托</w:t>
      </w:r>
      <w:r>
        <w:rPr>
          <w:rFonts w:hint="eastAsia" w:ascii="Times New Roman" w:hAnsi="Times New Roman" w:cs="Times New Roman" w:eastAsiaTheme="minorEastAsia"/>
          <w:caps w:val="0"/>
          <w:smallCaps w:val="0"/>
          <w:kern w:val="0"/>
          <w:sz w:val="24"/>
          <w:szCs w:val="24"/>
        </w:rPr>
        <w:t>湖南美景环保科技咨询服务有限公司</w:t>
      </w:r>
      <w:r>
        <w:rPr>
          <w:rFonts w:ascii="Times New Roman" w:hAnsi="Times New Roman" w:cs="Times New Roman" w:eastAsiaTheme="minorEastAsia"/>
          <w:caps w:val="0"/>
          <w:smallCaps w:val="0"/>
          <w:kern w:val="0"/>
          <w:sz w:val="24"/>
          <w:szCs w:val="24"/>
        </w:rPr>
        <w:t>承担</w:t>
      </w:r>
      <w:r>
        <w:rPr>
          <w:rFonts w:hint="eastAsia" w:ascii="Times New Roman" w:hAnsi="Times New Roman" w:cs="Times New Roman" w:eastAsiaTheme="minorEastAsia"/>
          <w:caps w:val="0"/>
          <w:smallCaps w:val="0"/>
          <w:kern w:val="0"/>
          <w:sz w:val="24"/>
          <w:szCs w:val="24"/>
        </w:rPr>
        <w:t>湖南海丰物流有老码头提质改造项目</w:t>
      </w:r>
      <w:r>
        <w:rPr>
          <w:rFonts w:ascii="Times New Roman" w:hAnsi="Times New Roman" w:cs="Times New Roman" w:eastAsiaTheme="minorEastAsia"/>
          <w:caps w:val="0"/>
          <w:smallCaps w:val="0"/>
          <w:kern w:val="0"/>
          <w:sz w:val="24"/>
          <w:szCs w:val="24"/>
        </w:rPr>
        <w:t>的环境影响评价工作，并编制环境影响报告书。</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20</w:t>
      </w:r>
      <w:r>
        <w:rPr>
          <w:rFonts w:hint="eastAsia" w:ascii="Times New Roman" w:hAnsi="Times New Roman" w:cs="Times New Roman" w:eastAsiaTheme="minorEastAsia"/>
          <w:caps w:val="0"/>
          <w:smallCaps w:val="0"/>
          <w:kern w:val="0"/>
          <w:sz w:val="24"/>
          <w:szCs w:val="24"/>
        </w:rPr>
        <w:t>21</w:t>
      </w:r>
      <w:r>
        <w:rPr>
          <w:rFonts w:ascii="Times New Roman" w:hAnsi="Times New Roman" w:cs="Times New Roman" w:eastAsiaTheme="minorEastAsia"/>
          <w:caps w:val="0"/>
          <w:smallCaps w:val="0"/>
          <w:kern w:val="0"/>
          <w:sz w:val="24"/>
          <w:szCs w:val="24"/>
        </w:rPr>
        <w:t>年</w:t>
      </w:r>
      <w:r>
        <w:rPr>
          <w:rFonts w:hint="eastAsia" w:ascii="Times New Roman" w:hAnsi="Times New Roman" w:cs="Times New Roman" w:eastAsiaTheme="minorEastAsia"/>
          <w:caps w:val="0"/>
          <w:smallCaps w:val="0"/>
          <w:kern w:val="0"/>
          <w:sz w:val="24"/>
          <w:szCs w:val="24"/>
        </w:rPr>
        <w:t>4</w:t>
      </w:r>
      <w:r>
        <w:rPr>
          <w:rFonts w:ascii="Times New Roman" w:hAnsi="Times New Roman" w:cs="Times New Roman" w:eastAsiaTheme="minorEastAsia"/>
          <w:caps w:val="0"/>
          <w:smallCaps w:val="0"/>
          <w:kern w:val="0"/>
          <w:sz w:val="24"/>
          <w:szCs w:val="24"/>
        </w:rPr>
        <w:t>月评价单位接受环评委托后，评价技术人员收集项目设计方案及相关规划等基础资料，对现场初步调查，对项目工程进行初步分析，对环境影响因素进行识别与筛选，确定项目评价重点和环境保护目标、评价工作等级、评价范围和评价标准等。</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20</w:t>
      </w:r>
      <w:r>
        <w:rPr>
          <w:rFonts w:hint="eastAsia" w:ascii="Times New Roman" w:hAnsi="Times New Roman" w:cs="Times New Roman" w:eastAsiaTheme="minorEastAsia"/>
          <w:caps w:val="0"/>
          <w:smallCaps w:val="0"/>
          <w:color w:val="000000" w:themeColor="text1"/>
          <w:kern w:val="0"/>
          <w:sz w:val="24"/>
          <w:szCs w:val="24"/>
          <w14:textFill>
            <w14:solidFill>
              <w14:schemeClr w14:val="tx1"/>
            </w14:solidFill>
          </w14:textFill>
        </w:rPr>
        <w:t>21</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年</w:t>
      </w:r>
      <w:r>
        <w:rPr>
          <w:rFonts w:hint="eastAsia" w:ascii="Times New Roman" w:hAnsi="Times New Roman" w:cs="Times New Roman" w:eastAsiaTheme="minorEastAsia"/>
          <w:caps w:val="0"/>
          <w:smallCaps w:val="0"/>
          <w:color w:val="000000" w:themeColor="text1"/>
          <w:kern w:val="0"/>
          <w:sz w:val="24"/>
          <w:szCs w:val="24"/>
          <w14:textFill>
            <w14:solidFill>
              <w14:schemeClr w14:val="tx1"/>
            </w14:solidFill>
          </w14:textFill>
        </w:rPr>
        <w:t>4</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月~20</w:t>
      </w:r>
      <w:r>
        <w:rPr>
          <w:rFonts w:hint="eastAsia" w:ascii="Times New Roman" w:hAnsi="Times New Roman" w:cs="Times New Roman" w:eastAsiaTheme="minorEastAsia"/>
          <w:caps w:val="0"/>
          <w:smallCaps w:val="0"/>
          <w:color w:val="000000" w:themeColor="text1"/>
          <w:kern w:val="0"/>
          <w:sz w:val="24"/>
          <w:szCs w:val="24"/>
          <w14:textFill>
            <w14:solidFill>
              <w14:schemeClr w14:val="tx1"/>
            </w14:solidFill>
          </w14:textFill>
        </w:rPr>
        <w:t>21</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年</w:t>
      </w:r>
      <w:r>
        <w:rPr>
          <w:rFonts w:hint="eastAsia" w:ascii="Times New Roman" w:hAnsi="Times New Roman" w:cs="Times New Roman" w:eastAsiaTheme="minorEastAsia"/>
          <w:caps w:val="0"/>
          <w:smallCaps w:val="0"/>
          <w:color w:val="000000" w:themeColor="text1"/>
          <w:kern w:val="0"/>
          <w:sz w:val="24"/>
          <w:szCs w:val="24"/>
          <w14:textFill>
            <w14:solidFill>
              <w14:schemeClr w14:val="tx1"/>
            </w14:solidFill>
          </w14:textFill>
        </w:rPr>
        <w:t>5</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月开展对评价范围内环境质量现状调查工作，</w:t>
      </w:r>
      <w:r>
        <w:rPr>
          <w:rFonts w:ascii="Times New Roman" w:hAnsi="Times New Roman" w:cs="Times New Roman" w:eastAsiaTheme="minorEastAsia"/>
          <w:caps w:val="0"/>
          <w:smallCaps w:val="0"/>
          <w:kern w:val="0"/>
          <w:sz w:val="24"/>
          <w:szCs w:val="24"/>
        </w:rPr>
        <w:t>同时对项目工程进行详细分析，确定项目主要污染因素及生态影响因素。在环境现状调查和工程分析的基础上，对各环境要素环境影响进行预测与评价。在各环境要素及影响分析的基础上，提出环境保护措施，并对项目产业政策、选址规划、环境经济损益等符合性进行分析，提出环境管理及环境监测要求。</w:t>
      </w:r>
    </w:p>
    <w:p>
      <w:pPr>
        <w:pStyle w:val="5"/>
        <w:rPr>
          <w:rFonts w:ascii="Times New Roman" w:hAnsi="Times New Roman" w:cs="Times New Roman" w:eastAsiaTheme="minorEastAsia"/>
          <w:b/>
          <w:caps w:val="0"/>
          <w:smallCaps w:val="0"/>
        </w:rPr>
      </w:pPr>
      <w:bookmarkStart w:id="4" w:name="_Toc7138"/>
      <w:r>
        <w:rPr>
          <w:rFonts w:ascii="Times New Roman" w:hAnsi="Times New Roman" w:cs="Times New Roman" w:eastAsiaTheme="minorEastAsia"/>
          <w:b/>
          <w:caps w:val="0"/>
          <w:smallCaps w:val="0"/>
        </w:rPr>
        <w:t>分析判定相关情况</w:t>
      </w:r>
      <w:bookmarkEnd w:id="4"/>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bookmarkStart w:id="5" w:name="_Toc2594_WPSOffice_Level3"/>
      <w:bookmarkStart w:id="6" w:name="_Toc17572_WPSOffice_Level3"/>
      <w:bookmarkStart w:id="7" w:name="_Toc13351_WPSOffice_Level3"/>
      <w:bookmarkStart w:id="8" w:name="_Toc4118_WPSOffice_Level3"/>
      <w:r>
        <w:rPr>
          <w:rFonts w:ascii="Times New Roman" w:hAnsi="Times New Roman" w:cs="Times New Roman" w:eastAsiaTheme="minorEastAsia"/>
          <w:caps w:val="0"/>
          <w:smallCaps w:val="0"/>
          <w:kern w:val="0"/>
          <w:sz w:val="24"/>
          <w:szCs w:val="24"/>
        </w:rPr>
        <w:t>（1）与《产业结构调整指导目录（2019年本）》相符性</w:t>
      </w:r>
      <w:bookmarkEnd w:id="5"/>
      <w:bookmarkEnd w:id="6"/>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lang w:eastAsia="zh-CN"/>
        </w:rPr>
      </w:pPr>
      <w:r>
        <w:rPr>
          <w:rFonts w:ascii="Times New Roman" w:hAnsi="Times New Roman" w:cs="Times New Roman" w:eastAsiaTheme="minorEastAsia"/>
          <w:caps w:val="0"/>
          <w:smallCaps w:val="0"/>
          <w:kern w:val="0"/>
          <w:sz w:val="24"/>
          <w:szCs w:val="24"/>
          <w:lang w:eastAsia="zh-CN"/>
        </w:rPr>
        <w:t>本项目设有1个2000吨级泊位，属于湘江内河千吨级泊位，</w:t>
      </w:r>
      <w:r>
        <w:rPr>
          <w:rFonts w:ascii="Times New Roman" w:hAnsi="Times New Roman" w:cs="Times New Roman" w:eastAsiaTheme="minorEastAsia"/>
          <w:caps w:val="0"/>
          <w:smallCaps w:val="0"/>
          <w:kern w:val="0"/>
          <w:sz w:val="24"/>
          <w:szCs w:val="24"/>
        </w:rPr>
        <w:t>符合《产业结构调整指导目录（2019年本）</w:t>
      </w:r>
      <w:r>
        <w:rPr>
          <w:rFonts w:ascii="Times New Roman" w:hAnsi="Times New Roman" w:cs="Times New Roman" w:eastAsiaTheme="minorEastAsia"/>
          <w:caps w:val="0"/>
          <w:smallCaps w:val="0"/>
          <w:kern w:val="0"/>
          <w:sz w:val="24"/>
          <w:szCs w:val="24"/>
          <w:lang w:eastAsia="zh-CN"/>
        </w:rPr>
        <w:t>》</w:t>
      </w:r>
      <w:r>
        <w:rPr>
          <w:rFonts w:ascii="Times New Roman" w:hAnsi="Times New Roman" w:cs="Times New Roman" w:eastAsiaTheme="minorEastAsia"/>
          <w:caps w:val="0"/>
          <w:smallCaps w:val="0"/>
          <w:kern w:val="0"/>
          <w:sz w:val="24"/>
          <w:szCs w:val="24"/>
        </w:rPr>
        <w:t>中鼓励类</w:t>
      </w:r>
      <w:r>
        <w:rPr>
          <w:rFonts w:ascii="Times New Roman" w:hAnsi="Times New Roman" w:cs="Times New Roman" w:eastAsiaTheme="minorEastAsia"/>
          <w:caps w:val="0"/>
          <w:smallCaps w:val="0"/>
          <w:kern w:val="0"/>
          <w:sz w:val="24"/>
          <w:szCs w:val="24"/>
          <w:lang w:eastAsia="zh-CN"/>
        </w:rPr>
        <w:t>“二十五、水运”中“1、深水泊位（沿海万吨级、内河千吨级及以上）建设”中的“内河千吨级及以上”。</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因此，项目符合国家产业政策。</w:t>
      </w:r>
    </w:p>
    <w:p>
      <w:pPr>
        <w:pStyle w:val="94"/>
        <w:rPr>
          <w:rFonts w:ascii="Times New Roman" w:hAnsi="Times New Roman" w:cs="Times New Roman"/>
          <w:caps w:val="0"/>
          <w:smallCaps w:val="0"/>
          <w:sz w:val="21"/>
          <w:szCs w:val="21"/>
        </w:rPr>
      </w:pPr>
      <w:r>
        <w:rPr>
          <w:rFonts w:ascii="Times New Roman" w:hAnsi="Times New Roman" w:cs="Times New Roman"/>
          <w:caps w:val="0"/>
          <w:smallCaps w:val="0"/>
          <w:sz w:val="21"/>
          <w:szCs w:val="21"/>
        </w:rPr>
        <w:t>表1.</w:t>
      </w:r>
      <w:r>
        <w:rPr>
          <w:rFonts w:hint="eastAsia" w:ascii="Times New Roman" w:hAnsi="Times New Roman" w:cs="Times New Roman"/>
          <w:caps w:val="0"/>
          <w:smallCaps w:val="0"/>
          <w:sz w:val="21"/>
          <w:szCs w:val="21"/>
          <w:lang w:eastAsia="zh-CN"/>
        </w:rPr>
        <w:t>3</w:t>
      </w:r>
      <w:r>
        <w:rPr>
          <w:rFonts w:ascii="Times New Roman" w:hAnsi="Times New Roman" w:cs="Times New Roman"/>
          <w:caps w:val="0"/>
          <w:smallCaps w:val="0"/>
          <w:sz w:val="21"/>
          <w:szCs w:val="21"/>
        </w:rPr>
        <w:t>-1项目与产业结构调整指导目录符合性分析</w:t>
      </w:r>
    </w:p>
    <w:tbl>
      <w:tblPr>
        <w:tblStyle w:val="71"/>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00"/>
        <w:gridCol w:w="3040"/>
        <w:gridCol w:w="3513"/>
        <w:gridCol w:w="12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0"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内容</w:t>
            </w:r>
          </w:p>
        </w:tc>
        <w:tc>
          <w:tcPr>
            <w:tcW w:w="3040"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产业结构调整指导目录要求</w:t>
            </w:r>
          </w:p>
        </w:tc>
        <w:tc>
          <w:tcPr>
            <w:tcW w:w="3513"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本项目符合性</w:t>
            </w:r>
          </w:p>
        </w:tc>
        <w:tc>
          <w:tcPr>
            <w:tcW w:w="125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分析结果</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700"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鼓励类</w:t>
            </w:r>
          </w:p>
        </w:tc>
        <w:tc>
          <w:tcPr>
            <w:tcW w:w="3040"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二十五、水运</w:t>
            </w:r>
          </w:p>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1、深水泊位（沿海万吨级、内河千吨级及以上）建设</w:t>
            </w:r>
          </w:p>
        </w:tc>
        <w:tc>
          <w:tcPr>
            <w:tcW w:w="3513"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本项目设有1个2000吨级泊位，属于湘江内河千吨级泊位</w:t>
            </w:r>
          </w:p>
        </w:tc>
        <w:tc>
          <w:tcPr>
            <w:tcW w:w="125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符合鼓励类要求</w:t>
            </w:r>
          </w:p>
        </w:tc>
      </w:tr>
      <w:bookmarkEnd w:id="7"/>
      <w:bookmarkEnd w:id="8"/>
    </w:tbl>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（2）与《环境保护综合名录（20</w:t>
      </w:r>
      <w:r>
        <w:rPr>
          <w:rFonts w:hint="eastAsia" w:ascii="Times New Roman" w:hAnsi="Times New Roman" w:cs="Times New Roman" w:eastAsiaTheme="minorEastAsia"/>
          <w:caps w:val="0"/>
          <w:smallCaps w:val="0"/>
          <w:kern w:val="0"/>
          <w:sz w:val="24"/>
          <w:szCs w:val="24"/>
          <w:lang w:val="en-US" w:eastAsia="zh-CN"/>
        </w:rPr>
        <w:t>21</w:t>
      </w:r>
      <w:r>
        <w:rPr>
          <w:rFonts w:ascii="Times New Roman" w:hAnsi="Times New Roman" w:cs="Times New Roman" w:eastAsiaTheme="minorEastAsia"/>
          <w:caps w:val="0"/>
          <w:smallCaps w:val="0"/>
          <w:kern w:val="0"/>
          <w:sz w:val="24"/>
          <w:szCs w:val="24"/>
        </w:rPr>
        <w:t>年版）》相符性分析</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本项目不属于《环境保护综合名录（20</w:t>
      </w:r>
      <w:r>
        <w:rPr>
          <w:rFonts w:hint="eastAsia" w:ascii="Times New Roman" w:hAnsi="Times New Roman" w:cs="Times New Roman" w:eastAsiaTheme="minorEastAsia"/>
          <w:caps w:val="0"/>
          <w:smallCaps w:val="0"/>
          <w:kern w:val="0"/>
          <w:sz w:val="24"/>
          <w:szCs w:val="24"/>
          <w:lang w:val="en-US" w:eastAsia="zh-CN"/>
        </w:rPr>
        <w:t>21</w:t>
      </w:r>
      <w:r>
        <w:rPr>
          <w:rFonts w:ascii="Times New Roman" w:hAnsi="Times New Roman" w:cs="Times New Roman" w:eastAsiaTheme="minorEastAsia"/>
          <w:caps w:val="0"/>
          <w:smallCaps w:val="0"/>
          <w:kern w:val="0"/>
          <w:sz w:val="24"/>
          <w:szCs w:val="24"/>
        </w:rPr>
        <w:t>年版）》中“一、高污染、高环境风险产品名录”之类，符合《环境保护综合名录（20</w:t>
      </w:r>
      <w:r>
        <w:rPr>
          <w:rFonts w:hint="eastAsia" w:ascii="Times New Roman" w:hAnsi="Times New Roman" w:cs="Times New Roman" w:eastAsiaTheme="minorEastAsia"/>
          <w:caps w:val="0"/>
          <w:smallCaps w:val="0"/>
          <w:kern w:val="0"/>
          <w:sz w:val="24"/>
          <w:szCs w:val="24"/>
          <w:lang w:val="en-US" w:eastAsia="zh-CN"/>
        </w:rPr>
        <w:t>21</w:t>
      </w:r>
      <w:r>
        <w:rPr>
          <w:rFonts w:ascii="Times New Roman" w:hAnsi="Times New Roman" w:cs="Times New Roman" w:eastAsiaTheme="minorEastAsia"/>
          <w:caps w:val="0"/>
          <w:smallCaps w:val="0"/>
          <w:kern w:val="0"/>
          <w:sz w:val="24"/>
          <w:szCs w:val="24"/>
        </w:rPr>
        <w:t>年版）》相关要求。</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u w:val="single"/>
          <w:lang w:eastAsia="zh-CN"/>
        </w:rPr>
      </w:pPr>
      <w:r>
        <w:rPr>
          <w:rFonts w:ascii="Times New Roman" w:hAnsi="Times New Roman" w:cs="Times New Roman" w:eastAsiaTheme="minorEastAsia"/>
          <w:caps w:val="0"/>
          <w:smallCaps w:val="0"/>
          <w:kern w:val="0"/>
          <w:sz w:val="24"/>
          <w:szCs w:val="24"/>
          <w:u w:val="single"/>
        </w:rPr>
        <w:t>（</w:t>
      </w:r>
      <w:r>
        <w:rPr>
          <w:rFonts w:ascii="Times New Roman" w:hAnsi="Times New Roman" w:cs="Times New Roman" w:eastAsiaTheme="minorEastAsia"/>
          <w:caps w:val="0"/>
          <w:smallCaps w:val="0"/>
          <w:kern w:val="0"/>
          <w:sz w:val="24"/>
          <w:szCs w:val="24"/>
          <w:u w:val="single"/>
          <w:lang w:eastAsia="zh-CN"/>
        </w:rPr>
        <w:t>3</w:t>
      </w:r>
      <w:r>
        <w:rPr>
          <w:rFonts w:ascii="Times New Roman" w:hAnsi="Times New Roman" w:cs="Times New Roman" w:eastAsiaTheme="minorEastAsia"/>
          <w:caps w:val="0"/>
          <w:smallCaps w:val="0"/>
          <w:kern w:val="0"/>
          <w:sz w:val="24"/>
          <w:szCs w:val="24"/>
          <w:u w:val="single"/>
        </w:rPr>
        <w:t>）与《长江岸线保护和开发利用总体规划》的符合性分析</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u w:val="single"/>
          <w:lang w:eastAsia="zh-CN"/>
        </w:rPr>
      </w:pPr>
      <w:r>
        <w:rPr>
          <w:rFonts w:ascii="Times New Roman" w:hAnsi="Times New Roman" w:cs="Times New Roman" w:eastAsiaTheme="minorEastAsia"/>
          <w:caps w:val="0"/>
          <w:smallCaps w:val="0"/>
          <w:kern w:val="0"/>
          <w:sz w:val="24"/>
          <w:szCs w:val="24"/>
          <w:u w:val="single"/>
        </w:rPr>
        <w:t>《长江岸线保护和开发利用总体规划》共划分岸线保护区516个，长度1964.2公里，占岸线总长度的11.3%；岸线保留区1034个，长度为9306.3公里，占岸线总长度的53.5%；岸线控制利用区817个，长度为4642.8公里，占岸线总长度的26.7%；岸线开发利用区232个，长度为1480.4公里，占岸线总长度的8.5%。</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u w:val="single"/>
          <w:lang w:eastAsia="zh-CN"/>
        </w:rPr>
      </w:pPr>
      <w:r>
        <w:rPr>
          <w:rFonts w:ascii="Times New Roman" w:hAnsi="Times New Roman" w:cs="Times New Roman" w:eastAsiaTheme="minorEastAsia"/>
          <w:caps w:val="0"/>
          <w:smallCaps w:val="0"/>
          <w:kern w:val="0"/>
          <w:sz w:val="24"/>
          <w:szCs w:val="24"/>
          <w:u w:val="single"/>
          <w:lang w:eastAsia="zh-CN"/>
        </w:rPr>
        <w:t>根据规划，湖南共1659.9公里岸线列入规划范围，其中长江干堤岸线148.8公里，湘江干流萍岛至濠河口岸线1</w:t>
      </w:r>
      <w:r>
        <w:rPr>
          <w:rFonts w:hint="eastAsia" w:cs="Times New Roman" w:eastAsiaTheme="minorEastAsia"/>
          <w:caps w:val="0"/>
          <w:smallCaps w:val="0"/>
          <w:kern w:val="0"/>
          <w:sz w:val="24"/>
          <w:szCs w:val="24"/>
          <w:u w:val="single"/>
          <w:lang w:val="en-US" w:eastAsia="zh-CN"/>
        </w:rPr>
        <w:t>292</w:t>
      </w:r>
      <w:r>
        <w:rPr>
          <w:rFonts w:ascii="Times New Roman" w:hAnsi="Times New Roman" w:cs="Times New Roman" w:eastAsiaTheme="minorEastAsia"/>
          <w:caps w:val="0"/>
          <w:smallCaps w:val="0"/>
          <w:kern w:val="0"/>
          <w:sz w:val="24"/>
          <w:szCs w:val="24"/>
          <w:u w:val="single"/>
          <w:lang w:eastAsia="zh-CN"/>
        </w:rPr>
        <w:t>.4公里，洞庭湖入江水道濠河口至城陵矶段岸线约218.6公里。规划将岸线功能进行了专门分区，湖南划分岸线保护区61个、长度149.6公里，保留区104个、长度907.6公里，控制利用区92个、长度541.3公里，开发利用区27个、长度61.4公里。</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u w:val="single"/>
          <w:lang w:eastAsia="zh-CN"/>
        </w:rPr>
      </w:pPr>
      <w:r>
        <w:rPr>
          <w:rFonts w:ascii="Times New Roman" w:hAnsi="Times New Roman" w:cs="Times New Roman" w:eastAsiaTheme="minorEastAsia"/>
          <w:caps w:val="0"/>
          <w:smallCaps w:val="0"/>
          <w:kern w:val="0"/>
          <w:sz w:val="24"/>
          <w:szCs w:val="24"/>
          <w:u w:val="single"/>
        </w:rPr>
        <w:t>根据长江岸线功能区分区规划，本项目不在岸线保护区和保留区内，本项目符合《长江岸线保护和开发利用总体规划》的要求。</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u w:val="single"/>
          <w:lang w:val="en-US" w:eastAsia="zh-CN"/>
        </w:rPr>
      </w:pPr>
      <w:r>
        <w:rPr>
          <w:rFonts w:ascii="Times New Roman" w:hAnsi="Times New Roman" w:cs="Times New Roman" w:eastAsiaTheme="minorEastAsia"/>
          <w:caps w:val="0"/>
          <w:smallCaps w:val="0"/>
          <w:kern w:val="0"/>
          <w:sz w:val="24"/>
          <w:szCs w:val="24"/>
          <w:u w:val="single"/>
          <w:lang w:val="en-US" w:eastAsia="zh-CN"/>
        </w:rPr>
        <w:t>（4）</w:t>
      </w:r>
      <w:r>
        <w:rPr>
          <w:rFonts w:hint="eastAsia" w:cs="Times New Roman" w:eastAsiaTheme="minorEastAsia"/>
          <w:caps w:val="0"/>
          <w:smallCaps w:val="0"/>
          <w:kern w:val="0"/>
          <w:sz w:val="24"/>
          <w:szCs w:val="24"/>
          <w:u w:val="single"/>
          <w:lang w:val="en-US" w:eastAsia="zh-CN"/>
        </w:rPr>
        <w:t>与《长江经济带发展负面清单指南（试行，2022年版）》的符合性分析</w:t>
      </w:r>
    </w:p>
    <w:p>
      <w:pPr>
        <w:pStyle w:val="137"/>
        <w:jc w:val="center"/>
        <w:rPr>
          <w:rFonts w:ascii="Times New Roman" w:hAnsi="Times New Roman" w:cs="Times New Roman"/>
          <w:caps w:val="0"/>
          <w:smallCaps w:val="0"/>
          <w:u w:val="single"/>
          <w:lang w:val="en-US" w:eastAsia="zh-CN"/>
        </w:rPr>
      </w:pPr>
      <w:r>
        <w:rPr>
          <w:rFonts w:ascii="Times New Roman" w:hAnsi="Times New Roman" w:cs="Times New Roman"/>
          <w:b/>
          <w:bCs/>
          <w:caps w:val="0"/>
          <w:smallCaps w:val="0"/>
          <w:kern w:val="2"/>
          <w:u w:val="single"/>
        </w:rPr>
        <w:t>表1.</w:t>
      </w:r>
      <w:r>
        <w:rPr>
          <w:rFonts w:hint="eastAsia" w:ascii="Times New Roman" w:hAnsi="Times New Roman" w:cs="Times New Roman"/>
          <w:b/>
          <w:bCs/>
          <w:caps w:val="0"/>
          <w:smallCaps w:val="0"/>
          <w:kern w:val="2"/>
          <w:u w:val="single"/>
          <w:lang w:eastAsia="zh-CN"/>
        </w:rPr>
        <w:t>3</w:t>
      </w:r>
      <w:r>
        <w:rPr>
          <w:rFonts w:ascii="Times New Roman" w:hAnsi="Times New Roman" w:cs="Times New Roman"/>
          <w:b/>
          <w:bCs/>
          <w:caps w:val="0"/>
          <w:smallCaps w:val="0"/>
          <w:kern w:val="2"/>
          <w:u w:val="single"/>
        </w:rPr>
        <w:t>-</w:t>
      </w:r>
      <w:r>
        <w:rPr>
          <w:rFonts w:ascii="Times New Roman" w:hAnsi="Times New Roman" w:cs="Times New Roman"/>
          <w:b/>
          <w:bCs/>
          <w:caps w:val="0"/>
          <w:smallCaps w:val="0"/>
          <w:kern w:val="2"/>
          <w:u w:val="single"/>
          <w:lang w:eastAsia="zh-CN"/>
        </w:rPr>
        <w:t>2</w:t>
      </w:r>
      <w:r>
        <w:rPr>
          <w:rFonts w:ascii="Times New Roman" w:hAnsi="Times New Roman" w:cs="Times New Roman"/>
          <w:b/>
          <w:bCs/>
          <w:caps w:val="0"/>
          <w:smallCaps w:val="0"/>
          <w:kern w:val="2"/>
          <w:u w:val="single"/>
        </w:rPr>
        <w:t>与《</w:t>
      </w:r>
      <w:r>
        <w:rPr>
          <w:rFonts w:hint="eastAsia" w:cs="Times New Roman" w:eastAsiaTheme="minorEastAsia"/>
          <w:b/>
          <w:bCs/>
          <w:caps w:val="0"/>
          <w:smallCaps w:val="0"/>
          <w:kern w:val="0"/>
          <w:sz w:val="24"/>
          <w:szCs w:val="24"/>
          <w:u w:val="single"/>
          <w:lang w:val="en-US" w:eastAsia="zh-CN"/>
        </w:rPr>
        <w:t>长江经济带发展负面清单指南（试行，2022年版）</w:t>
      </w:r>
      <w:r>
        <w:rPr>
          <w:rFonts w:ascii="Times New Roman" w:hAnsi="Times New Roman" w:cs="Times New Roman"/>
          <w:b/>
          <w:bCs/>
          <w:caps w:val="0"/>
          <w:smallCaps w:val="0"/>
          <w:kern w:val="2"/>
          <w:u w:val="single"/>
        </w:rPr>
        <w:t>》符合性分析</w:t>
      </w:r>
    </w:p>
    <w:tbl>
      <w:tblPr>
        <w:tblStyle w:val="7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4864"/>
        <w:gridCol w:w="2850"/>
        <w:gridCol w:w="8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序号</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相关要求</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项目情况</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符合性分析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禁止建设不符合全国和省级港口布局规划以及港口总体规划的码头项目，禁止建设不符合《《长江干线过江通道布局规划》的过长江通道项目。</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u w:val="single"/>
                <w:lang w:eastAsia="zh-CN"/>
              </w:rPr>
              <w:t>根据《岳阳港总体规划》，汨罗港区推山咀作业区布置规划保留现有中鑫物流、海丰物流、宏瑞物流、正虹饲料营田分公司码头和推山咀作业区一期工程屈原管理区码头，</w:t>
            </w:r>
            <w:r>
              <w:rPr>
                <w:rFonts w:hint="eastAsia" w:ascii="Times New Roman" w:hAnsi="Times New Roman" w:cs="Times New Roman"/>
                <w:caps w:val="0"/>
                <w:smallCaps w:val="0"/>
                <w:u w:val="single"/>
                <w:lang w:eastAsia="zh-CN"/>
              </w:rPr>
              <w:t>本码头属于岳阳港总体规划总保留的现有码头，是符合港口总体规划的码头项目</w:t>
            </w:r>
            <w:r>
              <w:rPr>
                <w:rFonts w:hint="eastAsia"/>
                <w:u w:val="single"/>
                <w:lang w:eastAsia="zh-CN"/>
              </w:rPr>
              <w:t>。</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2</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禁止在自然保护区核心区、缓冲区的岸线和河段范围内投资建设旅游和生产经营项目。禁止在风景名胜区核心景区的岸线和河段范围内投资建设与风景名胜资源保护无关的项目。</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本项目码头不在自然保护区核心区、缓冲区的岸线和河段范围内，也不在风景名胜区核心景区的岸线和河段范围内。</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3</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在饮用水水源一级保护区的岸线和河段范围内新建、改建、扩建与供水设施和保护水源无关的项目，以及网箱养殖、畜禽养殖、旅游等可能污染饮用水水体的投资建设项目。禁止在饮用水水源二级保护区的岸线和河段范围内新建、改建、扩建排放污染物的投资建设项目。</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本项目不在饮用水水源一级、二级保护区的岸线和河段范围内。</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4</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禁止在水产种质资源保护区的岸线和河段范围内新建围湖造田、围海造地或围填海等投资建设项目。禁止在国家湿地公园的岸线和河段范围内挖沙、采矿，以及任何不符合主体功能定位的投资建设项目。</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本项目码头不在水产种质资源保护区的岸线和河段范围内，也不在国家湿地公园的岸线和河段范围内。</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5</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违法利用、占用长江流域河湖岸线。禁止在《长江岸线保护和开发利用总体规划》划定的岸线保护区和保留区内投资建设除事关公共安全及公众利益的防洪护岸、河道治理、供水、生态黄继光保护、航道整治、国家重要基础设施以外的项目。禁止在《全国重要江河湖泊水功能区划》划定的河段及湖泊保护区、保留区内投资建设不利于水资源及自然生态保护的项目。</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本项目符合《长江岸线保护和开发利用总体规划》，未违法利用、占用长江流域河湖岸线。</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6</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禁止未经许可在长江干支流及湖泊新设、改设或扩大排污口。</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本项目不涉及排污口建设。</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7</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default"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lang w:eastAsia="zh-CN"/>
              </w:rPr>
              <w:t>禁止在“一江一口两湖七河”和</w:t>
            </w:r>
            <w:r>
              <w:rPr>
                <w:rFonts w:hint="eastAsia" w:ascii="Times New Roman" w:hAnsi="Times New Roman" w:cs="Times New Roman"/>
                <w:caps w:val="0"/>
                <w:smallCaps w:val="0"/>
                <w:u w:val="single"/>
                <w:lang w:val="en-US" w:eastAsia="zh-CN"/>
              </w:rPr>
              <w:t>322个水生生物保护区开展生产性捕捞。</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default"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lang w:eastAsia="zh-CN"/>
              </w:rPr>
              <w:t>本项目不涉及生产性捕捞。</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8</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在长江干支流、重要湖泊岸线一公里范围内新建、扩建化工园区和化工项目。禁止在长江干流岸线三公里范围内和重要支流岸线一公里范围内新建、改建、扩建尾矿库、冶炼渣库和磷石膏库，以提升安全、生态环境保护水平为目的的改建除外。</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本项目为化工码头项目，属于交通运输业项目，不属于化工项目，不涉及新改扩建尾矿库、冶炼渣库和磷石膏库。</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9</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禁止在合规园区外新建、扩建钢铁、石化、化工、焦化、建材、有色、制浆造纸等高污染项目。</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本项目为码头项目，不属于高污染项目。</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10</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禁止新建、扩建不符合国家石化、现代煤化工等产业布局规划的项目。</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本项目为码头项目，不属于石化、现代煤化工等项目。</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11</w:t>
            </w:r>
          </w:p>
        </w:tc>
        <w:tc>
          <w:tcPr>
            <w:tcW w:w="261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禁止新建、扩建法律法规和相关政策明令禁止的落后产能项目。禁止新建、扩建不符合国家产能置换要求的严重过剩产能行业的项目。禁止新建、扩建不符合要求的高耗能高排放项目。</w:t>
            </w:r>
          </w:p>
        </w:tc>
        <w:tc>
          <w:tcPr>
            <w:tcW w:w="1534"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本项目为码头项目，不属于明令禁止的落后产能项目，也不属于产能严重过剩项目，不属于高能耗高排放项目。</w:t>
            </w:r>
          </w:p>
        </w:tc>
        <w:tc>
          <w:tcPr>
            <w:tcW w:w="467"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bl>
    <w:p>
      <w:pPr>
        <w:adjustRightInd w:val="0"/>
        <w:snapToGrid w:val="0"/>
        <w:spacing w:line="360" w:lineRule="auto"/>
        <w:ind w:firstLine="480" w:firstLineChars="200"/>
        <w:rPr>
          <w:rFonts w:hint="eastAsia" w:cs="Times New Roman" w:eastAsiaTheme="minorEastAsia"/>
          <w:caps w:val="0"/>
          <w:smallCaps w:val="0"/>
          <w:kern w:val="0"/>
          <w:sz w:val="24"/>
          <w:szCs w:val="24"/>
          <w:u w:val="single"/>
          <w:lang w:eastAsia="zh-CN"/>
        </w:rPr>
      </w:pPr>
      <w:r>
        <w:rPr>
          <w:rFonts w:hint="eastAsia" w:cs="Times New Roman" w:eastAsiaTheme="minorEastAsia"/>
          <w:caps w:val="0"/>
          <w:smallCaps w:val="0"/>
          <w:kern w:val="0"/>
          <w:sz w:val="24"/>
          <w:szCs w:val="24"/>
          <w:u w:val="single"/>
          <w:lang w:eastAsia="zh-CN"/>
        </w:rPr>
        <w:t>综上所述，本项目属于码头项目，符合《长江经济带发展负面清单指南（试行，2022年版）》相关要求。</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u w:val="single"/>
          <w:lang w:val="en-US" w:eastAsia="zh-CN"/>
        </w:rPr>
      </w:pPr>
      <w:r>
        <w:rPr>
          <w:rFonts w:hint="eastAsia" w:cs="Times New Roman" w:eastAsiaTheme="minorEastAsia"/>
          <w:caps w:val="0"/>
          <w:smallCaps w:val="0"/>
          <w:kern w:val="0"/>
          <w:sz w:val="24"/>
          <w:szCs w:val="24"/>
          <w:u w:val="single"/>
          <w:lang w:eastAsia="zh-CN"/>
        </w:rPr>
        <w:t>（</w:t>
      </w:r>
      <w:r>
        <w:rPr>
          <w:rFonts w:hint="eastAsia" w:cs="Times New Roman" w:eastAsiaTheme="minorEastAsia"/>
          <w:caps w:val="0"/>
          <w:smallCaps w:val="0"/>
          <w:kern w:val="0"/>
          <w:sz w:val="24"/>
          <w:szCs w:val="24"/>
          <w:u w:val="single"/>
          <w:lang w:val="en-US" w:eastAsia="zh-CN"/>
        </w:rPr>
        <w:t>5</w:t>
      </w:r>
      <w:r>
        <w:rPr>
          <w:rFonts w:hint="eastAsia" w:cs="Times New Roman" w:eastAsiaTheme="minorEastAsia"/>
          <w:caps w:val="0"/>
          <w:smallCaps w:val="0"/>
          <w:kern w:val="0"/>
          <w:sz w:val="24"/>
          <w:szCs w:val="24"/>
          <w:u w:val="single"/>
          <w:lang w:eastAsia="zh-CN"/>
        </w:rPr>
        <w:t>）</w:t>
      </w:r>
      <w:r>
        <w:rPr>
          <w:rFonts w:ascii="Times New Roman" w:hAnsi="Times New Roman" w:cs="Times New Roman" w:eastAsiaTheme="minorEastAsia"/>
          <w:caps w:val="0"/>
          <w:smallCaps w:val="0"/>
          <w:kern w:val="0"/>
          <w:sz w:val="24"/>
          <w:szCs w:val="24"/>
          <w:u w:val="single"/>
        </w:rPr>
        <w:t>与《湖南长江经济带发展负面清单实施细则（试行）》符合性分析</w:t>
      </w:r>
    </w:p>
    <w:p>
      <w:pPr>
        <w:pStyle w:val="137"/>
        <w:jc w:val="center"/>
        <w:rPr>
          <w:rFonts w:ascii="Times New Roman" w:hAnsi="Times New Roman" w:cs="Times New Roman"/>
          <w:caps w:val="0"/>
          <w:smallCaps w:val="0"/>
          <w:u w:val="single"/>
          <w:lang w:val="en-US" w:eastAsia="zh-CN"/>
        </w:rPr>
      </w:pPr>
      <w:r>
        <w:rPr>
          <w:rFonts w:ascii="Times New Roman" w:hAnsi="Times New Roman" w:cs="Times New Roman"/>
          <w:b/>
          <w:bCs/>
          <w:caps w:val="0"/>
          <w:smallCaps w:val="0"/>
          <w:kern w:val="2"/>
          <w:u w:val="single"/>
        </w:rPr>
        <w:t>表1.</w:t>
      </w:r>
      <w:r>
        <w:rPr>
          <w:rFonts w:hint="eastAsia" w:ascii="Times New Roman" w:hAnsi="Times New Roman" w:cs="Times New Roman"/>
          <w:b/>
          <w:bCs/>
          <w:caps w:val="0"/>
          <w:smallCaps w:val="0"/>
          <w:kern w:val="2"/>
          <w:u w:val="single"/>
          <w:lang w:eastAsia="zh-CN"/>
        </w:rPr>
        <w:t>3</w:t>
      </w:r>
      <w:r>
        <w:rPr>
          <w:rFonts w:ascii="Times New Roman" w:hAnsi="Times New Roman" w:cs="Times New Roman"/>
          <w:b/>
          <w:bCs/>
          <w:caps w:val="0"/>
          <w:smallCaps w:val="0"/>
          <w:kern w:val="2"/>
          <w:u w:val="single"/>
        </w:rPr>
        <w:t>-</w:t>
      </w:r>
      <w:r>
        <w:rPr>
          <w:rFonts w:hint="eastAsia" w:cs="Times New Roman"/>
          <w:b/>
          <w:bCs/>
          <w:caps w:val="0"/>
          <w:smallCaps w:val="0"/>
          <w:kern w:val="2"/>
          <w:u w:val="single"/>
          <w:lang w:val="en-US" w:eastAsia="zh-CN"/>
        </w:rPr>
        <w:t>3</w:t>
      </w:r>
      <w:r>
        <w:rPr>
          <w:rFonts w:ascii="Times New Roman" w:hAnsi="Times New Roman" w:cs="Times New Roman"/>
          <w:b/>
          <w:caps w:val="0"/>
          <w:smallCaps w:val="0"/>
          <w:kern w:val="2"/>
          <w:u w:val="single"/>
        </w:rPr>
        <w:t>与《湖南长江经济带发展负面清单实施细则（试行）》符合性分析</w:t>
      </w:r>
    </w:p>
    <w:tbl>
      <w:tblPr>
        <w:tblStyle w:val="7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5267"/>
        <w:gridCol w:w="2462"/>
        <w:gridCol w:w="8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序号</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相关要求</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项目情况</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符合性分析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第四条禁止在自然保护区核心区、缓冲区的岸线和河段范围内投资建设以下项目：</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（一）高尔夫球场开发、房地产开发、索道建设、会所建设等项目；</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（二）光伏发电、风力发电、火力发电建设项目；</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（三）社会资金进行商业性探矿勘查，以及不属于国家紧缺矿种资源的基础地质调查和矿产远景调查等公益性工作的设施建设；</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（四）野生动物驯养繁殖、展览基地建设项目；</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（五）污染环境、破坏自然资源或自然景观的建设设施；</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（六）对自然保护区主要保护对象产生重大影响、改变自然生态系统完整性、原真性、破坏自然景观的设施；</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（七）其他不符合自然保护区主体功能定位和国家禁止的设施。</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本项目选址不在自然保护区核心区、缓冲区的岸线和河段范围内。</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2</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六条禁止违反风景名胜区规划，在风景名胜区内设立各类开发区和在核心景区内建设宾馆、招待所、培训中心、疗养院以及与风景名胜资源保护无关的其他建筑物；已经建设的，应当按照风景名胜区规划，逐步迁出。</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本项目选址不在风景名胜区内。</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3</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七条饮用水水源一级保护区内禁止新建、改建、扩建与供水设施和保护水源无关的建设项目；禁止向水域排放污水，已设置的排污口必须拆除；不得设置与供水需要无关的码头，禁止停靠船舶；禁止堆置和存放工业废渣、城市垃圾、粪便和其它废弃物；禁止设置油库；禁止使用含磷洗涤剂、化肥、农药；禁止建设养殖场、禁止网箱养殖、旅游等可能污染饮用水水体的投资建设项目。</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第八条饮用水水源二级保护区内禁止新建、改建、扩建向水体排放污染物的投资建设项目。原有排污口依法拆除或关闭。禁止设立装卸垃圾、粪便、油类和有毒物品的码头。</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本项目选址不在饮用水水源保护区。</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4</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第九条禁止在水产种质资源保护区内新建排污口、从事围湖造田造地等投资建设项目。</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本项目选址不在水产种质资源保护区内。</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5</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第十条禁止在国家湿地公园范围内开（围）垦湿地、挖沙、采矿等，《中华人民共和国防洪法》规定的紧急防汛期采取的紧急措施除外。</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第十一条禁止在国家湿地公园范围内从事房地产、度假村、高尔夫球场、风力发电、光伏发电等任何不符合主体功能定位的投资建设项目。</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本项目选址不在国家湿地公园范围内。</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6</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十五条禁止在生态保护红线和永久基本农田范围内投资建设除国家重大战略资源勘查项目、生态保护修复和环境治理项目、重大基础设施项目、军事国防项目以及农牧民基本生产生活等必要的民生项目以外的项目。</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本项目选址不在生态保护红线和永久基本农田范围内。</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7</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十八条禁止在长江干支流（长江干流湖南段、湘江沅江干流及洞庭湖）岸线1公里范围（指长江干支流岸线边界向陆域纵深1公里，边界指水利部门河道管理范围边界）内新建、扩建化工园区和化工项目。禁止在《中国开发区审核公告目录》公布的园区或省人民政府批准设立的园区外新建、扩建钢铁、石化、化工、焦化、建材、有色等高污染项目。</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本项目在长江干支流（长江干流湖南段、湘江沅江干流及洞庭湖）岸线1公里范围内，</w:t>
            </w:r>
            <w:r>
              <w:rPr>
                <w:rFonts w:hint="eastAsia" w:ascii="Times New Roman" w:hAnsi="Times New Roman" w:cs="Times New Roman"/>
                <w:caps w:val="0"/>
                <w:smallCaps w:val="0"/>
                <w:u w:val="single"/>
                <w:lang w:eastAsia="zh-CN"/>
              </w:rPr>
              <w:t>属于沥青码头项目，</w:t>
            </w:r>
            <w:r>
              <w:rPr>
                <w:rFonts w:ascii="Times New Roman" w:hAnsi="Times New Roman" w:cs="Times New Roman"/>
                <w:caps w:val="0"/>
                <w:smallCaps w:val="0"/>
                <w:u w:val="single"/>
              </w:rPr>
              <w:t>但不属于新建、扩建化工园区和化工项目，不属于钢铁、石化、化工、焦化、建材、有色等高污染项目。</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8</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第十九条禁止新建、扩建不符合国家石化、现代煤化工等产业布局规划的项目。</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二十条新建乙烯、对二甲苯（PX）、二苯基甲烷二异氰酸酯（MDI）等石化项目由省人民政府投资主管部门按照国家批准的石化产业规划布局方案核准。未列入国家批准的相关规划的新建乙烯、对二甲苯（PX）、二苯基甲烷二异氰酸酯（MDI）项目，禁止建设。</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第二十一条新建煤制烯烃、煤制对二甲苯（PX）等煤化工项目，依法依规按程序核准。新建年产超过100万吨的煤制甲醇项目，由省人民政府投资主管部门依法核准。其余项目禁止建设。</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本项目为码头项目，</w:t>
            </w:r>
            <w:r>
              <w:rPr>
                <w:rFonts w:hint="eastAsia" w:ascii="Times New Roman" w:hAnsi="Times New Roman" w:cs="Times New Roman"/>
                <w:caps w:val="0"/>
                <w:smallCaps w:val="0"/>
                <w:u w:val="single"/>
                <w:lang w:eastAsia="zh-CN"/>
              </w:rPr>
              <w:t>属于交通运输业，</w:t>
            </w:r>
            <w:r>
              <w:rPr>
                <w:rFonts w:ascii="Times New Roman" w:hAnsi="Times New Roman" w:cs="Times New Roman"/>
                <w:caps w:val="0"/>
                <w:smallCaps w:val="0"/>
                <w:u w:val="single"/>
              </w:rPr>
              <w:t>不属于石化、煤化工项目。</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9</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第二十二条禁止新建、扩建法律法规和相关政策明令禁止的落后产能项目；对不符合要求的落后产能项目，依法依规退出。</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本项目为内河深水泊位项目，属于产业政策中鼓励类项目。</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10</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第二十三条对最新版《产业结构调整指导目录》中限制类的新建项目，禁止投资；对淘汰类项目，禁止投资。</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国家级重点生态功能区，要严格执行国家重点生态功能区产业准入负面清单。</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本项目为属于《产业结构调整指导目录（2019年本）》中鼓励类，本项目选址不在国家重点生态功能区内。</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11</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第二十四条禁止新建、扩建不符合国家产能置换要求的严重过剩产能行业（钢铁、水泥、电解铝、平板玻璃、船舶等行业）的项目。</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本项目为码头项目，不属于国家产能置换要求的严重过剩产能行业（钢铁、水泥、电解铝、平板玻璃、船舶等行业）的项目。</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0"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12</w:t>
            </w:r>
          </w:p>
        </w:tc>
        <w:tc>
          <w:tcPr>
            <w:tcW w:w="283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第二十五条各级各部门不得以任何名义、任何方式办理产能严重过剩行业新增产能项目的建设审批手续，对确有必要新增产能的，必须严格执行产能置换实施办法，实施减量或等量置换，依法依规办理有关手续。</w:t>
            </w:r>
          </w:p>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第二十六条高污染项目应严格按照环境保护综合名录等有关要求执行。</w:t>
            </w:r>
          </w:p>
        </w:tc>
        <w:tc>
          <w:tcPr>
            <w:tcW w:w="1325"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本项目为码头项目，不属于产能过剩行业，也不属于高污染项目。</w:t>
            </w:r>
          </w:p>
        </w:tc>
        <w:tc>
          <w:tcPr>
            <w:tcW w:w="458" w:type="pct"/>
            <w:tcBorders>
              <w:top w:val="single" w:color="auto" w:sz="4" w:space="0"/>
              <w:left w:val="single" w:color="auto" w:sz="4" w:space="0"/>
              <w:bottom w:val="single" w:color="auto" w:sz="4" w:space="0"/>
              <w:right w:val="single" w:color="auto" w:sz="4" w:space="0"/>
            </w:tcBorders>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相符</w:t>
            </w:r>
          </w:p>
        </w:tc>
      </w:tr>
    </w:tbl>
    <w:p>
      <w:pPr>
        <w:spacing w:line="360" w:lineRule="auto"/>
        <w:ind w:firstLine="540" w:firstLineChars="225"/>
        <w:jc w:val="left"/>
        <w:rPr>
          <w:rFonts w:ascii="Times New Roman" w:hAnsi="Times New Roman" w:cs="Times New Roman"/>
          <w:caps w:val="0"/>
          <w:smallCaps w:val="0"/>
          <w:snapToGrid w:val="0"/>
          <w:sz w:val="24"/>
        </w:rPr>
      </w:pPr>
      <w:r>
        <w:rPr>
          <w:rFonts w:ascii="Times New Roman" w:hAnsi="Times New Roman" w:cs="Times New Roman"/>
          <w:caps w:val="0"/>
          <w:smallCaps w:val="0"/>
          <w:snapToGrid w:val="0"/>
          <w:sz w:val="24"/>
          <w:u w:val="single"/>
        </w:rPr>
        <w:t>综上所述，本项目不属于石化、煤化工、落后产能、产能过剩项目，属于《产业结构调整指导目录（2019年本）》中鼓励类项目。故本项目符合《湖南长江经济带发展负面清单实施细则（试行）》相关要求。</w:t>
      </w:r>
    </w:p>
    <w:p>
      <w:pPr>
        <w:spacing w:line="360" w:lineRule="auto"/>
        <w:ind w:firstLine="540" w:firstLineChars="225"/>
        <w:jc w:val="left"/>
        <w:rPr>
          <w:rFonts w:ascii="Times New Roman" w:hAnsi="Times New Roman" w:cs="Times New Roman"/>
          <w:caps w:val="0"/>
          <w:smallCaps w:val="0"/>
          <w:snapToGrid w:val="0"/>
          <w:sz w:val="24"/>
          <w:lang w:eastAsia="zh-CN"/>
        </w:rPr>
      </w:pPr>
      <w:r>
        <w:rPr>
          <w:rFonts w:ascii="Times New Roman" w:hAnsi="Times New Roman" w:cs="Times New Roman"/>
          <w:caps w:val="0"/>
          <w:smallCaps w:val="0"/>
          <w:snapToGrid w:val="0"/>
          <w:sz w:val="24"/>
          <w:lang w:eastAsia="zh-CN"/>
        </w:rPr>
        <w:t>（</w:t>
      </w:r>
      <w:r>
        <w:rPr>
          <w:rFonts w:hint="eastAsia" w:cs="Times New Roman"/>
          <w:caps w:val="0"/>
          <w:smallCaps w:val="0"/>
          <w:snapToGrid w:val="0"/>
          <w:sz w:val="24"/>
          <w:lang w:val="en-US" w:eastAsia="zh-CN"/>
        </w:rPr>
        <w:t>6</w:t>
      </w:r>
      <w:r>
        <w:rPr>
          <w:rFonts w:ascii="Times New Roman" w:hAnsi="Times New Roman" w:cs="Times New Roman"/>
          <w:caps w:val="0"/>
          <w:smallCaps w:val="0"/>
          <w:snapToGrid w:val="0"/>
          <w:sz w:val="24"/>
          <w:lang w:eastAsia="zh-CN"/>
        </w:rPr>
        <w:t>）与《湖南省交通运输“十三五”发展规划》的符合性分析</w:t>
      </w:r>
    </w:p>
    <w:p>
      <w:pPr>
        <w:spacing w:line="360" w:lineRule="auto"/>
        <w:ind w:firstLine="540" w:firstLineChars="225"/>
        <w:jc w:val="left"/>
        <w:rPr>
          <w:rFonts w:ascii="Times New Roman" w:hAnsi="Times New Roman" w:cs="Times New Roman"/>
          <w:caps w:val="0"/>
          <w:smallCaps w:val="0"/>
          <w:snapToGrid w:val="0"/>
          <w:sz w:val="24"/>
          <w:lang w:eastAsia="zh-CN"/>
        </w:rPr>
      </w:pPr>
      <w:r>
        <w:rPr>
          <w:rFonts w:ascii="Times New Roman" w:hAnsi="Times New Roman" w:cs="Times New Roman"/>
          <w:caps w:val="0"/>
          <w:smallCaps w:val="0"/>
          <w:snapToGrid w:val="0"/>
          <w:sz w:val="24"/>
          <w:lang w:eastAsia="zh-CN"/>
        </w:rPr>
        <w:t>根据《湖南省交通运输“十三五”发展规划》：“港口：重点加快岳阳港现代化建设步伐，围绕“一百万标箱、两亿吨大港”目标，将岳阳港打造成长江沿线枢纽港、上海港重要的喂给港、我省内河水运中转枢纽港；积极推动长株潭港口群一体化建设；统筹推进常德港、益阳港、永州港、衡阳港等地区重要港口建设；到2020年，新增1000吨级及以上泊位126个，达到232个，全省港口总通过能力超过3亿吨，其中集装箱通过能力达150万标箱。”本项目的实施是有助“将岳阳港打造成长江沿线枢纽港、上海港重要的喂给港、我省内河水运中转枢纽港”的。</w:t>
      </w:r>
    </w:p>
    <w:p>
      <w:pPr>
        <w:spacing w:line="360" w:lineRule="auto"/>
        <w:ind w:firstLine="540" w:firstLineChars="225"/>
        <w:jc w:val="left"/>
        <w:rPr>
          <w:rFonts w:ascii="Times New Roman" w:hAnsi="Times New Roman" w:cs="Times New Roman"/>
          <w:caps w:val="0"/>
          <w:smallCaps w:val="0"/>
          <w:snapToGrid w:val="0"/>
          <w:sz w:val="24"/>
          <w:lang w:eastAsia="zh-CN"/>
        </w:rPr>
      </w:pPr>
      <w:r>
        <w:rPr>
          <w:rFonts w:ascii="Times New Roman" w:hAnsi="Times New Roman" w:cs="Times New Roman"/>
          <w:caps w:val="0"/>
          <w:smallCaps w:val="0"/>
          <w:snapToGrid w:val="0"/>
          <w:sz w:val="24"/>
          <w:lang w:eastAsia="zh-CN"/>
        </w:rPr>
        <w:t>因此，本项目是符合《湖南省交通运输“十三五”发展规划》的。</w:t>
      </w:r>
    </w:p>
    <w:p>
      <w:pPr>
        <w:spacing w:line="360" w:lineRule="auto"/>
        <w:ind w:firstLine="540" w:firstLineChars="225"/>
        <w:jc w:val="left"/>
        <w:rPr>
          <w:rFonts w:ascii="Times New Roman" w:hAnsi="Times New Roman" w:cs="Times New Roman"/>
          <w:caps w:val="0"/>
          <w:smallCaps w:val="0"/>
          <w:snapToGrid w:val="0"/>
          <w:sz w:val="24"/>
          <w:u w:val="single"/>
          <w:lang w:eastAsia="zh-CN"/>
        </w:rPr>
      </w:pPr>
      <w:r>
        <w:rPr>
          <w:rFonts w:ascii="Times New Roman" w:hAnsi="Times New Roman" w:cs="Times New Roman"/>
          <w:caps w:val="0"/>
          <w:smallCaps w:val="0"/>
          <w:snapToGrid w:val="0"/>
          <w:sz w:val="24"/>
          <w:u w:val="single"/>
          <w:lang w:eastAsia="zh-CN"/>
        </w:rPr>
        <w:t>（</w:t>
      </w:r>
      <w:r>
        <w:rPr>
          <w:rFonts w:hint="eastAsia" w:cs="Times New Roman"/>
          <w:caps w:val="0"/>
          <w:smallCaps w:val="0"/>
          <w:snapToGrid w:val="0"/>
          <w:sz w:val="24"/>
          <w:u w:val="single"/>
          <w:lang w:val="en-US" w:eastAsia="zh-CN"/>
        </w:rPr>
        <w:t>7</w:t>
      </w:r>
      <w:r>
        <w:rPr>
          <w:rFonts w:ascii="Times New Roman" w:hAnsi="Times New Roman" w:cs="Times New Roman"/>
          <w:caps w:val="0"/>
          <w:smallCaps w:val="0"/>
          <w:snapToGrid w:val="0"/>
          <w:sz w:val="24"/>
          <w:u w:val="single"/>
          <w:lang w:eastAsia="zh-CN"/>
        </w:rPr>
        <w:t>）与《岳阳港总体规划》（2035）的的符合性分析</w:t>
      </w:r>
    </w:p>
    <w:p>
      <w:pPr>
        <w:spacing w:line="360" w:lineRule="auto"/>
        <w:ind w:firstLine="540" w:firstLineChars="225"/>
        <w:jc w:val="left"/>
        <w:rPr>
          <w:rFonts w:ascii="Times New Roman" w:hAnsi="Times New Roman" w:cs="Times New Roman"/>
          <w:caps w:val="0"/>
          <w:smallCaps w:val="0"/>
          <w:snapToGrid w:val="0"/>
          <w:sz w:val="24"/>
          <w:u w:val="single"/>
          <w:lang w:eastAsia="zh-CN"/>
        </w:rPr>
      </w:pPr>
      <w:r>
        <w:rPr>
          <w:rFonts w:ascii="Times New Roman" w:hAnsi="Times New Roman" w:cs="Times New Roman"/>
          <w:caps w:val="0"/>
          <w:smallCaps w:val="0"/>
          <w:snapToGrid w:val="0"/>
          <w:sz w:val="24"/>
          <w:u w:val="single"/>
          <w:lang w:eastAsia="zh-CN"/>
        </w:rPr>
        <w:t>根据《岳阳港总体规划（2035）》（报批稿），已在</w:t>
      </w:r>
      <w:r>
        <w:rPr>
          <w:rFonts w:hint="eastAsia" w:ascii="Times New Roman" w:hAnsi="Times New Roman" w:cs="Times New Roman"/>
          <w:caps w:val="0"/>
          <w:smallCaps w:val="0"/>
          <w:snapToGrid w:val="0"/>
          <w:sz w:val="24"/>
          <w:u w:val="single"/>
          <w:lang w:val="en-US" w:eastAsia="zh-CN"/>
        </w:rPr>
        <w:t>汨罗</w:t>
      </w:r>
      <w:r>
        <w:rPr>
          <w:rFonts w:ascii="Times New Roman" w:hAnsi="Times New Roman" w:cs="Times New Roman"/>
          <w:caps w:val="0"/>
          <w:smallCaps w:val="0"/>
          <w:snapToGrid w:val="0"/>
          <w:sz w:val="24"/>
          <w:u w:val="single"/>
          <w:lang w:eastAsia="zh-CN"/>
        </w:rPr>
        <w:t>港区规划</w:t>
      </w:r>
      <w:r>
        <w:rPr>
          <w:rFonts w:hint="eastAsia" w:ascii="Times New Roman" w:hAnsi="Times New Roman" w:cs="Times New Roman"/>
          <w:caps w:val="0"/>
          <w:smallCaps w:val="0"/>
          <w:snapToGrid w:val="0"/>
          <w:sz w:val="24"/>
          <w:u w:val="single"/>
          <w:lang w:val="en-US" w:eastAsia="zh-CN"/>
        </w:rPr>
        <w:t>推山咀作业区、营田件杂货运港点和汨罗江沿线的屈子祠、新市镇旅游客运港点</w:t>
      </w:r>
      <w:r>
        <w:rPr>
          <w:rFonts w:ascii="Times New Roman" w:hAnsi="Times New Roman" w:cs="Times New Roman"/>
          <w:caps w:val="0"/>
          <w:smallCaps w:val="0"/>
          <w:snapToGrid w:val="0"/>
          <w:sz w:val="24"/>
          <w:u w:val="single"/>
          <w:lang w:eastAsia="zh-CN"/>
        </w:rPr>
        <w:t>。</w:t>
      </w:r>
      <w:r>
        <w:rPr>
          <w:rFonts w:hint="eastAsia" w:ascii="Times New Roman" w:hAnsi="Times New Roman" w:cs="Times New Roman"/>
          <w:caps w:val="0"/>
          <w:smallCaps w:val="0"/>
          <w:snapToGrid w:val="0"/>
          <w:sz w:val="24"/>
          <w:u w:val="single"/>
          <w:lang w:val="en-US" w:eastAsia="zh-CN"/>
        </w:rPr>
        <w:t>海丰物流</w:t>
      </w:r>
      <w:r>
        <w:rPr>
          <w:rFonts w:ascii="Times New Roman" w:hAnsi="Times New Roman" w:cs="Times New Roman"/>
          <w:caps w:val="0"/>
          <w:smallCaps w:val="0"/>
          <w:snapToGrid w:val="0"/>
          <w:sz w:val="24"/>
          <w:u w:val="single"/>
          <w:lang w:eastAsia="zh-CN"/>
        </w:rPr>
        <w:t>码头位于</w:t>
      </w:r>
      <w:r>
        <w:rPr>
          <w:rFonts w:hint="eastAsia" w:ascii="Times New Roman" w:hAnsi="Times New Roman" w:cs="Times New Roman"/>
          <w:caps w:val="0"/>
          <w:smallCaps w:val="0"/>
          <w:snapToGrid w:val="0"/>
          <w:sz w:val="24"/>
          <w:u w:val="single"/>
          <w:lang w:val="en-US" w:eastAsia="zh-CN"/>
        </w:rPr>
        <w:t>推山咀作业区</w:t>
      </w:r>
      <w:r>
        <w:rPr>
          <w:rFonts w:ascii="Times New Roman" w:hAnsi="Times New Roman" w:cs="Times New Roman"/>
          <w:caps w:val="0"/>
          <w:smallCaps w:val="0"/>
          <w:snapToGrid w:val="0"/>
          <w:sz w:val="24"/>
          <w:u w:val="single"/>
          <w:lang w:eastAsia="zh-CN"/>
        </w:rPr>
        <w:t>，符合《岳阳港总体规划（2035）》（报批稿）。”</w:t>
      </w:r>
    </w:p>
    <w:p>
      <w:pPr>
        <w:spacing w:line="360" w:lineRule="auto"/>
        <w:ind w:firstLine="540" w:firstLineChars="225"/>
        <w:jc w:val="left"/>
        <w:rPr>
          <w:rFonts w:ascii="Times New Roman" w:hAnsi="Times New Roman" w:cs="Times New Roman"/>
          <w:caps w:val="0"/>
          <w:smallCaps w:val="0"/>
          <w:snapToGrid w:val="0"/>
          <w:sz w:val="24"/>
          <w:u w:val="single"/>
          <w:lang w:eastAsia="zh-CN"/>
        </w:rPr>
      </w:pPr>
      <w:r>
        <w:rPr>
          <w:rFonts w:ascii="Times New Roman" w:hAnsi="Times New Roman" w:cs="Times New Roman"/>
          <w:caps w:val="0"/>
          <w:smallCaps w:val="0"/>
          <w:snapToGrid w:val="0"/>
          <w:sz w:val="24"/>
          <w:u w:val="single"/>
          <w:lang w:eastAsia="zh-CN"/>
        </w:rPr>
        <w:t>根据《岳阳港总体规划》（2035），规划范围内有关岸线的水陆域条件、开发利用情况、腹地经济社会发展需求等，统筹考虑与生态环境保护、城市规划、土地利用、沿江产业及园区布局、水利防洪、综合交通等相关规划的衔接协调，规划岳阳港港口岸线共33098米。其中，规划长江港口岸线22038米，占自然岸线的13.5%，已利用10263米；湘江港口岸线6880米，已利用1170米；华容河港口岸线1500米、藕池河港口岸线1500米、汨罗江港口岸线400米、新墙河港口岸线200米、资江港口岸线500米，横岭湖港口岸线80米。</w:t>
      </w:r>
    </w:p>
    <w:p>
      <w:pPr>
        <w:spacing w:line="360" w:lineRule="auto"/>
        <w:ind w:firstLine="540" w:firstLineChars="225"/>
        <w:jc w:val="left"/>
        <w:rPr>
          <w:rFonts w:hint="eastAsia" w:ascii="Times New Roman" w:hAnsi="Times New Roman" w:eastAsia="宋体" w:cs="Times New Roman"/>
          <w:caps w:val="0"/>
          <w:smallCaps w:val="0"/>
          <w:snapToGrid w:val="0"/>
          <w:sz w:val="24"/>
          <w:u w:val="single"/>
          <w:lang w:val="en-US" w:eastAsia="zh-CN"/>
        </w:rPr>
      </w:pPr>
      <w:r>
        <w:rPr>
          <w:rFonts w:hint="eastAsia" w:ascii="Times New Roman" w:hAnsi="Times New Roman" w:eastAsia="宋体" w:cs="Times New Roman"/>
          <w:caps w:val="0"/>
          <w:smallCaps w:val="0"/>
          <w:snapToGrid w:val="0"/>
          <w:sz w:val="24"/>
          <w:u w:val="single"/>
          <w:lang w:val="en-US" w:eastAsia="zh-CN"/>
        </w:rPr>
        <w:t>推山咀</w:t>
      </w:r>
      <w:r>
        <w:rPr>
          <w:rFonts w:ascii="Times New Roman" w:hAnsi="Times New Roman" w:eastAsia="宋体" w:cs="Times New Roman"/>
          <w:caps w:val="0"/>
          <w:smallCaps w:val="0"/>
          <w:snapToGrid w:val="0"/>
          <w:sz w:val="24"/>
          <w:u w:val="single"/>
          <w:lang w:eastAsia="zh-CN"/>
        </w:rPr>
        <w:t>港区位于</w:t>
      </w:r>
      <w:r>
        <w:rPr>
          <w:rFonts w:hint="eastAsia" w:ascii="Times New Roman" w:hAnsi="Times New Roman" w:eastAsia="宋体" w:cs="Times New Roman"/>
          <w:caps w:val="0"/>
          <w:smallCaps w:val="0"/>
          <w:snapToGrid w:val="0"/>
          <w:sz w:val="24"/>
          <w:u w:val="single"/>
          <w:lang w:val="en-US" w:eastAsia="zh-CN"/>
        </w:rPr>
        <w:t>屈原管理区</w:t>
      </w:r>
      <w:r>
        <w:rPr>
          <w:rFonts w:ascii="Times New Roman" w:hAnsi="Times New Roman" w:eastAsia="宋体" w:cs="Times New Roman"/>
          <w:caps w:val="0"/>
          <w:smallCaps w:val="0"/>
          <w:snapToGrid w:val="0"/>
          <w:sz w:val="24"/>
          <w:u w:val="single"/>
          <w:lang w:eastAsia="zh-CN"/>
        </w:rPr>
        <w:t>，规划港口岸线</w:t>
      </w:r>
      <w:r>
        <w:rPr>
          <w:rFonts w:hint="eastAsia" w:ascii="Times New Roman" w:hAnsi="Times New Roman" w:eastAsia="宋体" w:cs="Times New Roman"/>
          <w:caps w:val="0"/>
          <w:smallCaps w:val="0"/>
          <w:snapToGrid w:val="0"/>
          <w:sz w:val="24"/>
          <w:u w:val="single"/>
          <w:lang w:val="en-US" w:eastAsia="zh-CN"/>
        </w:rPr>
        <w:t>110</w:t>
      </w:r>
      <w:r>
        <w:rPr>
          <w:rFonts w:ascii="Times New Roman" w:hAnsi="Times New Roman" w:eastAsia="宋体" w:cs="Times New Roman"/>
          <w:caps w:val="0"/>
          <w:smallCaps w:val="0"/>
          <w:snapToGrid w:val="0"/>
          <w:sz w:val="24"/>
          <w:u w:val="single"/>
          <w:lang w:eastAsia="zh-CN"/>
        </w:rPr>
        <w:t>0米，规划</w:t>
      </w:r>
      <w:r>
        <w:rPr>
          <w:rFonts w:hint="eastAsia" w:ascii="Times New Roman" w:hAnsi="Times New Roman" w:eastAsia="宋体" w:cs="Times New Roman"/>
          <w:caps w:val="0"/>
          <w:smallCaps w:val="0"/>
          <w:snapToGrid w:val="0"/>
          <w:sz w:val="24"/>
          <w:u w:val="single"/>
          <w:lang w:val="en-US" w:eastAsia="zh-CN"/>
        </w:rPr>
        <w:t>以件杂货运输为主，主要为当地经济和临港产业发展服务。现有正虹饲料厂码头、瑞宏、海丰、中鑫物流、推山咀、陈茂松件杂、水利建筑工程等货运码头、客运码头以及在建的推山咀一期工程码头，其中推山咀码头和水利建筑工程码头已经拆除，规划暂保留推山咀作业区现有码头功能并提质升级，干散货码头应逐步退出自然保护区或调整岸线功能。</w:t>
      </w:r>
    </w:p>
    <w:p>
      <w:pPr>
        <w:spacing w:line="360" w:lineRule="auto"/>
        <w:ind w:firstLine="540" w:firstLineChars="225"/>
        <w:jc w:val="left"/>
        <w:rPr>
          <w:rFonts w:hint="default" w:ascii="Times New Roman" w:hAnsi="Times New Roman" w:eastAsia="宋体" w:cs="Times New Roman"/>
          <w:caps w:val="0"/>
          <w:smallCaps w:val="0"/>
          <w:snapToGrid w:val="0"/>
          <w:sz w:val="24"/>
          <w:u w:val="single"/>
          <w:lang w:val="en-US" w:eastAsia="zh-CN"/>
        </w:rPr>
      </w:pPr>
      <w:r>
        <w:rPr>
          <w:rFonts w:hint="eastAsia" w:ascii="Times New Roman" w:hAnsi="Times New Roman" w:eastAsia="宋体" w:cs="Times New Roman"/>
          <w:caps w:val="0"/>
          <w:smallCaps w:val="0"/>
          <w:snapToGrid w:val="0"/>
          <w:sz w:val="24"/>
          <w:u w:val="single"/>
          <w:lang w:val="en-US" w:eastAsia="zh-CN"/>
        </w:rPr>
        <w:t>推山咀岸线。正虹饲料厂~港南村，位于屈原管理区城区下游和东洞庭湖市级江豚保护区实验区，按现场2300米，水域条件好，推山咀码头和水利建筑工程码头已经拆除，岸线港口运输功能推出；其他已建在建码头利用1100米岸线，规划为港口岸线，现有干散货码头逐步退出自然保护区或调整功能；其他岸线为非港口岸线。</w:t>
      </w:r>
    </w:p>
    <w:p>
      <w:pPr>
        <w:spacing w:line="360" w:lineRule="auto"/>
        <w:ind w:firstLine="540" w:firstLineChars="225"/>
        <w:jc w:val="left"/>
        <w:rPr>
          <w:rFonts w:ascii="Times New Roman" w:hAnsi="Times New Roman" w:eastAsia="宋体" w:cs="Times New Roman"/>
          <w:caps w:val="0"/>
          <w:smallCaps w:val="0"/>
          <w:snapToGrid w:val="0"/>
          <w:sz w:val="24"/>
          <w:u w:val="single"/>
          <w:lang w:eastAsia="zh-CN"/>
        </w:rPr>
      </w:pPr>
      <w:r>
        <w:rPr>
          <w:rFonts w:ascii="Times New Roman" w:hAnsi="Times New Roman" w:eastAsia="宋体" w:cs="Times New Roman"/>
          <w:caps w:val="0"/>
          <w:smallCaps w:val="0"/>
          <w:snapToGrid w:val="0"/>
          <w:sz w:val="24"/>
          <w:u w:val="single"/>
          <w:lang w:eastAsia="zh-CN"/>
        </w:rPr>
        <w:t>根据规划内容可知，本项目位于该规划港口岸线区域中</w:t>
      </w:r>
      <w:r>
        <w:rPr>
          <w:rFonts w:hint="eastAsia" w:ascii="Times New Roman" w:hAnsi="Times New Roman" w:eastAsia="宋体" w:cs="Times New Roman"/>
          <w:caps w:val="0"/>
          <w:smallCaps w:val="0"/>
          <w:snapToGrid w:val="0"/>
          <w:sz w:val="24"/>
          <w:u w:val="single"/>
          <w:lang w:val="en-US" w:eastAsia="zh-CN"/>
        </w:rPr>
        <w:t>推山咀作业区中现有海丰物流码头</w:t>
      </w:r>
      <w:r>
        <w:rPr>
          <w:rFonts w:ascii="Times New Roman" w:hAnsi="Times New Roman" w:eastAsia="宋体" w:cs="Times New Roman"/>
          <w:caps w:val="0"/>
          <w:smallCaps w:val="0"/>
          <w:snapToGrid w:val="0"/>
          <w:sz w:val="24"/>
          <w:u w:val="single"/>
          <w:lang w:eastAsia="zh-CN"/>
        </w:rPr>
        <w:t>范围内，符合《岳阳港总体规划》（2035）。</w:t>
      </w:r>
    </w:p>
    <w:p>
      <w:pPr>
        <w:spacing w:line="360" w:lineRule="auto"/>
        <w:ind w:firstLine="540" w:firstLineChars="225"/>
        <w:jc w:val="left"/>
        <w:rPr>
          <w:rFonts w:hint="default" w:ascii="Times New Roman" w:hAnsi="Times New Roman" w:cs="Times New Roman"/>
          <w:caps w:val="0"/>
          <w:smallCaps w:val="0"/>
          <w:snapToGrid w:val="0"/>
          <w:sz w:val="24"/>
          <w:lang w:val="en-US" w:eastAsia="zh-CN"/>
        </w:rPr>
      </w:pPr>
      <w:r>
        <w:rPr>
          <w:rFonts w:hint="default" w:ascii="Times New Roman" w:hAnsi="Times New Roman" w:cs="Times New Roman"/>
          <w:caps w:val="0"/>
          <w:smallCaps w:val="0"/>
          <w:snapToGrid w:val="0"/>
          <w:sz w:val="24"/>
          <w:lang w:val="en-US" w:eastAsia="zh-CN"/>
        </w:rPr>
        <w:t>（</w:t>
      </w:r>
      <w:r>
        <w:rPr>
          <w:rFonts w:hint="eastAsia" w:cs="Times New Roman"/>
          <w:caps w:val="0"/>
          <w:smallCaps w:val="0"/>
          <w:snapToGrid w:val="0"/>
          <w:sz w:val="24"/>
          <w:lang w:val="en-US" w:eastAsia="zh-CN"/>
        </w:rPr>
        <w:t>8</w:t>
      </w:r>
      <w:r>
        <w:rPr>
          <w:rFonts w:hint="default" w:ascii="Times New Roman" w:hAnsi="Times New Roman" w:cs="Times New Roman"/>
          <w:caps w:val="0"/>
          <w:smallCaps w:val="0"/>
          <w:snapToGrid w:val="0"/>
          <w:sz w:val="24"/>
          <w:lang w:val="en-US" w:eastAsia="zh-CN"/>
        </w:rPr>
        <w:t>）</w:t>
      </w:r>
      <w:bookmarkStart w:id="9" w:name="_Toc82508811"/>
      <w:bookmarkStart w:id="10" w:name="_Toc77255259"/>
      <w:r>
        <w:rPr>
          <w:rFonts w:hint="default" w:ascii="Times New Roman" w:hAnsi="Times New Roman" w:cs="Times New Roman"/>
          <w:caps w:val="0"/>
          <w:smallCaps w:val="0"/>
          <w:snapToGrid w:val="0"/>
          <w:sz w:val="24"/>
          <w:lang w:val="en-US" w:eastAsia="zh-CN"/>
        </w:rPr>
        <w:t>本项目与《岳阳市人民政府关于实施岳阳市“三线一单”生态环境分区管控的意见（岳政发〔2021〕2号）》的相符性分析</w:t>
      </w:r>
      <w:bookmarkEnd w:id="9"/>
      <w:bookmarkEnd w:id="10"/>
    </w:p>
    <w:p>
      <w:pPr>
        <w:spacing w:line="360" w:lineRule="auto"/>
        <w:ind w:firstLine="540" w:firstLineChars="225"/>
        <w:jc w:val="left"/>
        <w:rPr>
          <w:rFonts w:ascii="Times New Roman" w:hAnsi="Times New Roman" w:cs="Times New Roman"/>
          <w:caps w:val="0"/>
          <w:smallCaps w:val="0"/>
          <w:snapToGrid w:val="0"/>
          <w:sz w:val="24"/>
          <w:lang w:val="en-US" w:eastAsia="zh-CN"/>
        </w:rPr>
      </w:pPr>
      <w:r>
        <w:rPr>
          <w:rFonts w:ascii="Times New Roman" w:hAnsi="Times New Roman" w:cs="Times New Roman"/>
          <w:caps w:val="0"/>
          <w:smallCaps w:val="0"/>
          <w:snapToGrid w:val="0"/>
          <w:sz w:val="24"/>
          <w:lang w:val="en-US" w:eastAsia="zh-CN"/>
        </w:rPr>
        <w:t>2021年2月1日，岳阳市人民政府印发了《岳阳市人民政府关于实施岳阳市“三线一单”生态环境分区管控的意见（岳政发〔2021〕2号）》。文件中对岳阳市</w:t>
      </w:r>
      <w:r>
        <w:rPr>
          <w:rFonts w:hint="eastAsia" w:ascii="Times New Roman" w:hAnsi="Times New Roman" w:cs="Times New Roman"/>
          <w:caps w:val="0"/>
          <w:smallCaps w:val="0"/>
          <w:snapToGrid w:val="0"/>
          <w:sz w:val="24"/>
          <w:lang w:val="en-US" w:eastAsia="zh-CN"/>
        </w:rPr>
        <w:t>屈原管理区营田镇</w:t>
      </w:r>
      <w:r>
        <w:rPr>
          <w:rFonts w:ascii="Times New Roman" w:hAnsi="Times New Roman" w:cs="Times New Roman"/>
          <w:caps w:val="0"/>
          <w:smallCaps w:val="0"/>
          <w:snapToGrid w:val="0"/>
          <w:sz w:val="24"/>
          <w:lang w:val="en-US" w:eastAsia="zh-CN"/>
        </w:rPr>
        <w:t>管控要求及符合性分析具体如下：</w:t>
      </w:r>
    </w:p>
    <w:p>
      <w:pPr>
        <w:spacing w:line="360" w:lineRule="auto"/>
        <w:ind w:left="72" w:leftChars="30" w:right="72" w:rightChars="30"/>
        <w:jc w:val="center"/>
        <w:rPr>
          <w:rFonts w:ascii="Times New Roman" w:hAnsi="Times New Roman" w:cs="Times New Roman"/>
          <w:b/>
          <w:caps w:val="0"/>
          <w:smallCaps w:val="0"/>
          <w:szCs w:val="21"/>
          <w:u w:val="single"/>
        </w:rPr>
      </w:pPr>
      <w:r>
        <w:rPr>
          <w:rFonts w:ascii="Times New Roman" w:hAnsi="Times New Roman" w:cs="Times New Roman"/>
          <w:b/>
          <w:caps w:val="0"/>
          <w:smallCaps w:val="0"/>
          <w:szCs w:val="21"/>
          <w:u w:val="none"/>
        </w:rPr>
        <w:t>表1.</w:t>
      </w:r>
      <w:r>
        <w:rPr>
          <w:rFonts w:hint="eastAsia" w:ascii="Times New Roman" w:hAnsi="Times New Roman" w:cs="Times New Roman"/>
          <w:b/>
          <w:caps w:val="0"/>
          <w:smallCaps w:val="0"/>
          <w:szCs w:val="21"/>
          <w:u w:val="none"/>
        </w:rPr>
        <w:t>3</w:t>
      </w:r>
      <w:r>
        <w:rPr>
          <w:rFonts w:ascii="Times New Roman" w:hAnsi="Times New Roman" w:cs="Times New Roman"/>
          <w:b/>
          <w:caps w:val="0"/>
          <w:smallCaps w:val="0"/>
          <w:szCs w:val="21"/>
          <w:u w:val="none"/>
        </w:rPr>
        <w:t>-4与岳阳市</w:t>
      </w:r>
      <w:r>
        <w:rPr>
          <w:rFonts w:hint="eastAsia" w:ascii="Times New Roman" w:hAnsi="Times New Roman" w:cs="Times New Roman"/>
          <w:b/>
          <w:caps w:val="0"/>
          <w:smallCaps w:val="0"/>
          <w:szCs w:val="21"/>
          <w:u w:val="none"/>
          <w:lang w:eastAsia="zh-CN"/>
        </w:rPr>
        <w:t>屈原管理区营田镇</w:t>
      </w:r>
      <w:r>
        <w:rPr>
          <w:rFonts w:ascii="Times New Roman" w:hAnsi="Times New Roman" w:cs="Times New Roman"/>
          <w:b/>
          <w:caps w:val="0"/>
          <w:smallCaps w:val="0"/>
          <w:szCs w:val="21"/>
          <w:u w:val="none"/>
        </w:rPr>
        <w:t>环境管控单元生态环境准入清单符合性分析</w:t>
      </w:r>
    </w:p>
    <w:tbl>
      <w:tblPr>
        <w:tblStyle w:val="71"/>
        <w:tblW w:w="4999" w:type="pct"/>
        <w:tblInd w:w="123"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108" w:type="dxa"/>
          <w:bottom w:w="0" w:type="dxa"/>
          <w:right w:w="108" w:type="dxa"/>
        </w:tblCellMar>
      </w:tblPr>
      <w:tblGrid>
        <w:gridCol w:w="1469"/>
        <w:gridCol w:w="2349"/>
        <w:gridCol w:w="2754"/>
        <w:gridCol w:w="2712"/>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c>
          <w:tcPr>
            <w:tcW w:w="791"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乡镇</w:t>
            </w:r>
          </w:p>
        </w:tc>
        <w:tc>
          <w:tcPr>
            <w:tcW w:w="1265"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单元分类</w:t>
            </w:r>
          </w:p>
        </w:tc>
        <w:tc>
          <w:tcPr>
            <w:tcW w:w="1483" w:type="pct"/>
            <w:tcBorders>
              <w:right w:val="single" w:color="000000" w:sz="4" w:space="0"/>
            </w:tcBorders>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经济产业布局</w:t>
            </w:r>
          </w:p>
        </w:tc>
        <w:tc>
          <w:tcPr>
            <w:tcW w:w="1459" w:type="pct"/>
            <w:tcBorders>
              <w:left w:val="single" w:color="000000" w:sz="4" w:space="0"/>
            </w:tcBorders>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主要环境问题</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c>
          <w:tcPr>
            <w:tcW w:w="791" w:type="pct"/>
            <w:noWrap w:val="0"/>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rPr>
              <w:t>湖南省岳阳市</w:t>
            </w:r>
            <w:r>
              <w:rPr>
                <w:rFonts w:hint="eastAsia" w:ascii="Times New Roman" w:hAnsi="Times New Roman" w:cs="Times New Roman"/>
                <w:caps w:val="0"/>
                <w:smallCaps w:val="0"/>
                <w:lang w:eastAsia="zh-CN"/>
              </w:rPr>
              <w:t>屈原管理区营田镇</w:t>
            </w:r>
          </w:p>
        </w:tc>
        <w:tc>
          <w:tcPr>
            <w:tcW w:w="1265"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lang w:val="en-US" w:eastAsia="zh-CN"/>
              </w:rPr>
              <w:t>一般</w:t>
            </w:r>
            <w:r>
              <w:rPr>
                <w:rFonts w:hint="eastAsia" w:ascii="Times New Roman" w:hAnsi="Times New Roman" w:cs="Times New Roman"/>
                <w:caps w:val="0"/>
                <w:smallCaps w:val="0"/>
              </w:rPr>
              <w:t>管控单元</w:t>
            </w:r>
          </w:p>
        </w:tc>
        <w:tc>
          <w:tcPr>
            <w:tcW w:w="1483" w:type="pct"/>
            <w:tcBorders>
              <w:right w:val="single" w:color="000000" w:sz="4" w:space="0"/>
            </w:tcBorders>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屠宰肉质食品加工业，食品加工业，中药饮片价格业，电子加工业，纺织印染业，生物质发电，饲料生产</w:t>
            </w:r>
          </w:p>
        </w:tc>
        <w:tc>
          <w:tcPr>
            <w:tcW w:w="1459" w:type="pct"/>
            <w:tcBorders>
              <w:left w:val="single" w:color="000000" w:sz="4" w:space="0"/>
            </w:tcBorders>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畜禽养殖等农业面源污染</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c>
          <w:tcPr>
            <w:tcW w:w="791"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主要属性</w:t>
            </w:r>
          </w:p>
        </w:tc>
        <w:tc>
          <w:tcPr>
            <w:tcW w:w="4208" w:type="pct"/>
            <w:gridSpan w:val="3"/>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生态保护红线/一般生态空间/湖南湘阴横岭湖自然保护区/</w:t>
            </w:r>
            <w:r>
              <w:rPr>
                <w:rFonts w:hint="eastAsia" w:ascii="Times New Roman" w:hAnsi="Times New Roman" w:cs="Times New Roman"/>
                <w:caps w:val="0"/>
                <w:smallCaps w:val="0"/>
                <w:lang w:val="en-US" w:eastAsia="zh-CN"/>
              </w:rPr>
              <w:t>德科</w:t>
            </w:r>
            <w:r>
              <w:rPr>
                <w:rFonts w:hint="eastAsia" w:ascii="Times New Roman" w:hAnsi="Times New Roman" w:cs="Times New Roman"/>
                <w:caps w:val="0"/>
                <w:smallCaps w:val="0"/>
              </w:rPr>
              <w:t>工业园/土壤一般管控区/农用地污染风险重点管控区/农用地优先保护区</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c>
          <w:tcPr>
            <w:tcW w:w="791"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管控维度</w:t>
            </w:r>
          </w:p>
        </w:tc>
        <w:tc>
          <w:tcPr>
            <w:tcW w:w="2748" w:type="pct"/>
            <w:gridSpan w:val="2"/>
            <w:tcBorders>
              <w:right w:val="single" w:color="000000" w:sz="4" w:space="0"/>
            </w:tcBorders>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管控要求</w:t>
            </w:r>
          </w:p>
        </w:tc>
        <w:tc>
          <w:tcPr>
            <w:tcW w:w="1459" w:type="pct"/>
            <w:tcBorders>
              <w:left w:val="single" w:color="000000" w:sz="4" w:space="0"/>
            </w:tcBorders>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符合性分析</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c>
          <w:tcPr>
            <w:tcW w:w="791"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空间布局元素</w:t>
            </w:r>
          </w:p>
        </w:tc>
        <w:tc>
          <w:tcPr>
            <w:tcW w:w="2748" w:type="pct"/>
            <w:gridSpan w:val="2"/>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湖南岳阳国家农业科技园区：重点建设优质水稻（优质水稻生产与加工和优质水稻繁育生产）、环境友好型养殖（畜禽和水产养殖与加工业）、高效湿地经济作物（高效蔬菜、黄茶生产加工、经济林、苗木花卉生产与加工）等</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德科产业园：主导产业为化纤线、化纤布生产，同时布局有中药饮片，电子加工，纺织印染等企业</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营田镇：主要发展饲料和食品工业；禁止发展造纸业、化工业、污染严重的制造业</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严格执行畜禽养殖分区管理制度，禁养区规模畜禽养殖全部关停退养或搬迁，加快推进畜禽适度规模养殖，湖区畜禽规模养殖比重达50％以上，关停未按期安装粪污处理设施和未实现达标排放的规模养殖场1.5全面禁止新增采砂产能，引导加快淘汰过剩产能，对新建、改造、外购的采砂船只不予登记和办理相关证照；从严控制采砂范围和开采总</w:t>
            </w:r>
            <w:r>
              <w:rPr>
                <w:rFonts w:hint="eastAsia" w:ascii="Times New Roman" w:hAnsi="Times New Roman" w:cs="Times New Roman"/>
                <w:caps w:val="0"/>
                <w:smallCaps w:val="0"/>
                <w:lang w:val="en-US" w:eastAsia="zh-CN"/>
              </w:rPr>
              <w:t>量</w:t>
            </w:r>
          </w:p>
        </w:tc>
        <w:tc>
          <w:tcPr>
            <w:tcW w:w="1459"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本项目为内河千吨级泊位码头项目，属于《产业结构调整指导目录》鼓励类项目，符合管控要求。</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c>
          <w:tcPr>
            <w:tcW w:w="791"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污染物排放管控</w:t>
            </w:r>
          </w:p>
        </w:tc>
        <w:tc>
          <w:tcPr>
            <w:tcW w:w="2748" w:type="pct"/>
            <w:gridSpan w:val="2"/>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2.1</w:t>
            </w:r>
            <w:r>
              <w:rPr>
                <w:rFonts w:hint="eastAsia" w:ascii="Times New Roman" w:hAnsi="Times New Roman" w:cs="Times New Roman"/>
                <w:caps w:val="0"/>
                <w:smallCaps w:val="0"/>
                <w:lang w:val="en-US" w:eastAsia="zh-CN"/>
              </w:rPr>
              <w:t>加快推广稻鱼综合种养技术模式，全区稻鱼综合种养面积新增0.55万亩，升级改造1.85万亩精养池塘，实现池塘渔业用水循环利用和达</w:t>
            </w:r>
            <w:r>
              <w:rPr>
                <w:rFonts w:hint="eastAsia" w:ascii="Times New Roman" w:hAnsi="Times New Roman" w:cs="Times New Roman"/>
                <w:caps w:val="0"/>
                <w:smallCaps w:val="0"/>
              </w:rPr>
              <w:t>标排放</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2.2提高秸秆综合利用率，全面禁止农作物秸秆露天焚烧</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2.3严格规范兽药、饲料及饲料添加剂的生产和使用。加强规模养殖场（小区）粪污处理及综合利用设施改造</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2.4完成农科园、德科工业园区污水集中处理设施建设，并安装自动在线监控装置。完善园区污水收集配套管网，新建、升级工业园区必须同步建设污水集中处理设施和配套管网</w:t>
            </w:r>
          </w:p>
        </w:tc>
        <w:tc>
          <w:tcPr>
            <w:tcW w:w="1459"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项目为内河千吨级泊位码头项目，码头员工生活污水依托厂区现有化粪池预处理处理后用于周边农田、菜地做农肥，到港船舶生活污水</w:t>
            </w:r>
            <w:r>
              <w:rPr>
                <w:rFonts w:hint="eastAsia" w:ascii="Times New Roman" w:hAnsi="Times New Roman" w:cs="Times New Roman"/>
                <w:caps w:val="0"/>
                <w:smallCaps w:val="0"/>
                <w:lang w:eastAsia="zh-CN"/>
              </w:rPr>
              <w:t>、</w:t>
            </w:r>
            <w:r>
              <w:rPr>
                <w:rFonts w:hint="eastAsia" w:ascii="Times New Roman" w:hAnsi="Times New Roman" w:cs="Times New Roman"/>
                <w:caps w:val="0"/>
                <w:smallCaps w:val="0"/>
                <w:lang w:val="en-US" w:eastAsia="zh-CN"/>
              </w:rPr>
              <w:t>油污水和</w:t>
            </w:r>
            <w:r>
              <w:rPr>
                <w:rFonts w:hint="eastAsia" w:ascii="Times New Roman" w:hAnsi="Times New Roman" w:cs="Times New Roman"/>
                <w:caps w:val="0"/>
                <w:smallCaps w:val="0"/>
              </w:rPr>
              <w:t>趸船冲洗废水经趸船生活污水箱收集后定期由海事部门指定具有专业资质的接收船接收；</w:t>
            </w:r>
            <w:r>
              <w:rPr>
                <w:rFonts w:hint="eastAsia" w:ascii="Times New Roman" w:hAnsi="Times New Roman" w:cs="Times New Roman"/>
                <w:caps w:val="0"/>
                <w:smallCaps w:val="0"/>
                <w:lang w:val="en-US" w:eastAsia="zh-CN"/>
              </w:rPr>
              <w:t>沥青烟气</w:t>
            </w:r>
            <w:r>
              <w:rPr>
                <w:rFonts w:hint="eastAsia" w:ascii="Times New Roman" w:hAnsi="Times New Roman" w:cs="Times New Roman"/>
                <w:caps w:val="0"/>
                <w:smallCaps w:val="0"/>
              </w:rPr>
              <w:t>经</w:t>
            </w:r>
            <w:r>
              <w:rPr>
                <w:rFonts w:hint="eastAsia" w:ascii="Times New Roman" w:hAnsi="Times New Roman" w:cs="Times New Roman"/>
                <w:caps w:val="0"/>
                <w:smallCaps w:val="0"/>
                <w:lang w:val="en-US" w:eastAsia="zh-CN"/>
              </w:rPr>
              <w:t>库区污染处理措施处理后达标排放</w:t>
            </w:r>
            <w:r>
              <w:rPr>
                <w:rFonts w:hint="eastAsia" w:ascii="Times New Roman" w:hAnsi="Times New Roman" w:cs="Times New Roman"/>
                <w:caps w:val="0"/>
                <w:smallCaps w:val="0"/>
              </w:rPr>
              <w:t>；设备噪声采用隔声减振，选用低噪声设备等措施，各污染物均能实现达标排放，符合污染物排放管控要求。</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c>
          <w:tcPr>
            <w:tcW w:w="791"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环境风险防控</w:t>
            </w:r>
          </w:p>
        </w:tc>
        <w:tc>
          <w:tcPr>
            <w:tcW w:w="2748" w:type="pct"/>
            <w:gridSpan w:val="2"/>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3.1灌溉用水要符合农田灌溉水水质标准，对因长期使用污水灌溉导致土壤污染严重、威胁农产品质量安全的，及时调整种植结构</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3.2根据土壤污染状况和农产品超标情况，制定实施受污染耕地安全利用方案，采取农艺调控、化学阻控、替代种植等措施，降低农产品重金属超标风险</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3.3整治非法砂石码头。摸清外河砂石码头情况，并登记造册。有序推进关停砂石码头生态功能修复</w:t>
            </w:r>
          </w:p>
        </w:tc>
        <w:tc>
          <w:tcPr>
            <w:tcW w:w="1459"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本项目不</w:t>
            </w:r>
            <w:r>
              <w:rPr>
                <w:rFonts w:hint="eastAsia" w:ascii="Times New Roman" w:hAnsi="Times New Roman" w:cs="Times New Roman"/>
                <w:caps w:val="0"/>
                <w:smallCaps w:val="0"/>
                <w:lang w:eastAsia="zh-CN"/>
              </w:rPr>
              <w:t>存在管控要求中的</w:t>
            </w:r>
            <w:r>
              <w:rPr>
                <w:rFonts w:hint="eastAsia" w:ascii="Times New Roman" w:hAnsi="Times New Roman" w:cs="Times New Roman"/>
                <w:caps w:val="0"/>
                <w:smallCaps w:val="0"/>
              </w:rPr>
              <w:t>风险防控情景。</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c>
          <w:tcPr>
            <w:tcW w:w="791"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资源开发效率要求</w:t>
            </w:r>
          </w:p>
        </w:tc>
        <w:tc>
          <w:tcPr>
            <w:tcW w:w="2748" w:type="pct"/>
            <w:gridSpan w:val="2"/>
            <w:noWrap w:val="0"/>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rPr>
              <w:t>4.1水资源：2020年，</w:t>
            </w:r>
            <w:r>
              <w:rPr>
                <w:rFonts w:hint="eastAsia" w:ascii="Times New Roman" w:hAnsi="Times New Roman" w:cs="Times New Roman"/>
                <w:caps w:val="0"/>
                <w:smallCaps w:val="0"/>
                <w:lang w:val="en-US" w:eastAsia="zh-CN"/>
              </w:rPr>
              <w:t>屈原管理区</w:t>
            </w:r>
            <w:r>
              <w:rPr>
                <w:rFonts w:hint="eastAsia" w:ascii="Times New Roman" w:hAnsi="Times New Roman" w:cs="Times New Roman"/>
                <w:caps w:val="0"/>
                <w:smallCaps w:val="0"/>
              </w:rPr>
              <w:t>万元国内生产总值用水量</w:t>
            </w:r>
            <w:r>
              <w:rPr>
                <w:rFonts w:hint="eastAsia" w:ascii="Times New Roman" w:hAnsi="Times New Roman" w:cs="Times New Roman"/>
                <w:caps w:val="0"/>
                <w:smallCaps w:val="0"/>
                <w:lang w:val="en-US" w:eastAsia="zh-CN"/>
              </w:rPr>
              <w:t>48</w:t>
            </w:r>
            <w:r>
              <w:rPr>
                <w:rFonts w:hint="eastAsia" w:ascii="Times New Roman" w:hAnsi="Times New Roman" w:cs="Times New Roman"/>
                <w:caps w:val="0"/>
                <w:smallCaps w:val="0"/>
              </w:rPr>
              <w:t>m</w:t>
            </w:r>
            <w:r>
              <w:rPr>
                <w:rFonts w:hint="eastAsia" w:ascii="Times New Roman" w:hAnsi="Times New Roman" w:cs="Times New Roman"/>
                <w:caps w:val="0"/>
                <w:smallCaps w:val="0"/>
                <w:vertAlign w:val="superscript"/>
              </w:rPr>
              <w:t>3</w:t>
            </w:r>
            <w:r>
              <w:rPr>
                <w:rFonts w:hint="eastAsia" w:ascii="Times New Roman" w:hAnsi="Times New Roman" w:cs="Times New Roman"/>
                <w:caps w:val="0"/>
                <w:smallCaps w:val="0"/>
              </w:rPr>
              <w:t>/万元，万元工业增加值用水量</w:t>
            </w:r>
            <w:r>
              <w:rPr>
                <w:rFonts w:hint="eastAsia" w:ascii="Times New Roman" w:hAnsi="Times New Roman" w:cs="Times New Roman"/>
                <w:caps w:val="0"/>
                <w:smallCaps w:val="0"/>
                <w:lang w:val="en-US" w:eastAsia="zh-CN"/>
              </w:rPr>
              <w:t>41</w:t>
            </w:r>
            <w:r>
              <w:rPr>
                <w:rFonts w:hint="eastAsia" w:ascii="Times New Roman" w:hAnsi="Times New Roman" w:cs="Times New Roman"/>
                <w:caps w:val="0"/>
                <w:smallCaps w:val="0"/>
              </w:rPr>
              <w:t>m</w:t>
            </w:r>
            <w:r>
              <w:rPr>
                <w:rFonts w:hint="eastAsia" w:ascii="Times New Roman" w:hAnsi="Times New Roman" w:cs="Times New Roman"/>
                <w:caps w:val="0"/>
                <w:smallCaps w:val="0"/>
                <w:vertAlign w:val="superscript"/>
              </w:rPr>
              <w:t>3</w:t>
            </w:r>
            <w:r>
              <w:rPr>
                <w:rFonts w:hint="eastAsia" w:ascii="Times New Roman" w:hAnsi="Times New Roman" w:cs="Times New Roman"/>
                <w:caps w:val="0"/>
                <w:smallCaps w:val="0"/>
              </w:rPr>
              <w:t>/万元，农田灌溉水有效利用系数0.5</w:t>
            </w:r>
            <w:r>
              <w:rPr>
                <w:rFonts w:hint="eastAsia" w:ascii="Times New Roman" w:hAnsi="Times New Roman" w:cs="Times New Roman"/>
                <w:caps w:val="0"/>
                <w:smallCaps w:val="0"/>
                <w:lang w:val="en-US" w:eastAsia="zh-CN"/>
              </w:rPr>
              <w:t>2</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4.2能源：</w:t>
            </w:r>
            <w:r>
              <w:rPr>
                <w:rFonts w:hint="eastAsia" w:ascii="Times New Roman" w:hAnsi="Times New Roman" w:cs="Times New Roman"/>
                <w:caps w:val="0"/>
                <w:smallCaps w:val="0"/>
                <w:lang w:val="en-US" w:eastAsia="zh-CN"/>
              </w:rPr>
              <w:t>屈原管理区</w:t>
            </w:r>
            <w:r>
              <w:rPr>
                <w:rFonts w:hint="eastAsia" w:ascii="Times New Roman" w:hAnsi="Times New Roman" w:cs="Times New Roman"/>
                <w:caps w:val="0"/>
                <w:smallCaps w:val="0"/>
              </w:rPr>
              <w:t>“十三五”能耗强度降低目标1</w:t>
            </w:r>
            <w:r>
              <w:rPr>
                <w:rFonts w:hint="eastAsia" w:ascii="Times New Roman" w:hAnsi="Times New Roman" w:cs="Times New Roman"/>
                <w:caps w:val="0"/>
                <w:smallCaps w:val="0"/>
                <w:lang w:val="en-US" w:eastAsia="zh-CN"/>
              </w:rPr>
              <w:t>7</w:t>
            </w:r>
            <w:r>
              <w:rPr>
                <w:rFonts w:hint="eastAsia" w:ascii="Times New Roman" w:hAnsi="Times New Roman" w:cs="Times New Roman"/>
                <w:caps w:val="0"/>
                <w:smallCaps w:val="0"/>
              </w:rPr>
              <w:t>%，“十三五”能耗控制目标</w:t>
            </w:r>
            <w:r>
              <w:rPr>
                <w:rFonts w:hint="eastAsia" w:ascii="Times New Roman" w:hAnsi="Times New Roman" w:cs="Times New Roman"/>
                <w:caps w:val="0"/>
                <w:smallCaps w:val="0"/>
                <w:lang w:val="en-US" w:eastAsia="zh-CN"/>
              </w:rPr>
              <w:t>2.5</w:t>
            </w:r>
            <w:r>
              <w:rPr>
                <w:rFonts w:hint="eastAsia" w:ascii="Times New Roman" w:hAnsi="Times New Roman" w:cs="Times New Roman"/>
                <w:caps w:val="0"/>
                <w:smallCaps w:val="0"/>
              </w:rPr>
              <w:t>万吨标准煤。</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4.3湖南岳阳国家农业科技园区：园区内优先使用天然气、液化石油气以及电能等清洁能源</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4.4土地资源：屈原管理区耕地保有量8960公顷，基本农田保护面积7850公顷。2020年屈原管理区建设用地总规模3625.90公顷，城乡建设用地规模2845.36公顷，城镇工矿用地规模1166.99公顷，人均城镇工矿140公顷</w:t>
            </w:r>
          </w:p>
        </w:tc>
        <w:tc>
          <w:tcPr>
            <w:tcW w:w="1459" w:type="pct"/>
            <w:noWrap w:val="0"/>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本项目为</w:t>
            </w:r>
            <w:r>
              <w:rPr>
                <w:rFonts w:hint="eastAsia" w:ascii="Times New Roman" w:hAnsi="Times New Roman" w:cs="Times New Roman"/>
                <w:caps w:val="0"/>
                <w:smallCaps w:val="0"/>
                <w:lang w:val="en-US" w:eastAsia="zh-CN"/>
              </w:rPr>
              <w:t>沥青</w:t>
            </w:r>
            <w:r>
              <w:rPr>
                <w:rFonts w:hint="eastAsia" w:ascii="Times New Roman" w:hAnsi="Times New Roman" w:cs="Times New Roman"/>
                <w:caps w:val="0"/>
                <w:smallCaps w:val="0"/>
              </w:rPr>
              <w:t>码头项目，生产废水循环使用不外排，有利于水资源的保护。项目为提质改造工程，在现有码头范围内进行提质改造，不新增占地。</w:t>
            </w:r>
          </w:p>
        </w:tc>
      </w:tr>
    </w:tbl>
    <w:p>
      <w:pPr>
        <w:bidi w:val="0"/>
        <w:rPr>
          <w:rFonts w:hint="eastAsia"/>
          <w:u w:val="single"/>
          <w:lang w:eastAsia="zh-CN"/>
        </w:rPr>
      </w:pPr>
      <w:r>
        <w:rPr>
          <w:rFonts w:hint="eastAsia"/>
          <w:u w:val="single"/>
          <w:lang w:eastAsia="zh-CN"/>
        </w:rPr>
        <w:t>（</w:t>
      </w:r>
      <w:r>
        <w:rPr>
          <w:rFonts w:hint="eastAsia"/>
          <w:u w:val="single"/>
          <w:lang w:val="en-US" w:eastAsia="zh-CN"/>
        </w:rPr>
        <w:t>9</w:t>
      </w:r>
      <w:r>
        <w:rPr>
          <w:rFonts w:hint="eastAsia"/>
          <w:u w:val="single"/>
          <w:lang w:eastAsia="zh-CN"/>
        </w:rPr>
        <w:t>）选址可行性</w:t>
      </w:r>
    </w:p>
    <w:p>
      <w:pPr>
        <w:pStyle w:val="69"/>
        <w:rPr>
          <w:rFonts w:hint="eastAsia"/>
          <w:u w:val="single"/>
          <w:lang w:val="en-US" w:eastAsia="zh-CN"/>
        </w:rPr>
      </w:pPr>
      <w:r>
        <w:rPr>
          <w:rFonts w:hint="eastAsia"/>
          <w:u w:val="single"/>
          <w:lang w:eastAsia="zh-CN"/>
        </w:rPr>
        <w:t>本项目位于岳阳港汨罗港区推山咀作业区一起工程码头上游约</w:t>
      </w:r>
      <w:r>
        <w:rPr>
          <w:rFonts w:hint="eastAsia"/>
          <w:u w:val="single"/>
          <w:lang w:val="en-US" w:eastAsia="zh-CN"/>
        </w:rPr>
        <w:t>700m处。</w:t>
      </w:r>
    </w:p>
    <w:p>
      <w:pPr>
        <w:rPr>
          <w:rFonts w:hint="eastAsia"/>
          <w:u w:val="single"/>
          <w:lang w:val="en-US" w:eastAsia="zh-CN"/>
        </w:rPr>
      </w:pPr>
      <w:r>
        <w:rPr>
          <w:rFonts w:hint="eastAsia"/>
          <w:u w:val="single"/>
          <w:lang w:val="en-US" w:eastAsia="zh-CN"/>
        </w:rPr>
        <w:t>①工程选址地址及水域条件</w:t>
      </w:r>
    </w:p>
    <w:p>
      <w:pPr>
        <w:rPr>
          <w:rFonts w:hint="eastAsia"/>
          <w:u w:val="single"/>
          <w:lang w:val="en-US" w:eastAsia="zh-CN"/>
        </w:rPr>
      </w:pPr>
      <w:r>
        <w:rPr>
          <w:rFonts w:hint="eastAsia"/>
          <w:u w:val="single"/>
          <w:lang w:val="en-US" w:eastAsia="zh-CN"/>
        </w:rPr>
        <w:t>根据湖南省交通规划勘察设计院有限公司编制的《湖南海丰物流老码头提质改造技改工程工程可行性研究阶段岩土工程勘察报告》，项目提质改造场区及临近未见大的断裂构造分布，第四系覆盖层广泛分布，区域地址构造稳定，适用于桩基结构。</w:t>
      </w:r>
    </w:p>
    <w:p>
      <w:pPr>
        <w:rPr>
          <w:rFonts w:hint="eastAsia"/>
          <w:u w:val="single"/>
          <w:lang w:val="en-US" w:eastAsia="zh-CN"/>
        </w:rPr>
      </w:pPr>
      <w:r>
        <w:rPr>
          <w:rFonts w:hint="eastAsia"/>
          <w:u w:val="single"/>
          <w:lang w:val="en-US" w:eastAsia="zh-CN"/>
        </w:rPr>
        <w:t>根据《湖南海丰物流老码头提质改造技改项目方案设计》，该码头河段河床稳定，前言江面宽阔，河底现状高程为21.0~21.5m左右，拟建码头前沿设计河底高程为14.92m，码头前沿水域水深满足吃水不能要求，需要对码头停泊水域及航道进行疏浚清淤。</w:t>
      </w:r>
    </w:p>
    <w:p>
      <w:pPr>
        <w:pStyle w:val="69"/>
        <w:rPr>
          <w:rFonts w:hint="eastAsia"/>
          <w:u w:val="single"/>
          <w:lang w:val="en-US" w:eastAsia="zh-CN"/>
        </w:rPr>
      </w:pPr>
      <w:r>
        <w:rPr>
          <w:rFonts w:hint="eastAsia"/>
          <w:u w:val="single"/>
          <w:lang w:val="en-US" w:eastAsia="zh-CN"/>
        </w:rPr>
        <w:t>因此，该项目工程范围内地址条件较好，适用于桩基结构，码头建成后，码头前满足水深和航行条件，其前水域在不影响主航道的前提下，可满足停泊水域及回旋水域宽度要求</w:t>
      </w:r>
      <w:r>
        <w:rPr>
          <w:rFonts w:cs="Times New Roman" w:eastAsiaTheme="minorEastAsia"/>
          <w:color w:val="000000"/>
          <w:szCs w:val="24"/>
          <w:u w:val="single"/>
        </w:rPr>
        <w:t>，满足航道安全通航的相关要求</w:t>
      </w:r>
      <w:r>
        <w:rPr>
          <w:rFonts w:hint="eastAsia"/>
          <w:u w:val="single"/>
          <w:lang w:val="en-US" w:eastAsia="zh-CN"/>
        </w:rPr>
        <w:t>。</w:t>
      </w:r>
    </w:p>
    <w:p>
      <w:pPr>
        <w:rPr>
          <w:rFonts w:hint="eastAsia"/>
          <w:u w:val="single"/>
          <w:lang w:val="en-US" w:eastAsia="zh-CN"/>
        </w:rPr>
      </w:pPr>
      <w:r>
        <w:rPr>
          <w:rFonts w:hint="eastAsia"/>
          <w:u w:val="single"/>
          <w:lang w:val="en-US" w:eastAsia="zh-CN"/>
        </w:rPr>
        <w:t>②交通运输的便捷性</w:t>
      </w:r>
    </w:p>
    <w:p>
      <w:pPr>
        <w:pStyle w:val="69"/>
        <w:rPr>
          <w:rFonts w:hint="default"/>
          <w:u w:val="single"/>
          <w:lang w:val="en-US" w:eastAsia="zh-CN"/>
        </w:rPr>
      </w:pPr>
      <w:r>
        <w:rPr>
          <w:rFonts w:hint="default"/>
          <w:u w:val="single"/>
          <w:lang w:val="en-US" w:eastAsia="zh-CN"/>
        </w:rPr>
        <w:t>本项目港址位于汨罗市屈原管理区中心城镇营田镇北部，毗邻沿江公路和正虹大道，由正虹大道接省道S307，至汨罗市约10km。往北有沿湘江县道X048直至磊石山，往南由县道X056，通过京广铁路及复线、京珠高速公路及复线、国道G107至各地。屈原管理区基本形成了“三纵两横”的公路交通网。湘江航道是长沙至岳阳入长江的主航线，目前航道等级为2000吨级，丰水期可通行3000吨级船舶。</w:t>
      </w:r>
      <w:r>
        <w:rPr>
          <w:rFonts w:hint="eastAsia"/>
          <w:u w:val="single"/>
          <w:lang w:val="en-US" w:eastAsia="zh-CN"/>
        </w:rPr>
        <w:t>港区水路交通极其优越</w:t>
      </w:r>
      <w:r>
        <w:rPr>
          <w:rFonts w:hint="default"/>
          <w:u w:val="single"/>
          <w:lang w:val="en-US" w:eastAsia="zh-CN"/>
        </w:rPr>
        <w:t>。</w:t>
      </w:r>
    </w:p>
    <w:p>
      <w:pPr>
        <w:rPr>
          <w:rFonts w:hint="eastAsia"/>
          <w:u w:val="single"/>
          <w:lang w:val="en-US" w:eastAsia="zh-CN"/>
        </w:rPr>
      </w:pPr>
      <w:r>
        <w:rPr>
          <w:rFonts w:hint="eastAsia"/>
          <w:u w:val="single"/>
          <w:lang w:val="en-US" w:eastAsia="zh-CN"/>
        </w:rPr>
        <w:t>③供水、供电等配套设施的完整性</w:t>
      </w:r>
    </w:p>
    <w:p>
      <w:pPr>
        <w:pStyle w:val="69"/>
        <w:rPr>
          <w:rFonts w:hint="eastAsia"/>
          <w:u w:val="single"/>
          <w:lang w:val="en-US" w:eastAsia="zh-CN"/>
        </w:rPr>
      </w:pPr>
      <w:r>
        <w:rPr>
          <w:rFonts w:hint="eastAsia"/>
          <w:u w:val="single"/>
          <w:lang w:val="en-US" w:eastAsia="zh-CN"/>
        </w:rPr>
        <w:t>本项目因子就近电网10kV供电电源，供水、通信等依托后方库区现有设施。</w:t>
      </w:r>
    </w:p>
    <w:p>
      <w:pPr>
        <w:rPr>
          <w:rFonts w:hint="eastAsia"/>
          <w:u w:val="single"/>
          <w:lang w:val="en-US" w:eastAsia="zh-CN"/>
        </w:rPr>
      </w:pPr>
      <w:r>
        <w:rPr>
          <w:rFonts w:hint="eastAsia"/>
          <w:u w:val="single"/>
          <w:lang w:val="en-US" w:eastAsia="zh-CN"/>
        </w:rPr>
        <w:t>综上所述，本项目选址可行。</w:t>
      </w:r>
    </w:p>
    <w:p>
      <w:pPr>
        <w:pStyle w:val="69"/>
        <w:rPr>
          <w:rFonts w:hint="eastAsia"/>
          <w:u w:val="single"/>
          <w:lang w:val="en-US" w:eastAsia="zh-CN"/>
        </w:rPr>
      </w:pPr>
      <w:r>
        <w:rPr>
          <w:rFonts w:hint="eastAsia"/>
          <w:u w:val="single"/>
          <w:lang w:val="en-US" w:eastAsia="zh-CN"/>
        </w:rPr>
        <w:t>（10）平面布置的合理性</w:t>
      </w:r>
    </w:p>
    <w:p>
      <w:pPr>
        <w:rPr>
          <w:rFonts w:hint="default"/>
          <w:u w:val="single"/>
          <w:lang w:val="en-US" w:eastAsia="zh-CN"/>
        </w:rPr>
      </w:pPr>
      <w:r>
        <w:rPr>
          <w:rFonts w:hint="eastAsia"/>
          <w:u w:val="single"/>
          <w:lang w:val="en-US" w:eastAsia="zh-CN"/>
        </w:rPr>
        <w:t>①</w:t>
      </w:r>
      <w:r>
        <w:rPr>
          <w:rFonts w:hint="default"/>
          <w:u w:val="single"/>
          <w:lang w:val="en-US" w:eastAsia="zh-CN"/>
        </w:rPr>
        <w:t>港区陆域按生产区、辅助生产区的使用功能分区布置。港区陆域布置结合装卸工艺流程和自然条件合理组织各种运输系统，使港区用电和用水合理，减少相互干扰。</w:t>
      </w:r>
    </w:p>
    <w:p>
      <w:pPr>
        <w:rPr>
          <w:rFonts w:hint="default"/>
          <w:u w:val="single"/>
          <w:lang w:val="en-US" w:eastAsia="zh-CN"/>
        </w:rPr>
      </w:pPr>
      <w:r>
        <w:rPr>
          <w:rFonts w:hint="eastAsia"/>
          <w:u w:val="single"/>
          <w:lang w:val="en-US" w:eastAsia="zh-CN"/>
        </w:rPr>
        <w:t>②</w:t>
      </w:r>
      <w:r>
        <w:rPr>
          <w:rFonts w:hint="default"/>
          <w:u w:val="single"/>
          <w:lang w:val="en-US" w:eastAsia="zh-CN"/>
        </w:rPr>
        <w:t>码头的布置满足装卸机械经济运距的要求，减少水平运输距离。</w:t>
      </w:r>
    </w:p>
    <w:p>
      <w:pPr>
        <w:rPr>
          <w:rFonts w:hint="default"/>
          <w:u w:val="single"/>
          <w:lang w:val="en-US" w:eastAsia="zh-CN"/>
        </w:rPr>
      </w:pPr>
      <w:r>
        <w:rPr>
          <w:rFonts w:hint="eastAsia"/>
          <w:u w:val="single"/>
          <w:lang w:val="en-US" w:eastAsia="zh-CN"/>
        </w:rPr>
        <w:t>③</w:t>
      </w:r>
      <w:r>
        <w:rPr>
          <w:rFonts w:hint="default"/>
          <w:u w:val="single"/>
          <w:lang w:val="en-US" w:eastAsia="zh-CN"/>
        </w:rPr>
        <w:t>码头作业线协调布置有利于安全生产和方便船舶及物流运转，节约能源、降低能耗。</w:t>
      </w:r>
    </w:p>
    <w:p>
      <w:pPr>
        <w:rPr>
          <w:rFonts w:hint="default"/>
          <w:u w:val="single"/>
          <w:lang w:val="en-US" w:eastAsia="zh-CN"/>
        </w:rPr>
      </w:pPr>
      <w:r>
        <w:rPr>
          <w:rFonts w:hint="eastAsia"/>
          <w:u w:val="single"/>
          <w:lang w:val="en-US" w:eastAsia="zh-CN"/>
        </w:rPr>
        <w:t>④</w:t>
      </w:r>
      <w:r>
        <w:rPr>
          <w:rFonts w:hint="default"/>
          <w:u w:val="single"/>
          <w:lang w:val="en-US" w:eastAsia="zh-CN"/>
        </w:rPr>
        <w:t>港区布置时，考虑了风向及水流流向对周围环境及水质的影响，同时码头布局与总体布局相互协调。</w:t>
      </w:r>
    </w:p>
    <w:p>
      <w:pPr>
        <w:rPr>
          <w:rFonts w:hint="default"/>
          <w:u w:val="single"/>
          <w:lang w:val="en-US" w:eastAsia="zh-CN"/>
        </w:rPr>
      </w:pPr>
      <w:r>
        <w:rPr>
          <w:rFonts w:hint="eastAsia"/>
          <w:u w:val="single"/>
          <w:lang w:val="en-US" w:eastAsia="zh-CN"/>
        </w:rPr>
        <w:t>⑤</w:t>
      </w:r>
      <w:r>
        <w:rPr>
          <w:rFonts w:hint="default"/>
          <w:u w:val="single"/>
          <w:lang w:val="en-US" w:eastAsia="zh-CN"/>
        </w:rPr>
        <w:t>码头前沿线的位置确定，结合了地形特点及码头使用要求，合理利用了天然水深，以尽量降低工程造价。</w:t>
      </w:r>
    </w:p>
    <w:p>
      <w:pPr>
        <w:rPr>
          <w:rFonts w:hint="default"/>
          <w:u w:val="single"/>
          <w:lang w:val="en-US" w:eastAsia="zh-CN"/>
        </w:rPr>
      </w:pPr>
      <w:r>
        <w:rPr>
          <w:rFonts w:hint="eastAsia"/>
          <w:u w:val="single"/>
          <w:lang w:val="en-US" w:eastAsia="zh-CN"/>
        </w:rPr>
        <w:t>⑥</w:t>
      </w:r>
      <w:r>
        <w:rPr>
          <w:rFonts w:hint="default"/>
          <w:u w:val="single"/>
          <w:lang w:val="en-US" w:eastAsia="zh-CN"/>
        </w:rPr>
        <w:t>总平面布置时，结合港区地形地质条件，综合考虑了码头建成后对河床冲淤变化的影响及对岸坡稳定的影响。</w:t>
      </w:r>
    </w:p>
    <w:p>
      <w:pPr>
        <w:rPr>
          <w:rFonts w:hint="default"/>
          <w:u w:val="single"/>
          <w:lang w:val="en-US" w:eastAsia="zh-CN"/>
        </w:rPr>
      </w:pPr>
      <w:r>
        <w:rPr>
          <w:rFonts w:hint="eastAsia"/>
          <w:u w:val="single"/>
          <w:lang w:val="en-US" w:eastAsia="zh-CN"/>
        </w:rPr>
        <w:t>⑦</w:t>
      </w:r>
      <w:r>
        <w:rPr>
          <w:rFonts w:hint="default"/>
          <w:u w:val="single"/>
          <w:lang w:val="en-US" w:eastAsia="zh-CN"/>
        </w:rPr>
        <w:t>港区符合《岳阳港口总体规划》中对港区作业区划分和泊位布置。进港道路与规划道路网能良好衔接。</w:t>
      </w:r>
    </w:p>
    <w:p>
      <w:pPr>
        <w:rPr>
          <w:rFonts w:hint="default"/>
          <w:u w:val="single"/>
          <w:lang w:val="en-US" w:eastAsia="zh-CN"/>
        </w:rPr>
      </w:pPr>
      <w:r>
        <w:rPr>
          <w:rFonts w:hint="eastAsia"/>
          <w:u w:val="single"/>
          <w:lang w:val="en-US" w:eastAsia="zh-CN"/>
        </w:rPr>
        <w:t>⑧</w:t>
      </w:r>
      <w:r>
        <w:rPr>
          <w:rFonts w:hint="default"/>
          <w:u w:val="single"/>
          <w:lang w:val="en-US" w:eastAsia="zh-CN"/>
        </w:rPr>
        <w:t>本项目总平面布置应符合《港口工程环境保护设计规范》（JTS149-1-2007）、《河港工程总体设计规范》（JTJ212-2006）、《港口工程劳动安全卫生设计规定》（JT320-1997）、《工业企业设计卫生标准》（GBZ 1-2010）、《生产过程安全卫生要求总则》（GB/T12801-2008）等有关要求。</w:t>
      </w:r>
    </w:p>
    <w:p>
      <w:pPr>
        <w:rPr>
          <w:rFonts w:hint="default"/>
          <w:u w:val="single"/>
          <w:lang w:val="en-US" w:eastAsia="zh-CN"/>
        </w:rPr>
      </w:pPr>
      <w:r>
        <w:rPr>
          <w:rFonts w:hint="default"/>
          <w:u w:val="single"/>
          <w:lang w:val="en-US" w:eastAsia="zh-CN"/>
        </w:rPr>
        <w:t>因此，本项目平面布置是合理的。</w:t>
      </w:r>
    </w:p>
    <w:p>
      <w:pPr>
        <w:pStyle w:val="5"/>
        <w:rPr>
          <w:rFonts w:ascii="Times New Roman" w:hAnsi="Times New Roman" w:cs="Times New Roman" w:eastAsiaTheme="minorEastAsia"/>
          <w:b/>
          <w:caps w:val="0"/>
          <w:smallCaps w:val="0"/>
          <w:u w:val="single"/>
        </w:rPr>
      </w:pPr>
      <w:bookmarkStart w:id="11" w:name="_Toc30682"/>
      <w:r>
        <w:rPr>
          <w:rFonts w:hint="eastAsia" w:cs="Times New Roman" w:eastAsiaTheme="minorEastAsia"/>
          <w:b/>
          <w:caps w:val="0"/>
          <w:smallCaps w:val="0"/>
          <w:u w:val="single"/>
          <w:lang w:eastAsia="zh-CN"/>
        </w:rPr>
        <w:t>环境制约因素及解决方案</w:t>
      </w:r>
      <w:bookmarkEnd w:id="11"/>
    </w:p>
    <w:p>
      <w:pPr>
        <w:pStyle w:val="6"/>
        <w:bidi w:val="0"/>
        <w:rPr>
          <w:u w:val="single"/>
        </w:rPr>
      </w:pPr>
      <w:r>
        <w:rPr>
          <w:rFonts w:hint="eastAsia"/>
          <w:u w:val="single"/>
          <w:lang w:eastAsia="zh-CN"/>
        </w:rPr>
        <w:t>制约因素</w:t>
      </w:r>
    </w:p>
    <w:p>
      <w:pPr>
        <w:rPr>
          <w:rFonts w:hint="eastAsia"/>
          <w:u w:val="single"/>
          <w:lang w:eastAsia="zh-CN"/>
        </w:rPr>
      </w:pPr>
      <w:r>
        <w:rPr>
          <w:rFonts w:hint="eastAsia"/>
          <w:u w:val="single"/>
          <w:lang w:eastAsia="zh-CN"/>
        </w:rPr>
        <w:t>本项目水域工程位于岳阳市东洞庭湖江豚自然保护区实验区范围内。</w:t>
      </w:r>
    </w:p>
    <w:p>
      <w:pPr>
        <w:pStyle w:val="6"/>
        <w:bidi w:val="0"/>
        <w:rPr>
          <w:u w:val="single"/>
        </w:rPr>
      </w:pPr>
      <w:r>
        <w:rPr>
          <w:rFonts w:hint="eastAsia"/>
          <w:u w:val="single"/>
          <w:lang w:eastAsia="zh-CN"/>
        </w:rPr>
        <w:t>解决办法</w:t>
      </w:r>
    </w:p>
    <w:p>
      <w:pPr>
        <w:rPr>
          <w:rFonts w:hint="eastAsia" w:eastAsiaTheme="minorEastAsia"/>
          <w:color w:val="auto"/>
          <w:sz w:val="24"/>
          <w:szCs w:val="24"/>
          <w:u w:val="single"/>
          <w:lang w:eastAsia="zh-CN"/>
        </w:rPr>
      </w:pPr>
      <w:r>
        <w:rPr>
          <w:rFonts w:hint="eastAsia"/>
          <w:u w:val="single"/>
          <w:lang w:val="en-US" w:eastAsia="zh-CN"/>
        </w:rPr>
        <w:t>1、</w:t>
      </w:r>
      <w:r>
        <w:rPr>
          <w:rFonts w:hint="eastAsia"/>
          <w:u w:val="single"/>
          <w:lang w:eastAsia="zh-CN"/>
        </w:rPr>
        <w:t>建设单位已委托武汉市伊美净科技有限公司编制了《湖南海丰物流老码头提质改造技改项目对岳阳市东洞庭湖江豚自然保护区影响专题论证报告》，现已征得主管单位岳阳市</w:t>
      </w:r>
      <w:r>
        <w:rPr>
          <w:rFonts w:ascii="Times New Roman" w:hAnsi="Times New Roman" w:eastAsiaTheme="minorEastAsia"/>
          <w:color w:val="000000" w:themeColor="text1"/>
          <w:sz w:val="24"/>
          <w:szCs w:val="24"/>
          <w:u w:val="single"/>
          <w14:textFill>
            <w14:solidFill>
              <w14:schemeClr w14:val="tx1"/>
            </w14:solidFill>
          </w14:textFill>
        </w:rPr>
        <w:t>洞庭湖江豚保护中心</w:t>
      </w:r>
      <w:r>
        <w:rPr>
          <w:rFonts w:hint="eastAsia" w:eastAsiaTheme="minorEastAsia"/>
          <w:color w:val="000000" w:themeColor="text1"/>
          <w:sz w:val="24"/>
          <w:szCs w:val="24"/>
          <w:u w:val="single"/>
          <w:lang w:eastAsia="zh-CN"/>
          <w14:textFill>
            <w14:solidFill>
              <w14:schemeClr w14:val="tx1"/>
            </w14:solidFill>
          </w14:textFill>
        </w:rPr>
        <w:t>、岳阳市水产种子资源保护中心</w:t>
      </w:r>
      <w:r>
        <w:rPr>
          <w:rFonts w:ascii="Times New Roman" w:hAnsi="Times New Roman" w:eastAsiaTheme="minorEastAsia"/>
          <w:color w:val="000000" w:themeColor="text1"/>
          <w:sz w:val="24"/>
          <w:szCs w:val="24"/>
          <w:u w:val="single"/>
          <w14:textFill>
            <w14:solidFill>
              <w14:schemeClr w14:val="tx1"/>
            </w14:solidFill>
          </w14:textFill>
        </w:rPr>
        <w:t>同意意见，见附件</w:t>
      </w:r>
      <w:r>
        <w:rPr>
          <w:rFonts w:hint="eastAsia" w:eastAsiaTheme="minorEastAsia"/>
          <w:color w:val="auto"/>
          <w:sz w:val="24"/>
          <w:szCs w:val="24"/>
          <w:u w:val="single"/>
          <w:lang w:eastAsia="zh-CN"/>
        </w:rPr>
        <w:t>。</w:t>
      </w:r>
      <w:r>
        <w:rPr>
          <w:rFonts w:hint="eastAsia" w:eastAsiaTheme="minorEastAsia"/>
          <w:color w:val="auto"/>
          <w:sz w:val="24"/>
          <w:szCs w:val="24"/>
          <w:u w:val="single"/>
          <w:lang w:val="en-US" w:eastAsia="zh-CN"/>
        </w:rPr>
        <w:t>2022年4月29日，</w:t>
      </w:r>
      <w:r>
        <w:rPr>
          <w:rFonts w:hint="eastAsia"/>
          <w:color w:val="auto"/>
          <w:u w:val="single"/>
          <w:lang w:eastAsia="zh-CN"/>
        </w:rPr>
        <w:t>《湖南海丰物流老码头提质改造技改项目对岳阳市东洞庭湖江豚自然保护区影响专题论证报告》</w:t>
      </w:r>
      <w:r>
        <w:rPr>
          <w:rFonts w:hint="eastAsia" w:ascii="Times New Roman" w:hAnsi="Times New Roman" w:eastAsiaTheme="minorEastAsia"/>
          <w:color w:val="auto"/>
          <w:sz w:val="24"/>
          <w:szCs w:val="24"/>
          <w:u w:val="single"/>
          <w:lang w:eastAsia="zh-CN"/>
        </w:rPr>
        <w:t>已通过</w:t>
      </w:r>
      <w:r>
        <w:rPr>
          <w:rFonts w:ascii="Times New Roman" w:hAnsi="Times New Roman" w:eastAsiaTheme="minorEastAsia"/>
          <w:color w:val="auto"/>
          <w:sz w:val="24"/>
          <w:szCs w:val="24"/>
          <w:u w:val="single"/>
        </w:rPr>
        <w:t>湖南省农业农村厅</w:t>
      </w:r>
      <w:r>
        <w:rPr>
          <w:rFonts w:hint="eastAsia" w:ascii="Times New Roman" w:hAnsi="Times New Roman" w:eastAsiaTheme="minorEastAsia"/>
          <w:color w:val="auto"/>
          <w:sz w:val="24"/>
          <w:szCs w:val="24"/>
          <w:u w:val="single"/>
          <w:lang w:eastAsia="zh-CN"/>
        </w:rPr>
        <w:t>组织的专家审查会，见附件</w:t>
      </w:r>
      <w:r>
        <w:rPr>
          <w:rFonts w:hint="eastAsia" w:eastAsiaTheme="minorEastAsia"/>
          <w:color w:val="auto"/>
          <w:sz w:val="24"/>
          <w:szCs w:val="24"/>
          <w:u w:val="single"/>
          <w:lang w:eastAsia="zh-CN"/>
        </w:rPr>
        <w:t>。</w:t>
      </w:r>
    </w:p>
    <w:p>
      <w:pPr>
        <w:pStyle w:val="69"/>
        <w:rPr>
          <w:rFonts w:hint="eastAsia" w:eastAsiaTheme="minorEastAsia"/>
          <w:color w:val="000000" w:themeColor="text1"/>
          <w:sz w:val="24"/>
          <w:szCs w:val="24"/>
          <w:u w:val="single"/>
          <w:lang w:eastAsia="zh-CN"/>
          <w14:textFill>
            <w14:solidFill>
              <w14:schemeClr w14:val="tx1"/>
            </w14:solidFill>
          </w14:textFill>
        </w:rPr>
      </w:pPr>
      <w:r>
        <w:rPr>
          <w:rFonts w:hint="eastAsia" w:eastAsiaTheme="minorEastAsia"/>
          <w:color w:val="000000" w:themeColor="text1"/>
          <w:sz w:val="24"/>
          <w:szCs w:val="24"/>
          <w:u w:val="single"/>
          <w:lang w:val="en-US" w:eastAsia="zh-CN"/>
          <w14:textFill>
            <w14:solidFill>
              <w14:schemeClr w14:val="tx1"/>
            </w14:solidFill>
          </w14:textFill>
        </w:rPr>
        <w:t>2、</w:t>
      </w:r>
      <w:r>
        <w:rPr>
          <w:rFonts w:hint="eastAsia" w:eastAsiaTheme="minorEastAsia"/>
          <w:color w:val="000000" w:themeColor="text1"/>
          <w:sz w:val="24"/>
          <w:szCs w:val="24"/>
          <w:u w:val="single"/>
          <w:lang w:eastAsia="zh-CN"/>
          <w14:textFill>
            <w14:solidFill>
              <w14:schemeClr w14:val="tx1"/>
            </w14:solidFill>
          </w14:textFill>
        </w:rPr>
        <w:t>施工时加强码头施工管理和环境建立，避开保护鱼类繁殖期，选择枯水期进行围堰施工和拆除，禁止施工废水、生活污水排入湘江，避免施工弃渣随意弃入水体。</w:t>
      </w:r>
    </w:p>
    <w:p>
      <w:pPr>
        <w:pStyle w:val="5"/>
        <w:rPr>
          <w:rFonts w:ascii="Times New Roman" w:hAnsi="Times New Roman" w:cs="Times New Roman" w:eastAsiaTheme="minorEastAsia"/>
          <w:b/>
          <w:caps w:val="0"/>
          <w:smallCaps w:val="0"/>
        </w:rPr>
      </w:pPr>
      <w:bookmarkStart w:id="12" w:name="_Toc7638"/>
      <w:r>
        <w:rPr>
          <w:rFonts w:ascii="Times New Roman" w:hAnsi="Times New Roman" w:cs="Times New Roman" w:eastAsiaTheme="minorEastAsia"/>
          <w:b/>
          <w:caps w:val="0"/>
          <w:smallCaps w:val="0"/>
        </w:rPr>
        <w:t>项目关注的主要环境问题</w:t>
      </w:r>
      <w:bookmarkEnd w:id="12"/>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根据《环境影响评价技术导则》的要求，结合项目特点和区域环境功能现状等的要求，本次评价工作的评价重点为：</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⑴</w:t>
      </w:r>
      <w:r>
        <w:rPr>
          <w:rFonts w:ascii="Times New Roman" w:hAnsi="Times New Roman" w:cs="Times New Roman" w:eastAsiaTheme="minorEastAsia"/>
          <w:caps w:val="0"/>
          <w:smallCaps w:val="0"/>
          <w:kern w:val="0"/>
          <w:sz w:val="24"/>
          <w:szCs w:val="24"/>
        </w:rPr>
        <w:t>码头工程施工对</w:t>
      </w:r>
      <w:r>
        <w:rPr>
          <w:rFonts w:hint="eastAsia" w:ascii="Times New Roman" w:hAnsi="Times New Roman" w:cs="Times New Roman" w:eastAsiaTheme="minorEastAsia"/>
          <w:caps w:val="0"/>
          <w:smallCaps w:val="0"/>
          <w:kern w:val="0"/>
          <w:sz w:val="24"/>
          <w:szCs w:val="24"/>
        </w:rPr>
        <w:t>湘江</w:t>
      </w:r>
      <w:r>
        <w:rPr>
          <w:rFonts w:ascii="Times New Roman" w:hAnsi="Times New Roman" w:cs="Times New Roman" w:eastAsiaTheme="minorEastAsia"/>
          <w:caps w:val="0"/>
          <w:smallCaps w:val="0"/>
          <w:kern w:val="0"/>
          <w:sz w:val="24"/>
          <w:szCs w:val="24"/>
        </w:rPr>
        <w:t>水质、水生生态的影响以及管线工程施工对生态环境的影响及防治和减缓影响的措施；</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⑵</w:t>
      </w:r>
      <w:r>
        <w:rPr>
          <w:rFonts w:ascii="Times New Roman" w:hAnsi="Times New Roman" w:cs="Times New Roman" w:eastAsiaTheme="minorEastAsia"/>
          <w:caps w:val="0"/>
          <w:smallCaps w:val="0"/>
          <w:kern w:val="0"/>
          <w:sz w:val="24"/>
          <w:szCs w:val="24"/>
        </w:rPr>
        <w:t>营运期码头装卸过程产生的</w:t>
      </w:r>
      <w:r>
        <w:rPr>
          <w:rFonts w:hint="eastAsia" w:ascii="Times New Roman" w:hAnsi="Times New Roman" w:cs="Times New Roman" w:eastAsiaTheme="minorEastAsia"/>
          <w:caps w:val="0"/>
          <w:smallCaps w:val="0"/>
          <w:kern w:val="0"/>
          <w:sz w:val="24"/>
          <w:szCs w:val="24"/>
        </w:rPr>
        <w:t>沥青烟、苯并芘、</w:t>
      </w:r>
      <w:r>
        <w:rPr>
          <w:rFonts w:ascii="Times New Roman" w:hAnsi="Times New Roman" w:cs="Times New Roman" w:eastAsiaTheme="minorEastAsia"/>
          <w:caps w:val="0"/>
          <w:smallCaps w:val="0"/>
          <w:kern w:val="0"/>
          <w:sz w:val="24"/>
          <w:szCs w:val="24"/>
        </w:rPr>
        <w:t>T</w:t>
      </w:r>
      <w:r>
        <w:rPr>
          <w:rFonts w:hint="eastAsia" w:ascii="Times New Roman" w:hAnsi="Times New Roman" w:cs="Times New Roman" w:eastAsiaTheme="minorEastAsia"/>
          <w:caps w:val="0"/>
          <w:smallCaps w:val="0"/>
          <w:kern w:val="0"/>
          <w:sz w:val="24"/>
          <w:szCs w:val="24"/>
        </w:rPr>
        <w:t>VOC</w:t>
      </w:r>
      <w:r>
        <w:rPr>
          <w:rFonts w:ascii="Times New Roman" w:hAnsi="Times New Roman" w:cs="Times New Roman" w:eastAsiaTheme="minorEastAsia"/>
          <w:caps w:val="0"/>
          <w:smallCaps w:val="0"/>
          <w:kern w:val="0"/>
          <w:sz w:val="24"/>
          <w:szCs w:val="24"/>
        </w:rPr>
        <w:t>对周边环境的影响，包括影响范围和程度及拟采取的环境保护措施等；</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⑶</w:t>
      </w:r>
      <w:r>
        <w:rPr>
          <w:rFonts w:ascii="Times New Roman" w:hAnsi="Times New Roman" w:cs="Times New Roman" w:eastAsiaTheme="minorEastAsia"/>
          <w:caps w:val="0"/>
          <w:smallCaps w:val="0"/>
          <w:kern w:val="0"/>
          <w:sz w:val="24"/>
          <w:szCs w:val="24"/>
        </w:rPr>
        <w:t>营运期码头废水、噪声的排放对环境的影响以及各类固体废物的产生、处理处置情况；</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⑷</w:t>
      </w:r>
      <w:r>
        <w:rPr>
          <w:rFonts w:ascii="Times New Roman" w:hAnsi="Times New Roman" w:cs="Times New Roman" w:eastAsiaTheme="minorEastAsia"/>
          <w:caps w:val="0"/>
          <w:smallCaps w:val="0"/>
          <w:kern w:val="0"/>
          <w:sz w:val="24"/>
          <w:szCs w:val="24"/>
        </w:rPr>
        <w:t>营运期码头工程可能发生的船舶事故溢油对</w:t>
      </w:r>
      <w:r>
        <w:rPr>
          <w:rFonts w:hint="eastAsia" w:ascii="Times New Roman" w:hAnsi="Times New Roman" w:cs="Times New Roman" w:eastAsiaTheme="minorEastAsia"/>
          <w:caps w:val="0"/>
          <w:smallCaps w:val="0"/>
          <w:kern w:val="0"/>
          <w:sz w:val="24"/>
          <w:szCs w:val="24"/>
        </w:rPr>
        <w:t>湘江</w:t>
      </w:r>
      <w:r>
        <w:rPr>
          <w:rFonts w:ascii="Times New Roman" w:hAnsi="Times New Roman" w:cs="Times New Roman" w:eastAsiaTheme="minorEastAsia"/>
          <w:caps w:val="0"/>
          <w:smallCaps w:val="0"/>
          <w:kern w:val="0"/>
          <w:sz w:val="24"/>
          <w:szCs w:val="24"/>
        </w:rPr>
        <w:t>水环境的影响，包括影响范围和程度及拟采取的事故风险防范措施和应急预案等；</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⑸</w:t>
      </w:r>
      <w:r>
        <w:rPr>
          <w:rFonts w:ascii="Times New Roman" w:hAnsi="Times New Roman" w:cs="Times New Roman" w:eastAsiaTheme="minorEastAsia"/>
          <w:caps w:val="0"/>
          <w:smallCaps w:val="0"/>
          <w:kern w:val="0"/>
          <w:sz w:val="24"/>
          <w:szCs w:val="24"/>
        </w:rPr>
        <w:t>营运期可能发生的油品泄漏对大气、地下水、土壤环境的影响及拟采取的事故风险防范措施。</w:t>
      </w:r>
    </w:p>
    <w:p>
      <w:pPr>
        <w:pStyle w:val="5"/>
        <w:rPr>
          <w:rFonts w:ascii="Times New Roman" w:hAnsi="Times New Roman" w:cs="Times New Roman" w:eastAsiaTheme="minorEastAsia"/>
          <w:b/>
          <w:caps w:val="0"/>
          <w:smallCaps w:val="0"/>
        </w:rPr>
      </w:pPr>
      <w:bookmarkStart w:id="13" w:name="_Toc17644"/>
      <w:r>
        <w:rPr>
          <w:rFonts w:ascii="Times New Roman" w:hAnsi="Times New Roman" w:cs="Times New Roman" w:eastAsiaTheme="minorEastAsia"/>
          <w:b/>
          <w:caps w:val="0"/>
          <w:smallCaps w:val="0"/>
        </w:rPr>
        <w:t>环评主要结论</w:t>
      </w:r>
      <w:bookmarkEnd w:id="13"/>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本项目的建设与岳阳港总体规划基本相符，项目选址合理。项目在建设及建成营运过程中将会产生噪声和一定量的废气、废水及固体废弃物等，经评价分析，项目采取合理可行的环保治理措施和管理手段，其环境影响可得到最大程度的减缓。项目对周围的大气、水、声环境及地下水环境影响较小，不会降低区域的环境质量现状，对外界环境影响相对较小；项目通过加强航道内船舶交通秩序管理，落实码头风险防范措施，可有效控制风险水平到可接受的程度。</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建设单位应严格按照国家“三同时”政策及时做好有关工作，切实履行实施本评价所提出的对策与建议，保证污染物稳定达标排放情况下，从环保的角度分析，项目的</w:t>
      </w:r>
      <w:r>
        <w:rPr>
          <w:rFonts w:hint="eastAsia" w:ascii="Times New Roman" w:hAnsi="Times New Roman" w:cs="Times New Roman" w:eastAsiaTheme="minorEastAsia"/>
          <w:caps w:val="0"/>
          <w:smallCaps w:val="0"/>
          <w:kern w:val="0"/>
          <w:sz w:val="24"/>
          <w:szCs w:val="24"/>
        </w:rPr>
        <w:t>提质</w:t>
      </w:r>
      <w:r>
        <w:rPr>
          <w:rFonts w:ascii="Times New Roman" w:hAnsi="Times New Roman" w:cs="Times New Roman" w:eastAsiaTheme="minorEastAsia"/>
          <w:caps w:val="0"/>
          <w:smallCaps w:val="0"/>
          <w:kern w:val="0"/>
          <w:sz w:val="24"/>
          <w:szCs w:val="24"/>
        </w:rPr>
        <w:t>改造建设具有可行性。</w:t>
      </w:r>
    </w:p>
    <w:p>
      <w:pPr>
        <w:adjustRightInd w:val="0"/>
        <w:snapToGrid w:val="0"/>
        <w:spacing w:line="360" w:lineRule="auto"/>
        <w:rPr>
          <w:rFonts w:ascii="Times New Roman" w:hAnsi="Times New Roman" w:cs="Times New Roman" w:eastAsiaTheme="minorEastAsia"/>
          <w:caps w:val="0"/>
          <w:smallCaps w:val="0"/>
          <w:kern w:val="0"/>
          <w:sz w:val="24"/>
          <w:szCs w:val="24"/>
        </w:rPr>
      </w:pPr>
    </w:p>
    <w:p>
      <w:pPr>
        <w:adjustRightInd w:val="0"/>
        <w:snapToGrid w:val="0"/>
        <w:spacing w:line="360" w:lineRule="auto"/>
        <w:ind w:firstLine="500" w:firstLineChars="200"/>
        <w:rPr>
          <w:rFonts w:ascii="Times New Roman" w:hAnsi="Times New Roman" w:cs="Times New Roman" w:eastAsiaTheme="minorEastAsia"/>
          <w:caps w:val="0"/>
          <w:smallCaps w:val="0"/>
          <w:spacing w:val="5"/>
          <w:sz w:val="24"/>
          <w:szCs w:val="24"/>
        </w:rPr>
        <w:sectPr>
          <w:footerReference r:id="rId9" w:type="default"/>
          <w:pgSz w:w="11906" w:h="16838"/>
          <w:pgMar w:top="1418" w:right="1418" w:bottom="1418" w:left="1418"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p>
    <w:p>
      <w:pPr>
        <w:pStyle w:val="4"/>
        <w:spacing w:line="480" w:lineRule="auto"/>
        <w:ind w:left="431" w:hanging="431"/>
        <w:jc w:val="center"/>
        <w:rPr>
          <w:rFonts w:ascii="Times New Roman" w:hAnsi="Times New Roman" w:cs="Times New Roman" w:eastAsiaTheme="minorEastAsia"/>
          <w:b/>
          <w:caps w:val="0"/>
          <w:smallCaps w:val="0"/>
          <w:sz w:val="32"/>
          <w:szCs w:val="32"/>
        </w:rPr>
      </w:pPr>
      <w:r>
        <w:rPr>
          <w:rFonts w:hint="eastAsia" w:ascii="Times New Roman" w:hAnsi="Times New Roman" w:cs="Times New Roman" w:eastAsiaTheme="minorEastAsia"/>
          <w:b/>
          <w:caps w:val="0"/>
          <w:smallCaps w:val="0"/>
          <w:sz w:val="32"/>
          <w:szCs w:val="32"/>
          <w:lang w:val="en-US" w:eastAsia="zh-CN"/>
        </w:rPr>
        <w:t xml:space="preserve"> </w:t>
      </w:r>
      <w:bookmarkStart w:id="14" w:name="_Toc28794"/>
      <w:r>
        <w:rPr>
          <w:rFonts w:ascii="Times New Roman" w:hAnsi="Times New Roman" w:cs="Times New Roman" w:eastAsiaTheme="minorEastAsia"/>
          <w:b/>
          <w:caps w:val="0"/>
          <w:smallCaps w:val="0"/>
          <w:sz w:val="32"/>
          <w:szCs w:val="32"/>
        </w:rPr>
        <w:t>总则</w:t>
      </w:r>
      <w:bookmarkEnd w:id="14"/>
    </w:p>
    <w:p>
      <w:pPr>
        <w:pStyle w:val="5"/>
        <w:rPr>
          <w:rFonts w:ascii="Times New Roman" w:hAnsi="Times New Roman" w:cs="Times New Roman" w:eastAsiaTheme="minorEastAsia"/>
          <w:b/>
          <w:caps w:val="0"/>
          <w:smallCaps w:val="0"/>
        </w:rPr>
      </w:pPr>
      <w:bookmarkStart w:id="15" w:name="_Toc1933"/>
      <w:r>
        <w:rPr>
          <w:rFonts w:ascii="Times New Roman" w:hAnsi="Times New Roman" w:cs="Times New Roman" w:eastAsiaTheme="minorEastAsia"/>
          <w:b/>
          <w:caps w:val="0"/>
          <w:smallCaps w:val="0"/>
        </w:rPr>
        <w:t>编制依据</w:t>
      </w:r>
      <w:bookmarkEnd w:id="15"/>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国家有关环境保护的法律、法规、规定</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1、《中华人民共和国环境保护法》，2015年1月1日实施；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2、《中华人民共和国环境影响评价法》，2018年12月29日实施；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3、《中华人民共和国水污染防治法》，2018年1月1日实施；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4、《中华人民共和国大气污染防治法》，2018年10月26日实施；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5、《中华人民共和国环境噪声污染防治法》，2018月12月29日实施；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6、《中华人民共和国固体废物污染环境防治法》，2016年11月7日修正；</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7、《中华人民共和国土壤污染防治法》，2019年1月1日施行；</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8、《中华人民共和国节约能源法》，2018年10月26日修订并实施；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9、《中华人民共和国防洪法》，2016年7月2日修订；</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10、《中华人民共和国港口法》，2017年11月4日修正；</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11、《中华人民共和国渔业法》，20</w:t>
      </w:r>
      <w:r>
        <w:rPr>
          <w:rFonts w:hint="eastAsia" w:cs="Times New Roman" w:eastAsiaTheme="minorEastAsia"/>
          <w:caps w:val="0"/>
          <w:smallCaps w:val="0"/>
          <w:kern w:val="0"/>
          <w:sz w:val="24"/>
          <w:szCs w:val="24"/>
          <w:lang w:val="en-US" w:eastAsia="zh-CN"/>
        </w:rPr>
        <w:t>13</w:t>
      </w:r>
      <w:r>
        <w:rPr>
          <w:rFonts w:ascii="Times New Roman" w:hAnsi="Times New Roman" w:cs="Times New Roman" w:eastAsiaTheme="minorEastAsia"/>
          <w:caps w:val="0"/>
          <w:smallCaps w:val="0"/>
          <w:kern w:val="0"/>
          <w:sz w:val="24"/>
          <w:szCs w:val="24"/>
        </w:rPr>
        <w:t>年</w:t>
      </w:r>
      <w:r>
        <w:rPr>
          <w:rFonts w:hint="eastAsia" w:cs="Times New Roman" w:eastAsiaTheme="minorEastAsia"/>
          <w:caps w:val="0"/>
          <w:smallCaps w:val="0"/>
          <w:kern w:val="0"/>
          <w:sz w:val="24"/>
          <w:szCs w:val="24"/>
          <w:lang w:val="en-US" w:eastAsia="zh-CN"/>
        </w:rPr>
        <w:t>12</w:t>
      </w:r>
      <w:r>
        <w:rPr>
          <w:rFonts w:ascii="Times New Roman" w:hAnsi="Times New Roman" w:cs="Times New Roman" w:eastAsiaTheme="minorEastAsia"/>
          <w:caps w:val="0"/>
          <w:smallCaps w:val="0"/>
          <w:kern w:val="0"/>
          <w:sz w:val="24"/>
          <w:szCs w:val="24"/>
        </w:rPr>
        <w:t>月28日修订；</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12、《中华人民共和国航道法》，2016年7月2日修正；</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13、《中华人民共和国野生动物保护法》，2016年7月2日修订；</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14、《中华人民共和国清洁生产促进法》，2012年7月1日实施；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15、中华人民共和国国务院令第682号《建设项目环境保护管理条例》，2017年7月16日修订；</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u w:val="single"/>
        </w:rPr>
      </w:pPr>
      <w:r>
        <w:rPr>
          <w:rFonts w:ascii="Times New Roman" w:hAnsi="Times New Roman" w:cs="Times New Roman" w:eastAsiaTheme="minorEastAsia"/>
          <w:caps w:val="0"/>
          <w:smallCaps w:val="0"/>
          <w:kern w:val="0"/>
          <w:sz w:val="24"/>
          <w:szCs w:val="24"/>
          <w:u w:val="single"/>
        </w:rPr>
        <w:t>16、</w:t>
      </w:r>
      <w:r>
        <w:rPr>
          <w:rFonts w:hint="eastAsia" w:cs="Times New Roman" w:eastAsiaTheme="minorEastAsia"/>
          <w:caps w:val="0"/>
          <w:smallCaps w:val="0"/>
          <w:kern w:val="0"/>
          <w:sz w:val="24"/>
          <w:szCs w:val="24"/>
          <w:u w:val="single"/>
          <w:lang w:eastAsia="zh-CN"/>
        </w:rPr>
        <w:t>《中华人民共和国长江保护法》，</w:t>
      </w:r>
      <w:r>
        <w:rPr>
          <w:rFonts w:hint="eastAsia" w:cs="Times New Roman" w:eastAsiaTheme="minorEastAsia"/>
          <w:caps w:val="0"/>
          <w:smallCaps w:val="0"/>
          <w:kern w:val="0"/>
          <w:sz w:val="24"/>
          <w:szCs w:val="24"/>
          <w:u w:val="single"/>
          <w:lang w:val="en-US" w:eastAsia="zh-CN"/>
        </w:rPr>
        <w:t>2021年3月1日施行</w:t>
      </w:r>
      <w:r>
        <w:rPr>
          <w:rFonts w:ascii="Times New Roman" w:hAnsi="Times New Roman" w:cs="Times New Roman" w:eastAsiaTheme="minorEastAsia"/>
          <w:caps w:val="0"/>
          <w:smallCaps w:val="0"/>
          <w:kern w:val="0"/>
          <w:sz w:val="24"/>
          <w:szCs w:val="24"/>
          <w:u w:val="single"/>
        </w:rPr>
        <w:t>；</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17、国发〔2013〕37号《国务院关于印发大气污染防治行动计划的通知》，2013年9月10日；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u w:val="single"/>
        </w:rPr>
      </w:pPr>
      <w:r>
        <w:rPr>
          <w:rFonts w:ascii="Times New Roman" w:hAnsi="Times New Roman" w:cs="Times New Roman" w:eastAsiaTheme="minorEastAsia"/>
          <w:caps w:val="0"/>
          <w:smallCaps w:val="0"/>
          <w:kern w:val="0"/>
          <w:sz w:val="24"/>
          <w:szCs w:val="24"/>
          <w:u w:val="single"/>
        </w:rPr>
        <w:t>18、</w:t>
      </w:r>
      <w:r>
        <w:rPr>
          <w:rFonts w:hint="eastAsia" w:cs="Times New Roman" w:eastAsiaTheme="minorEastAsia"/>
          <w:caps w:val="0"/>
          <w:smallCaps w:val="0"/>
          <w:kern w:val="0"/>
          <w:sz w:val="24"/>
          <w:szCs w:val="24"/>
          <w:u w:val="single"/>
          <w:lang w:eastAsia="zh-CN"/>
        </w:rPr>
        <w:t>中华人民共和国国务院令第</w:t>
      </w:r>
      <w:r>
        <w:rPr>
          <w:rFonts w:hint="eastAsia" w:cs="Times New Roman" w:eastAsiaTheme="minorEastAsia"/>
          <w:caps w:val="0"/>
          <w:smallCaps w:val="0"/>
          <w:kern w:val="0"/>
          <w:sz w:val="24"/>
          <w:szCs w:val="24"/>
          <w:u w:val="single"/>
          <w:lang w:val="en-US" w:eastAsia="zh-CN"/>
        </w:rPr>
        <w:t>748号</w:t>
      </w:r>
      <w:r>
        <w:rPr>
          <w:rFonts w:hint="eastAsia" w:cs="Times New Roman" w:eastAsiaTheme="minorEastAsia"/>
          <w:caps w:val="0"/>
          <w:smallCaps w:val="0"/>
          <w:kern w:val="0"/>
          <w:sz w:val="24"/>
          <w:szCs w:val="24"/>
          <w:u w:val="single"/>
          <w:lang w:eastAsia="zh-CN"/>
        </w:rPr>
        <w:t>《地下水管理条例》，</w:t>
      </w:r>
      <w:r>
        <w:rPr>
          <w:rFonts w:hint="eastAsia" w:cs="Times New Roman" w:eastAsiaTheme="minorEastAsia"/>
          <w:caps w:val="0"/>
          <w:smallCaps w:val="0"/>
          <w:kern w:val="0"/>
          <w:sz w:val="24"/>
          <w:szCs w:val="24"/>
          <w:u w:val="single"/>
          <w:lang w:val="en-US" w:eastAsia="zh-CN"/>
        </w:rPr>
        <w:t>2021年12月1日施行</w:t>
      </w:r>
      <w:r>
        <w:rPr>
          <w:rFonts w:ascii="Times New Roman" w:hAnsi="Times New Roman" w:cs="Times New Roman" w:eastAsiaTheme="minorEastAsia"/>
          <w:caps w:val="0"/>
          <w:smallCaps w:val="0"/>
          <w:kern w:val="0"/>
          <w:sz w:val="24"/>
          <w:szCs w:val="24"/>
          <w:u w:val="single"/>
        </w:rPr>
        <w:t>；</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19、国发〔2015〕17号《国务院关于印发水污染防治行动计划的通知》，2015年4月2日；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20、国发〔2005〕40号《国务院关于发布实施〈促进产业结构调整暂行规定〉的决定》，200</w:t>
      </w:r>
      <w:r>
        <w:rPr>
          <w:rFonts w:hint="eastAsia" w:cs="Times New Roman" w:eastAsiaTheme="minorEastAsia"/>
          <w:caps w:val="0"/>
          <w:smallCaps w:val="0"/>
          <w:kern w:val="0"/>
          <w:sz w:val="24"/>
          <w:szCs w:val="24"/>
          <w:lang w:val="en-US" w:eastAsia="zh-CN"/>
        </w:rPr>
        <w:t>5</w:t>
      </w:r>
      <w:r>
        <w:rPr>
          <w:rFonts w:ascii="Times New Roman" w:hAnsi="Times New Roman" w:cs="Times New Roman" w:eastAsiaTheme="minorEastAsia"/>
          <w:caps w:val="0"/>
          <w:smallCaps w:val="0"/>
          <w:kern w:val="0"/>
          <w:sz w:val="24"/>
          <w:szCs w:val="24"/>
        </w:rPr>
        <w:t>年</w:t>
      </w:r>
      <w:r>
        <w:rPr>
          <w:rFonts w:hint="eastAsia" w:cs="Times New Roman" w:eastAsiaTheme="minorEastAsia"/>
          <w:caps w:val="0"/>
          <w:smallCaps w:val="0"/>
          <w:kern w:val="0"/>
          <w:sz w:val="24"/>
          <w:szCs w:val="24"/>
          <w:lang w:val="en-US" w:eastAsia="zh-CN"/>
        </w:rPr>
        <w:t>12</w:t>
      </w:r>
      <w:r>
        <w:rPr>
          <w:rFonts w:ascii="Times New Roman" w:hAnsi="Times New Roman" w:cs="Times New Roman" w:eastAsiaTheme="minorEastAsia"/>
          <w:caps w:val="0"/>
          <w:smallCaps w:val="0"/>
          <w:kern w:val="0"/>
          <w:sz w:val="24"/>
          <w:szCs w:val="24"/>
        </w:rPr>
        <w:t>月</w:t>
      </w:r>
      <w:r>
        <w:rPr>
          <w:rFonts w:hint="eastAsia" w:cs="Times New Roman" w:eastAsiaTheme="minorEastAsia"/>
          <w:caps w:val="0"/>
          <w:smallCaps w:val="0"/>
          <w:kern w:val="0"/>
          <w:sz w:val="24"/>
          <w:szCs w:val="24"/>
          <w:lang w:val="en-US" w:eastAsia="zh-CN"/>
        </w:rPr>
        <w:t>02</w:t>
      </w:r>
      <w:r>
        <w:rPr>
          <w:rFonts w:ascii="Times New Roman" w:hAnsi="Times New Roman" w:cs="Times New Roman" w:eastAsiaTheme="minorEastAsia"/>
          <w:caps w:val="0"/>
          <w:smallCaps w:val="0"/>
          <w:kern w:val="0"/>
          <w:sz w:val="24"/>
          <w:szCs w:val="24"/>
        </w:rPr>
        <w:t>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21、国家发展和改革委员会令2020第</w:t>
      </w:r>
      <w:r>
        <w:rPr>
          <w:rFonts w:hint="eastAsia" w:ascii="Times New Roman" w:hAnsi="Times New Roman" w:cs="Times New Roman" w:eastAsiaTheme="minorEastAsia"/>
          <w:caps w:val="0"/>
          <w:smallCaps w:val="0"/>
          <w:kern w:val="0"/>
          <w:sz w:val="24"/>
          <w:szCs w:val="24"/>
        </w:rPr>
        <w:t>2</w:t>
      </w:r>
      <w:r>
        <w:rPr>
          <w:rFonts w:ascii="Times New Roman" w:hAnsi="Times New Roman" w:cs="Times New Roman" w:eastAsiaTheme="minorEastAsia"/>
          <w:caps w:val="0"/>
          <w:smallCaps w:val="0"/>
          <w:kern w:val="0"/>
          <w:sz w:val="24"/>
          <w:szCs w:val="24"/>
        </w:rPr>
        <w:t>9号《产业结构调整指导目录（2019年本）》，2019年8月27日；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22、环发〔2012〕77号《关于进一步加强环境影响评价管理防范环境风险的通知》；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23、环发〔2012〕98号《关于切实加强风险防范严格环境影响评价管理的通知》；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24、环发〔2013〕86号《关于进一步加强水生生物资源保护严格环境影响评价管理的通知》；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25、</w:t>
      </w:r>
      <w:r>
        <w:rPr>
          <w:rFonts w:ascii="Times New Roman" w:hAnsi="Times New Roman" w:cs="Times New Roman"/>
          <w:caps w:val="0"/>
          <w:smallCaps w:val="0"/>
          <w:kern w:val="0"/>
          <w:sz w:val="24"/>
          <w:szCs w:val="24"/>
        </w:rPr>
        <w:t>生态环境部令第16号《建设项目环境影响评价分类管理名录》，2021年1月1日</w:t>
      </w:r>
      <w:r>
        <w:rPr>
          <w:rFonts w:ascii="Times New Roman" w:hAnsi="Times New Roman" w:cs="Times New Roman" w:eastAsiaTheme="minorEastAsia"/>
          <w:caps w:val="0"/>
          <w:smallCaps w:val="0"/>
          <w:kern w:val="0"/>
          <w:sz w:val="24"/>
          <w:szCs w:val="24"/>
        </w:rPr>
        <w:t>；</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26、生态环境部令第4号</w:t>
      </w:r>
      <w:r>
        <w:rPr>
          <w:rFonts w:hint="eastAsia" w:ascii="Times New Roman" w:hAnsi="Times New Roman" w:cs="Times New Roman" w:eastAsiaTheme="minorEastAsia"/>
          <w:caps w:val="0"/>
          <w:smallCaps w:val="0"/>
          <w:kern w:val="0"/>
          <w:sz w:val="24"/>
          <w:szCs w:val="24"/>
        </w:rPr>
        <w:t>《</w:t>
      </w:r>
      <w:r>
        <w:rPr>
          <w:rFonts w:ascii="Times New Roman" w:hAnsi="Times New Roman" w:cs="Times New Roman" w:eastAsiaTheme="minorEastAsia"/>
          <w:caps w:val="0"/>
          <w:smallCaps w:val="0"/>
          <w:kern w:val="0"/>
          <w:sz w:val="24"/>
          <w:szCs w:val="24"/>
        </w:rPr>
        <w:t>环境影响评价公众参与办法》</w:t>
      </w:r>
      <w:r>
        <w:rPr>
          <w:rFonts w:hint="eastAsia" w:ascii="Times New Roman" w:hAnsi="Times New Roman" w:cs="Times New Roman" w:eastAsiaTheme="minorEastAsia"/>
          <w:caps w:val="0"/>
          <w:smallCaps w:val="0"/>
          <w:kern w:val="0"/>
          <w:sz w:val="24"/>
          <w:szCs w:val="24"/>
        </w:rPr>
        <w:t>，</w:t>
      </w:r>
      <w:r>
        <w:rPr>
          <w:rFonts w:ascii="Times New Roman" w:hAnsi="Times New Roman" w:cs="Times New Roman" w:eastAsiaTheme="minorEastAsia"/>
          <w:caps w:val="0"/>
          <w:smallCaps w:val="0"/>
          <w:kern w:val="0"/>
          <w:sz w:val="24"/>
          <w:szCs w:val="24"/>
        </w:rPr>
        <w:t>2018年4月16日由生态环境部部务会议审议通过，自2019年1月1日起施行；</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w:t>
      </w:r>
      <w:r>
        <w:rPr>
          <w:rFonts w:hint="eastAsia" w:ascii="Times New Roman" w:hAnsi="Times New Roman" w:cs="Times New Roman" w:eastAsiaTheme="minorEastAsia"/>
          <w:caps w:val="0"/>
          <w:smallCaps w:val="0"/>
          <w:kern w:val="0"/>
          <w:sz w:val="24"/>
          <w:szCs w:val="24"/>
        </w:rPr>
        <w:t>7</w:t>
      </w:r>
      <w:r>
        <w:rPr>
          <w:rFonts w:ascii="Times New Roman" w:hAnsi="Times New Roman" w:cs="Times New Roman" w:eastAsiaTheme="minorEastAsia"/>
          <w:caps w:val="0"/>
          <w:smallCaps w:val="0"/>
          <w:kern w:val="0"/>
          <w:sz w:val="24"/>
          <w:szCs w:val="24"/>
        </w:rPr>
        <w:t>、中共中央、国务院中发〔2016〕14号《长江经济带发展规划纲要》，2016年5月30日；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w:t>
      </w:r>
      <w:r>
        <w:rPr>
          <w:rFonts w:hint="eastAsia" w:ascii="Times New Roman" w:hAnsi="Times New Roman" w:cs="Times New Roman" w:eastAsiaTheme="minorEastAsia"/>
          <w:caps w:val="0"/>
          <w:smallCaps w:val="0"/>
          <w:kern w:val="0"/>
          <w:sz w:val="24"/>
          <w:szCs w:val="24"/>
        </w:rPr>
        <w:t>8</w:t>
      </w:r>
      <w:r>
        <w:rPr>
          <w:rFonts w:ascii="Times New Roman" w:hAnsi="Times New Roman" w:cs="Times New Roman" w:eastAsiaTheme="minorEastAsia"/>
          <w:caps w:val="0"/>
          <w:smallCaps w:val="0"/>
          <w:kern w:val="0"/>
          <w:sz w:val="24"/>
          <w:szCs w:val="24"/>
        </w:rPr>
        <w:t>、中华人民共和国国务院令第355号《中华人民共和国内河交通安全管理条例》，2017年3月1日修正。</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eastAsiaTheme="minorEastAsia"/>
          <w:caps w:val="0"/>
          <w:smallCaps w:val="0"/>
          <w:kern w:val="0"/>
          <w:sz w:val="24"/>
          <w:szCs w:val="24"/>
        </w:rPr>
        <w:t>29</w:t>
      </w:r>
      <w:r>
        <w:rPr>
          <w:rFonts w:ascii="Times New Roman" w:hAnsi="Times New Roman" w:cs="Times New Roman" w:eastAsiaTheme="minorEastAsia"/>
          <w:caps w:val="0"/>
          <w:smallCaps w:val="0"/>
          <w:kern w:val="0"/>
          <w:sz w:val="24"/>
          <w:szCs w:val="24"/>
        </w:rPr>
        <w:t>、交通运输部关于印发船舶与港口污染防治专项行动实施方案（2015-2020年）的通知，2015年8月27日；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3</w:t>
      </w:r>
      <w:r>
        <w:rPr>
          <w:rFonts w:hint="eastAsia" w:ascii="Times New Roman" w:hAnsi="Times New Roman" w:cs="Times New Roman" w:eastAsiaTheme="minorEastAsia"/>
          <w:caps w:val="0"/>
          <w:smallCaps w:val="0"/>
          <w:kern w:val="0"/>
          <w:sz w:val="24"/>
          <w:szCs w:val="24"/>
        </w:rPr>
        <w:t>0</w:t>
      </w:r>
      <w:r>
        <w:rPr>
          <w:rFonts w:ascii="Times New Roman" w:hAnsi="Times New Roman" w:cs="Times New Roman" w:eastAsiaTheme="minorEastAsia"/>
          <w:caps w:val="0"/>
          <w:smallCaps w:val="0"/>
          <w:kern w:val="0"/>
          <w:sz w:val="24"/>
          <w:szCs w:val="24"/>
        </w:rPr>
        <w:t>、发改环资〔2016〕370号《关于加强长江黄金水道环境污染防控治理的指导意见》，2016年2月23日；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3</w:t>
      </w:r>
      <w:r>
        <w:rPr>
          <w:rFonts w:hint="eastAsia" w:ascii="Times New Roman" w:hAnsi="Times New Roman" w:cs="Times New Roman" w:eastAsiaTheme="minorEastAsia"/>
          <w:caps w:val="0"/>
          <w:smallCaps w:val="0"/>
          <w:kern w:val="0"/>
          <w:sz w:val="24"/>
          <w:szCs w:val="24"/>
        </w:rPr>
        <w:t>1</w:t>
      </w:r>
      <w:r>
        <w:rPr>
          <w:rFonts w:ascii="Times New Roman" w:hAnsi="Times New Roman" w:cs="Times New Roman" w:eastAsiaTheme="minorEastAsia"/>
          <w:caps w:val="0"/>
          <w:smallCaps w:val="0"/>
          <w:kern w:val="0"/>
          <w:sz w:val="24"/>
          <w:szCs w:val="24"/>
        </w:rPr>
        <w:t>、交通部2015年第25号令《中华人民共和国防治船舶污染内河水域环境管理规定》，2016年5月1日；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3</w:t>
      </w:r>
      <w:r>
        <w:rPr>
          <w:rFonts w:hint="eastAsia" w:ascii="Times New Roman" w:hAnsi="Times New Roman" w:cs="Times New Roman" w:eastAsiaTheme="minorEastAsia"/>
          <w:caps w:val="0"/>
          <w:smallCaps w:val="0"/>
          <w:kern w:val="0"/>
          <w:sz w:val="24"/>
          <w:szCs w:val="24"/>
        </w:rPr>
        <w:t>2</w:t>
      </w:r>
      <w:r>
        <w:rPr>
          <w:rFonts w:ascii="Times New Roman" w:hAnsi="Times New Roman" w:cs="Times New Roman" w:eastAsiaTheme="minorEastAsia"/>
          <w:caps w:val="0"/>
          <w:smallCaps w:val="0"/>
          <w:kern w:val="0"/>
          <w:sz w:val="24"/>
          <w:szCs w:val="24"/>
        </w:rPr>
        <w:t>、交通部2003年第5号令《交通建设项目环境保护管理办法》，2003年5月13日；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3</w:t>
      </w:r>
      <w:r>
        <w:rPr>
          <w:rFonts w:hint="eastAsia" w:ascii="Times New Roman" w:hAnsi="Times New Roman" w:cs="Times New Roman" w:eastAsiaTheme="minorEastAsia"/>
          <w:caps w:val="0"/>
          <w:smallCaps w:val="0"/>
          <w:kern w:val="0"/>
          <w:sz w:val="24"/>
          <w:szCs w:val="24"/>
        </w:rPr>
        <w:t>3</w:t>
      </w:r>
      <w:r>
        <w:rPr>
          <w:rFonts w:ascii="Times New Roman" w:hAnsi="Times New Roman" w:cs="Times New Roman" w:eastAsiaTheme="minorEastAsia"/>
          <w:caps w:val="0"/>
          <w:smallCaps w:val="0"/>
          <w:kern w:val="0"/>
          <w:sz w:val="24"/>
          <w:szCs w:val="24"/>
        </w:rPr>
        <w:t>、环境保护部办公厅文件环办〔2013〕104号《关于切实加强环境影响评价监督管理工作的通知》，2013年11月15日；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3</w:t>
      </w:r>
      <w:r>
        <w:rPr>
          <w:rFonts w:hint="eastAsia" w:ascii="Times New Roman" w:hAnsi="Times New Roman" w:cs="Times New Roman" w:eastAsiaTheme="minorEastAsia"/>
          <w:caps w:val="0"/>
          <w:smallCaps w:val="0"/>
          <w:kern w:val="0"/>
          <w:sz w:val="24"/>
          <w:szCs w:val="24"/>
        </w:rPr>
        <w:t>4</w:t>
      </w:r>
      <w:r>
        <w:rPr>
          <w:rFonts w:ascii="Times New Roman" w:hAnsi="Times New Roman" w:cs="Times New Roman" w:eastAsiaTheme="minorEastAsia"/>
          <w:caps w:val="0"/>
          <w:smallCaps w:val="0"/>
          <w:kern w:val="0"/>
          <w:sz w:val="24"/>
          <w:szCs w:val="24"/>
        </w:rPr>
        <w:t>、中办、国办印发《关于划定并严守生态保护红线的若干意见》，2017年2月8日；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3</w:t>
      </w:r>
      <w:r>
        <w:rPr>
          <w:rFonts w:hint="eastAsia" w:ascii="Times New Roman" w:hAnsi="Times New Roman" w:cs="Times New Roman" w:eastAsiaTheme="minorEastAsia"/>
          <w:caps w:val="0"/>
          <w:smallCaps w:val="0"/>
          <w:kern w:val="0"/>
          <w:sz w:val="24"/>
          <w:szCs w:val="24"/>
        </w:rPr>
        <w:t>5</w:t>
      </w:r>
      <w:r>
        <w:rPr>
          <w:rFonts w:ascii="Times New Roman" w:hAnsi="Times New Roman" w:cs="Times New Roman" w:eastAsiaTheme="minorEastAsia"/>
          <w:caps w:val="0"/>
          <w:smallCaps w:val="0"/>
          <w:kern w:val="0"/>
          <w:sz w:val="24"/>
          <w:szCs w:val="24"/>
        </w:rPr>
        <w:t>、环保部、发改委环办生态〔2017〕48号《生态保护红线划定指南》，2017年5月；</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3</w:t>
      </w:r>
      <w:r>
        <w:rPr>
          <w:rFonts w:hint="eastAsia" w:ascii="Times New Roman" w:hAnsi="Times New Roman" w:cs="Times New Roman" w:eastAsiaTheme="minorEastAsia"/>
          <w:caps w:val="0"/>
          <w:smallCaps w:val="0"/>
          <w:kern w:val="0"/>
          <w:sz w:val="24"/>
          <w:szCs w:val="24"/>
        </w:rPr>
        <w:t>6</w:t>
      </w:r>
      <w:r>
        <w:rPr>
          <w:rFonts w:ascii="Times New Roman" w:hAnsi="Times New Roman" w:cs="Times New Roman" w:eastAsiaTheme="minorEastAsia"/>
          <w:caps w:val="0"/>
          <w:smallCaps w:val="0"/>
          <w:kern w:val="0"/>
          <w:sz w:val="24"/>
          <w:szCs w:val="24"/>
        </w:rPr>
        <w:t>、《中华人民共和国自然保护区条例》，2017年10月7日修正；</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eastAsiaTheme="minorEastAsia"/>
          <w:caps w:val="0"/>
          <w:smallCaps w:val="0"/>
          <w:kern w:val="0"/>
          <w:sz w:val="24"/>
          <w:szCs w:val="24"/>
        </w:rPr>
        <w:t>37</w:t>
      </w:r>
      <w:r>
        <w:rPr>
          <w:rFonts w:ascii="Times New Roman" w:hAnsi="Times New Roman" w:cs="Times New Roman" w:eastAsiaTheme="minorEastAsia"/>
          <w:caps w:val="0"/>
          <w:smallCaps w:val="0"/>
          <w:kern w:val="0"/>
          <w:sz w:val="24"/>
          <w:szCs w:val="24"/>
        </w:rPr>
        <w:t>、环境保护部环发〔2015〕57号《关于进一步加强涉及自然保护区开发建设活动监督管理的通知》，2015年5月8日；</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38</w:t>
      </w:r>
      <w:r>
        <w:rPr>
          <w:rFonts w:ascii="Times New Roman" w:hAnsi="Times New Roman" w:cs="Times New Roman" w:eastAsiaTheme="minorEastAsia"/>
          <w:caps w:val="0"/>
          <w:smallCaps w:val="0"/>
          <w:color w:val="000000"/>
          <w:sz w:val="24"/>
        </w:rPr>
        <w:t>、《环境保护部、农业部关于进一步加强水生生物资源保护严格环境影响评价管理的通知》（环发〔2013〕86号，2013年8月5日）</w:t>
      </w:r>
      <w:r>
        <w:rPr>
          <w:rFonts w:hint="eastAsia" w:ascii="Times New Roman" w:hAnsi="Times New Roman" w:cs="Times New Roman" w:eastAsiaTheme="minorEastAsia"/>
          <w:caps w:val="0"/>
          <w:smallCaps w:val="0"/>
          <w:color w:val="000000"/>
          <w:sz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39、</w:t>
      </w:r>
      <w:r>
        <w:rPr>
          <w:rFonts w:ascii="Times New Roman" w:hAnsi="Times New Roman" w:cs="Times New Roman" w:eastAsiaTheme="minorEastAsia"/>
          <w:caps w:val="0"/>
          <w:smallCaps w:val="0"/>
          <w:color w:val="000000"/>
          <w:sz w:val="24"/>
        </w:rPr>
        <w:t>交通运输部办公厅关于印发《长江经济带船舶污染防治专项行动方案（2018-2020年）》的通知</w:t>
      </w:r>
      <w:r>
        <w:rPr>
          <w:rFonts w:hint="eastAsia" w:ascii="Times New Roman" w:hAnsi="Times New Roman" w:cs="Times New Roman" w:eastAsiaTheme="minorEastAsia"/>
          <w:caps w:val="0"/>
          <w:smallCaps w:val="0"/>
          <w:color w:val="000000"/>
          <w:sz w:val="24"/>
        </w:rPr>
        <w:t>（</w:t>
      </w:r>
      <w:r>
        <w:rPr>
          <w:rFonts w:ascii="Times New Roman" w:hAnsi="Times New Roman" w:cs="Times New Roman" w:eastAsiaTheme="minorEastAsia"/>
          <w:caps w:val="0"/>
          <w:smallCaps w:val="0"/>
          <w:color w:val="000000"/>
          <w:sz w:val="24"/>
        </w:rPr>
        <w:t>交办海〔2017〕195号</w:t>
      </w:r>
      <w:r>
        <w:rPr>
          <w:rFonts w:hint="eastAsia" w:ascii="Times New Roman" w:hAnsi="Times New Roman" w:cs="Times New Roman" w:eastAsiaTheme="minorEastAsia"/>
          <w:caps w:val="0"/>
          <w:smallCaps w:val="0"/>
          <w:color w:val="000000"/>
          <w:sz w:val="24"/>
        </w:rPr>
        <w:t>，</w:t>
      </w:r>
      <w:r>
        <w:rPr>
          <w:rFonts w:ascii="Times New Roman" w:hAnsi="Times New Roman" w:cs="Times New Roman" w:eastAsiaTheme="minorEastAsia"/>
          <w:caps w:val="0"/>
          <w:smallCaps w:val="0"/>
          <w:color w:val="000000"/>
          <w:sz w:val="24"/>
        </w:rPr>
        <w:t>2018年1月8日</w:t>
      </w:r>
      <w:r>
        <w:rPr>
          <w:rFonts w:hint="eastAsia" w:ascii="Times New Roman" w:hAnsi="Times New Roman" w:cs="Times New Roman" w:eastAsiaTheme="minorEastAsia"/>
          <w:caps w:val="0"/>
          <w:smallCaps w:val="0"/>
          <w:color w:val="000000"/>
          <w:sz w:val="24"/>
        </w:rPr>
        <w:t>）；</w:t>
      </w:r>
    </w:p>
    <w:p>
      <w:pPr>
        <w:tabs>
          <w:tab w:val="left" w:pos="900"/>
        </w:tabs>
        <w:snapToGrid w:val="0"/>
        <w:spacing w:line="360" w:lineRule="auto"/>
        <w:ind w:firstLine="480" w:firstLineChars="200"/>
        <w:rPr>
          <w:rFonts w:hint="eastAsia" w:cs="Times New Roman" w:eastAsiaTheme="minorEastAsia"/>
          <w:caps w:val="0"/>
          <w:smallCaps w:val="0"/>
          <w:color w:val="000000"/>
          <w:sz w:val="24"/>
          <w:lang w:eastAsia="zh-CN"/>
        </w:rPr>
      </w:pPr>
      <w:r>
        <w:rPr>
          <w:rFonts w:ascii="Times New Roman" w:hAnsi="Times New Roman" w:cs="Times New Roman" w:eastAsiaTheme="minorEastAsia"/>
          <w:caps w:val="0"/>
          <w:smallCaps w:val="0"/>
          <w:color w:val="000000"/>
          <w:sz w:val="24"/>
        </w:rPr>
        <w:t>4</w:t>
      </w:r>
      <w:r>
        <w:rPr>
          <w:rFonts w:hint="eastAsia" w:ascii="Times New Roman" w:hAnsi="Times New Roman" w:cs="Times New Roman" w:eastAsiaTheme="minorEastAsia"/>
          <w:caps w:val="0"/>
          <w:smallCaps w:val="0"/>
          <w:color w:val="000000"/>
          <w:sz w:val="24"/>
        </w:rPr>
        <w:t>0、</w:t>
      </w:r>
      <w:r>
        <w:rPr>
          <w:rFonts w:ascii="Times New Roman" w:hAnsi="Times New Roman" w:cs="Times New Roman" w:eastAsiaTheme="minorEastAsia"/>
          <w:caps w:val="0"/>
          <w:smallCaps w:val="0"/>
          <w:color w:val="000000"/>
          <w:sz w:val="24"/>
        </w:rPr>
        <w:t>交通运输部发展改革委生态环境部住房城乡建设部关于印发</w:t>
      </w:r>
      <w:r>
        <w:rPr>
          <w:rFonts w:hint="eastAsia" w:ascii="Times New Roman" w:hAnsi="Times New Roman" w:cs="Times New Roman" w:eastAsiaTheme="minorEastAsia"/>
          <w:caps w:val="0"/>
          <w:smallCaps w:val="0"/>
          <w:color w:val="000000"/>
          <w:sz w:val="24"/>
        </w:rPr>
        <w:t>《</w:t>
      </w:r>
      <w:r>
        <w:rPr>
          <w:rFonts w:ascii="Times New Roman" w:hAnsi="Times New Roman" w:cs="Times New Roman" w:eastAsiaTheme="minorEastAsia"/>
          <w:caps w:val="0"/>
          <w:smallCaps w:val="0"/>
          <w:color w:val="000000"/>
          <w:sz w:val="24"/>
        </w:rPr>
        <w:t>长江经济带船舶和港口污染突出问题整治方案</w:t>
      </w:r>
      <w:r>
        <w:rPr>
          <w:rFonts w:hint="eastAsia" w:ascii="Times New Roman" w:hAnsi="Times New Roman" w:cs="Times New Roman" w:eastAsiaTheme="minorEastAsia"/>
          <w:caps w:val="0"/>
          <w:smallCaps w:val="0"/>
          <w:color w:val="000000"/>
          <w:sz w:val="24"/>
        </w:rPr>
        <w:t>》</w:t>
      </w:r>
      <w:r>
        <w:rPr>
          <w:rFonts w:ascii="Times New Roman" w:hAnsi="Times New Roman" w:cs="Times New Roman" w:eastAsiaTheme="minorEastAsia"/>
          <w:caps w:val="0"/>
          <w:smallCaps w:val="0"/>
          <w:color w:val="000000"/>
          <w:sz w:val="24"/>
        </w:rPr>
        <w:t>的通知</w:t>
      </w:r>
      <w:r>
        <w:rPr>
          <w:rFonts w:hint="eastAsia" w:ascii="Times New Roman" w:hAnsi="Times New Roman" w:cs="Times New Roman" w:eastAsiaTheme="minorEastAsia"/>
          <w:caps w:val="0"/>
          <w:smallCaps w:val="0"/>
          <w:color w:val="000000"/>
          <w:sz w:val="24"/>
        </w:rPr>
        <w:t>（</w:t>
      </w:r>
      <w:r>
        <w:rPr>
          <w:rFonts w:ascii="Times New Roman" w:hAnsi="Times New Roman" w:cs="Times New Roman" w:eastAsiaTheme="minorEastAsia"/>
          <w:caps w:val="0"/>
          <w:smallCaps w:val="0"/>
          <w:color w:val="000000"/>
          <w:sz w:val="24"/>
        </w:rPr>
        <w:t>交水发〔2020〕17号</w:t>
      </w:r>
      <w:r>
        <w:rPr>
          <w:rFonts w:hint="eastAsia" w:ascii="Times New Roman" w:hAnsi="Times New Roman" w:cs="Times New Roman" w:eastAsiaTheme="minorEastAsia"/>
          <w:caps w:val="0"/>
          <w:smallCaps w:val="0"/>
          <w:color w:val="000000"/>
          <w:sz w:val="24"/>
        </w:rPr>
        <w:t>，</w:t>
      </w:r>
      <w:r>
        <w:rPr>
          <w:rFonts w:ascii="Times New Roman" w:hAnsi="Times New Roman" w:cs="Times New Roman" w:eastAsiaTheme="minorEastAsia"/>
          <w:caps w:val="0"/>
          <w:smallCaps w:val="0"/>
          <w:color w:val="000000"/>
          <w:sz w:val="24"/>
        </w:rPr>
        <w:t>2020年1月19日</w:t>
      </w:r>
      <w:r>
        <w:rPr>
          <w:rFonts w:hint="eastAsia" w:ascii="Times New Roman" w:hAnsi="Times New Roman" w:cs="Times New Roman" w:eastAsiaTheme="minorEastAsia"/>
          <w:caps w:val="0"/>
          <w:smallCaps w:val="0"/>
          <w:color w:val="000000"/>
          <w:sz w:val="24"/>
        </w:rPr>
        <w:t>）</w:t>
      </w:r>
      <w:r>
        <w:rPr>
          <w:rFonts w:hint="eastAsia" w:cs="Times New Roman" w:eastAsiaTheme="minorEastAsia"/>
          <w:caps w:val="0"/>
          <w:smallCaps w:val="0"/>
          <w:color w:val="000000"/>
          <w:sz w:val="24"/>
          <w:lang w:eastAsia="zh-CN"/>
        </w:rPr>
        <w:t>；</w:t>
      </w:r>
    </w:p>
    <w:p>
      <w:pPr>
        <w:tabs>
          <w:tab w:val="left" w:pos="900"/>
        </w:tabs>
        <w:snapToGrid w:val="0"/>
        <w:spacing w:line="360" w:lineRule="auto"/>
        <w:ind w:firstLine="480" w:firstLineChars="200"/>
        <w:rPr>
          <w:rFonts w:hint="eastAsia" w:cs="Times New Roman" w:eastAsiaTheme="minorEastAsia"/>
          <w:caps w:val="0"/>
          <w:smallCaps w:val="0"/>
          <w:kern w:val="0"/>
          <w:sz w:val="24"/>
          <w:szCs w:val="24"/>
          <w:lang w:eastAsia="zh-CN"/>
        </w:rPr>
      </w:pPr>
      <w:r>
        <w:rPr>
          <w:rFonts w:hint="eastAsia" w:cs="Times New Roman" w:eastAsiaTheme="minorEastAsia"/>
          <w:caps w:val="0"/>
          <w:smallCaps w:val="0"/>
          <w:color w:val="000000"/>
          <w:sz w:val="24"/>
          <w:lang w:val="en-US" w:eastAsia="zh-CN"/>
        </w:rPr>
        <w:t>41、</w:t>
      </w:r>
      <w:r>
        <w:rPr>
          <w:rFonts w:ascii="Times New Roman" w:hAnsi="Times New Roman" w:cs="Times New Roman" w:eastAsiaTheme="minorEastAsia"/>
          <w:caps w:val="0"/>
          <w:smallCaps w:val="0"/>
          <w:kern w:val="0"/>
          <w:sz w:val="24"/>
          <w:szCs w:val="24"/>
        </w:rPr>
        <w:t>国家环保总局、卫生部、建设部、水利部、地矿部关于《饮用水水源保护区污染防治管理规定》，环境保护部令第16号自2010年12月修订</w:t>
      </w:r>
      <w:r>
        <w:rPr>
          <w:rFonts w:hint="eastAsia" w:cs="Times New Roman" w:eastAsiaTheme="minorEastAsia"/>
          <w:caps w:val="0"/>
          <w:smallCaps w:val="0"/>
          <w:kern w:val="0"/>
          <w:sz w:val="24"/>
          <w:szCs w:val="24"/>
          <w:lang w:eastAsia="zh-CN"/>
        </w:rPr>
        <w:t>；</w:t>
      </w:r>
    </w:p>
    <w:p>
      <w:pPr>
        <w:tabs>
          <w:tab w:val="left" w:pos="900"/>
        </w:tabs>
        <w:snapToGrid w:val="0"/>
        <w:spacing w:line="360" w:lineRule="auto"/>
        <w:ind w:firstLine="480" w:firstLineChars="200"/>
        <w:rPr>
          <w:rFonts w:hint="eastAsia" w:cs="Times New Roman" w:eastAsiaTheme="minorEastAsia"/>
          <w:caps w:val="0"/>
          <w:smallCaps w:val="0"/>
          <w:kern w:val="0"/>
          <w:sz w:val="24"/>
          <w:szCs w:val="24"/>
          <w:lang w:eastAsia="zh-CN"/>
        </w:rPr>
      </w:pPr>
      <w:r>
        <w:rPr>
          <w:rFonts w:hint="eastAsia" w:cs="Times New Roman" w:eastAsiaTheme="minorEastAsia"/>
          <w:caps w:val="0"/>
          <w:smallCaps w:val="0"/>
          <w:kern w:val="0"/>
          <w:sz w:val="24"/>
          <w:szCs w:val="24"/>
          <w:lang w:val="en-US" w:eastAsia="zh-CN"/>
        </w:rPr>
        <w:t>42、</w:t>
      </w:r>
      <w:r>
        <w:rPr>
          <w:rFonts w:ascii="Times New Roman" w:hAnsi="Times New Roman" w:cs="Times New Roman" w:eastAsiaTheme="minorEastAsia"/>
          <w:caps w:val="0"/>
          <w:smallCaps w:val="0"/>
          <w:kern w:val="0"/>
          <w:sz w:val="24"/>
          <w:szCs w:val="24"/>
        </w:rPr>
        <w:t>国发〔2014〕39号《国务院关于依托黄金水道推动长江经济带发展的指导意见》，2014年9月25日</w:t>
      </w:r>
      <w:r>
        <w:rPr>
          <w:rFonts w:hint="eastAsia" w:cs="Times New Roman" w:eastAsiaTheme="minorEastAsia"/>
          <w:caps w:val="0"/>
          <w:smallCaps w:val="0"/>
          <w:kern w:val="0"/>
          <w:sz w:val="24"/>
          <w:szCs w:val="24"/>
          <w:lang w:eastAsia="zh-CN"/>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u w:val="single"/>
        </w:rPr>
      </w:pPr>
      <w:r>
        <w:rPr>
          <w:rFonts w:hint="eastAsia" w:cs="Times New Roman" w:eastAsiaTheme="minorEastAsia"/>
          <w:caps w:val="0"/>
          <w:smallCaps w:val="0"/>
          <w:kern w:val="0"/>
          <w:sz w:val="24"/>
          <w:szCs w:val="24"/>
          <w:u w:val="single"/>
          <w:lang w:val="en-US" w:eastAsia="zh-CN"/>
        </w:rPr>
        <w:t>43、《长江经济带发展负面清单指南（试行，2022年版）》，2022年1月19日施行</w:t>
      </w:r>
      <w:r>
        <w:rPr>
          <w:rFonts w:ascii="Times New Roman" w:hAnsi="Times New Roman" w:cs="Times New Roman" w:eastAsiaTheme="minorEastAsia"/>
          <w:caps w:val="0"/>
          <w:smallCaps w:val="0"/>
          <w:color w:val="000000"/>
          <w:sz w:val="24"/>
          <w:u w:val="single"/>
        </w:rPr>
        <w:t>。</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地方有关环境保护的法律、法规、规定</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w:t>
      </w:r>
      <w:r>
        <w:rPr>
          <w:rFonts w:ascii="Times New Roman" w:hAnsi="Times New Roman" w:cs="Times New Roman"/>
          <w:caps w:val="0"/>
          <w:smallCaps w:val="0"/>
          <w:color w:val="000000"/>
          <w:sz w:val="24"/>
        </w:rPr>
        <w:t>《湖南省环境保护条例》（修正），湖南省第十二届人民代表大会常务委员会，2020.01.01</w:t>
      </w:r>
      <w:r>
        <w:rPr>
          <w:rFonts w:hint="eastAsia" w:ascii="Times New Roman" w:hAnsi="Times New Roman" w:cs="Times New Roman"/>
          <w:caps w:val="0"/>
          <w:smallCaps w:val="0"/>
          <w:color w:val="000000"/>
          <w:sz w:val="24"/>
        </w:rPr>
        <w:t>实施</w:t>
      </w:r>
      <w:r>
        <w:rPr>
          <w:rFonts w:ascii="Times New Roman" w:hAnsi="Times New Roman" w:cs="Times New Roman" w:eastAsiaTheme="minorEastAsia"/>
          <w:caps w:val="0"/>
          <w:smallCaps w:val="0"/>
          <w:color w:val="000000"/>
          <w:sz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u w:val="single"/>
        </w:rPr>
      </w:pPr>
      <w:r>
        <w:rPr>
          <w:rFonts w:ascii="Times New Roman" w:hAnsi="Times New Roman" w:cs="Times New Roman" w:eastAsiaTheme="minorEastAsia"/>
          <w:caps w:val="0"/>
          <w:smallCaps w:val="0"/>
          <w:color w:val="000000"/>
          <w:sz w:val="24"/>
          <w:u w:val="single"/>
        </w:rPr>
        <w:t>2、</w:t>
      </w:r>
      <w:r>
        <w:rPr>
          <w:rFonts w:hint="eastAsia" w:cs="Times New Roman" w:eastAsiaTheme="minorEastAsia"/>
          <w:caps w:val="0"/>
          <w:smallCaps w:val="0"/>
          <w:color w:val="000000"/>
          <w:sz w:val="24"/>
          <w:u w:val="single"/>
          <w:lang w:eastAsia="zh-CN"/>
        </w:rPr>
        <w:t>《湖南省湘江保护条例》（</w:t>
      </w:r>
      <w:r>
        <w:rPr>
          <w:rFonts w:hint="eastAsia" w:cs="Times New Roman" w:eastAsiaTheme="minorEastAsia"/>
          <w:caps w:val="0"/>
          <w:smallCaps w:val="0"/>
          <w:color w:val="000000"/>
          <w:sz w:val="24"/>
          <w:u w:val="single"/>
          <w:lang w:val="en-US" w:eastAsia="zh-CN"/>
        </w:rPr>
        <w:t>2018</w:t>
      </w:r>
      <w:r>
        <w:rPr>
          <w:rFonts w:hint="eastAsia" w:cs="Times New Roman" w:eastAsiaTheme="minorEastAsia"/>
          <w:caps w:val="0"/>
          <w:smallCaps w:val="0"/>
          <w:color w:val="000000"/>
          <w:sz w:val="24"/>
          <w:u w:val="single"/>
          <w:lang w:eastAsia="zh-CN"/>
        </w:rPr>
        <w:t>修正），湖南省第十三届人民代表大会常务委员会，</w:t>
      </w:r>
      <w:r>
        <w:rPr>
          <w:rFonts w:hint="eastAsia" w:cs="Times New Roman" w:eastAsiaTheme="minorEastAsia"/>
          <w:caps w:val="0"/>
          <w:smallCaps w:val="0"/>
          <w:color w:val="000000"/>
          <w:sz w:val="24"/>
          <w:u w:val="single"/>
          <w:lang w:val="en-US" w:eastAsia="zh-CN"/>
        </w:rPr>
        <w:t>2018年11月30日</w:t>
      </w:r>
      <w:r>
        <w:rPr>
          <w:rFonts w:ascii="Times New Roman" w:hAnsi="Times New Roman" w:cs="Times New Roman" w:eastAsiaTheme="minorEastAsia"/>
          <w:caps w:val="0"/>
          <w:smallCaps w:val="0"/>
          <w:color w:val="000000"/>
          <w:sz w:val="24"/>
          <w:u w:val="single"/>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3、《湖南省大气污染防治实施办法》，湖南省第八届人民代表大会常务委员会，1997年6月4日；</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4、《湖南省大气污染防治条例》，湖南省第十二届人民代表大会常务委员会，2017年6月1日；</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bCs/>
          <w:caps w:val="0"/>
          <w:smallCaps w:val="0"/>
          <w:color w:val="000000"/>
          <w:sz w:val="24"/>
        </w:rPr>
        <w:t>5、湖南省人民政府关于印发《湖南省生态保护红线》的通知，</w:t>
      </w:r>
      <w:r>
        <w:rPr>
          <w:rFonts w:ascii="Times New Roman" w:hAnsi="Times New Roman" w:cs="Times New Roman" w:eastAsiaTheme="minorEastAsia"/>
          <w:caps w:val="0"/>
          <w:smallCaps w:val="0"/>
          <w:color w:val="000000"/>
          <w:sz w:val="24"/>
        </w:rPr>
        <w:t>湘政发〔2018〕20号，2018年7月28日；</w:t>
      </w:r>
    </w:p>
    <w:p>
      <w:pPr>
        <w:tabs>
          <w:tab w:val="left" w:pos="900"/>
        </w:tabs>
        <w:snapToGrid w:val="0"/>
        <w:spacing w:line="360" w:lineRule="auto"/>
        <w:ind w:firstLine="480" w:firstLineChars="200"/>
        <w:rPr>
          <w:rFonts w:ascii="Times New Roman" w:hAnsi="Times New Roman" w:cs="Times New Roman" w:eastAsiaTheme="minorEastAsia"/>
          <w:bCs/>
          <w:caps w:val="0"/>
          <w:smallCaps w:val="0"/>
          <w:color w:val="000000"/>
          <w:sz w:val="24"/>
        </w:rPr>
      </w:pPr>
      <w:r>
        <w:rPr>
          <w:rFonts w:ascii="Times New Roman" w:hAnsi="Times New Roman" w:cs="Times New Roman" w:eastAsiaTheme="minorEastAsia"/>
          <w:caps w:val="0"/>
          <w:smallCaps w:val="0"/>
          <w:color w:val="000000"/>
          <w:sz w:val="24"/>
        </w:rPr>
        <w:t>6、</w:t>
      </w:r>
      <w:r>
        <w:rPr>
          <w:rFonts w:ascii="Times New Roman" w:hAnsi="Times New Roman" w:cs="Times New Roman" w:eastAsiaTheme="minorEastAsia"/>
          <w:bCs/>
          <w:caps w:val="0"/>
          <w:smallCaps w:val="0"/>
          <w:color w:val="000000"/>
          <w:sz w:val="24"/>
        </w:rPr>
        <w:t>《湖南省长江经济带发展负面清单实施细则》，湖南省发展和改革委员会，2019年7月17日；</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7、《湖南省主要水系地表水环境功能区划》（DB43/023-2005），湖南省环保局、湖南省质量技术监督管理局，2005年7月1日；</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8、湖南省人民政府关于印发《湖南省主体功能区规划》的通知，湖南省政府办公厅湘政发〔2012〕39号，2012年12月26日）；</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9、《关于印发&lt;湖南省重要饮用水水源地名录&gt;的通知》，湘政办函〔2014〕146号，2014年12月17日；</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10、《湖南省人民政府关于公布湖南省县级以上地表水集中式饮用水水源保护区划定方案的通知》，湘政函〔2016〕176号，2016年12月30日；</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u w:val="single"/>
        </w:rPr>
      </w:pPr>
      <w:r>
        <w:rPr>
          <w:rFonts w:ascii="Times New Roman" w:hAnsi="Times New Roman" w:cs="Times New Roman" w:eastAsiaTheme="minorEastAsia"/>
          <w:caps w:val="0"/>
          <w:smallCaps w:val="0"/>
          <w:color w:val="000000"/>
          <w:sz w:val="24"/>
          <w:u w:val="single"/>
        </w:rPr>
        <w:t>11、</w:t>
      </w:r>
      <w:r>
        <w:rPr>
          <w:rFonts w:hint="eastAsia" w:cs="Times New Roman" w:eastAsiaTheme="minorEastAsia"/>
          <w:caps w:val="0"/>
          <w:smallCaps w:val="0"/>
          <w:color w:val="000000"/>
          <w:sz w:val="24"/>
          <w:u w:val="single"/>
          <w:lang w:eastAsia="zh-CN"/>
        </w:rPr>
        <w:t>《</w:t>
      </w:r>
      <w:r>
        <w:rPr>
          <w:rFonts w:hint="eastAsia" w:cs="Times New Roman" w:eastAsiaTheme="minorEastAsia"/>
          <w:caps w:val="0"/>
          <w:smallCaps w:val="0"/>
          <w:color w:val="000000"/>
          <w:sz w:val="24"/>
          <w:u w:val="single"/>
          <w:lang w:val="en-US" w:eastAsia="zh-CN"/>
        </w:rPr>
        <w:t>湖南省港口岸线使用审批管理办法</w:t>
      </w:r>
      <w:r>
        <w:rPr>
          <w:rFonts w:hint="eastAsia" w:cs="Times New Roman" w:eastAsiaTheme="minorEastAsia"/>
          <w:caps w:val="0"/>
          <w:smallCaps w:val="0"/>
          <w:color w:val="000000"/>
          <w:sz w:val="24"/>
          <w:u w:val="single"/>
          <w:lang w:eastAsia="zh-CN"/>
        </w:rPr>
        <w:t>》（</w:t>
      </w:r>
      <w:r>
        <w:rPr>
          <w:rFonts w:hint="eastAsia" w:cs="Times New Roman" w:eastAsiaTheme="minorEastAsia"/>
          <w:caps w:val="0"/>
          <w:smallCaps w:val="0"/>
          <w:color w:val="000000"/>
          <w:sz w:val="24"/>
          <w:u w:val="single"/>
          <w:lang w:val="en-US" w:eastAsia="zh-CN"/>
        </w:rPr>
        <w:t>HNRP-2018-17006</w:t>
      </w:r>
      <w:r>
        <w:rPr>
          <w:rFonts w:hint="eastAsia" w:cs="Times New Roman" w:eastAsiaTheme="minorEastAsia"/>
          <w:caps w:val="0"/>
          <w:smallCaps w:val="0"/>
          <w:color w:val="000000"/>
          <w:sz w:val="24"/>
          <w:u w:val="single"/>
          <w:lang w:eastAsia="zh-CN"/>
        </w:rPr>
        <w:t>），湘交港航</w:t>
      </w:r>
      <w:r>
        <w:rPr>
          <w:rFonts w:hint="eastAsia" w:cs="Times New Roman" w:eastAsiaTheme="minorEastAsia"/>
          <w:caps w:val="0"/>
          <w:smallCaps w:val="0"/>
          <w:color w:val="000000"/>
          <w:sz w:val="24"/>
          <w:u w:val="single"/>
          <w:lang w:val="en-US" w:eastAsia="zh-CN"/>
        </w:rPr>
        <w:t>[2018]70号</w:t>
      </w:r>
      <w:r>
        <w:rPr>
          <w:rFonts w:ascii="Times New Roman" w:hAnsi="Times New Roman" w:cs="Times New Roman" w:eastAsiaTheme="minorEastAsia"/>
          <w:caps w:val="0"/>
          <w:smallCaps w:val="0"/>
          <w:color w:val="000000"/>
          <w:sz w:val="24"/>
          <w:u w:val="single"/>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12、《湖南省野生动植物资源保护条例》，湖南省人大常委会，2018年7月19日修订；</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13、《湖南省人民政府关于修订湖南省地方重点保护野生动物名录和湖南省地方重点保护野生植物名录的通知》，湘政函〔2002〕172号，2002年9月5日；</w:t>
      </w:r>
    </w:p>
    <w:p>
      <w:pPr>
        <w:tabs>
          <w:tab w:val="left" w:pos="900"/>
        </w:tabs>
        <w:snapToGrid w:val="0"/>
        <w:spacing w:line="360" w:lineRule="auto"/>
        <w:ind w:firstLine="480" w:firstLineChars="200"/>
        <w:rPr>
          <w:rFonts w:hint="eastAsia" w:ascii="Times New Roman" w:hAnsi="Times New Roman" w:cs="Times New Roman" w:eastAsiaTheme="minorEastAsia"/>
          <w:caps w:val="0"/>
          <w:smallCaps w:val="0"/>
          <w:color w:val="000000"/>
          <w:sz w:val="24"/>
          <w:u w:val="single"/>
          <w:lang w:eastAsia="zh-CN"/>
        </w:rPr>
      </w:pPr>
      <w:r>
        <w:rPr>
          <w:rFonts w:ascii="Times New Roman" w:hAnsi="Times New Roman" w:cs="Times New Roman" w:eastAsiaTheme="minorEastAsia"/>
          <w:caps w:val="0"/>
          <w:smallCaps w:val="0"/>
          <w:color w:val="000000"/>
          <w:sz w:val="24"/>
          <w:u w:val="single"/>
        </w:rPr>
        <w:t>14、</w:t>
      </w:r>
      <w:r>
        <w:rPr>
          <w:rFonts w:hint="eastAsia" w:cs="Times New Roman" w:eastAsiaTheme="minorEastAsia"/>
          <w:caps w:val="0"/>
          <w:smallCaps w:val="0"/>
          <w:color w:val="000000"/>
          <w:sz w:val="24"/>
          <w:u w:val="single"/>
          <w:lang w:eastAsia="zh-CN"/>
        </w:rPr>
        <w:t>《湖南省洞庭湖保护条例》，湖南省第十三届人民代表大会常务委员会第二十四次会议通过，</w:t>
      </w:r>
      <w:r>
        <w:rPr>
          <w:rFonts w:hint="eastAsia" w:cs="Times New Roman" w:eastAsiaTheme="minorEastAsia"/>
          <w:caps w:val="0"/>
          <w:smallCaps w:val="0"/>
          <w:color w:val="000000"/>
          <w:sz w:val="24"/>
          <w:u w:val="single"/>
          <w:lang w:val="en-US" w:eastAsia="zh-CN"/>
        </w:rPr>
        <w:t>2021年9月1日正式施行</w:t>
      </w:r>
      <w:r>
        <w:rPr>
          <w:rFonts w:hint="eastAsia" w:cs="Times New Roman" w:eastAsiaTheme="minorEastAsia"/>
          <w:caps w:val="0"/>
          <w:smallCaps w:val="0"/>
          <w:color w:val="000000"/>
          <w:sz w:val="24"/>
          <w:u w:val="single"/>
          <w:lang w:eastAsia="zh-CN"/>
        </w:rPr>
        <w:t>；</w:t>
      </w:r>
    </w:p>
    <w:p>
      <w:pPr>
        <w:tabs>
          <w:tab w:val="left" w:pos="900"/>
        </w:tabs>
        <w:snapToGrid w:val="0"/>
        <w:spacing w:line="360" w:lineRule="auto"/>
        <w:ind w:firstLine="480" w:firstLineChars="200"/>
        <w:rPr>
          <w:rFonts w:hint="eastAsia" w:cs="Times New Roman" w:eastAsiaTheme="minorEastAsia"/>
          <w:caps w:val="0"/>
          <w:smallCaps w:val="0"/>
          <w:color w:val="000000"/>
          <w:sz w:val="24"/>
          <w:lang w:eastAsia="zh-CN"/>
        </w:rPr>
      </w:pPr>
      <w:r>
        <w:rPr>
          <w:rFonts w:hint="eastAsia" w:cs="Times New Roman" w:eastAsiaTheme="minorEastAsia"/>
          <w:caps w:val="0"/>
          <w:smallCaps w:val="0"/>
          <w:color w:val="000000"/>
          <w:sz w:val="24"/>
          <w:lang w:val="en-US" w:eastAsia="zh-CN"/>
        </w:rPr>
        <w:t>15、</w:t>
      </w:r>
      <w:r>
        <w:rPr>
          <w:rFonts w:ascii="Times New Roman" w:hAnsi="Times New Roman" w:cs="Times New Roman" w:eastAsiaTheme="minorEastAsia"/>
          <w:caps w:val="0"/>
          <w:smallCaps w:val="0"/>
          <w:color w:val="000000"/>
          <w:sz w:val="24"/>
        </w:rPr>
        <w:t>《关于印发&lt;湖南省环境保护厅建设项目“三同时”监督管理试行办法&gt;的通知》，湖南省环境保护厅办公室，湘环发〔2011〕29号，2011年6月27日</w:t>
      </w:r>
      <w:r>
        <w:rPr>
          <w:rFonts w:hint="eastAsia" w:cs="Times New Roman" w:eastAsiaTheme="minorEastAsia"/>
          <w:caps w:val="0"/>
          <w:smallCaps w:val="0"/>
          <w:color w:val="000000"/>
          <w:sz w:val="24"/>
          <w:lang w:eastAsia="zh-CN"/>
        </w:rPr>
        <w:t>；</w:t>
      </w:r>
    </w:p>
    <w:p>
      <w:pPr>
        <w:tabs>
          <w:tab w:val="left" w:pos="900"/>
        </w:tabs>
        <w:snapToGrid w:val="0"/>
        <w:spacing w:line="360" w:lineRule="auto"/>
        <w:ind w:firstLine="480" w:firstLineChars="200"/>
        <w:rPr>
          <w:rFonts w:hint="eastAsia" w:ascii="Times New Roman" w:hAnsi="Times New Roman" w:cs="Times New Roman" w:eastAsiaTheme="minorEastAsia"/>
          <w:caps w:val="0"/>
          <w:smallCaps w:val="0"/>
          <w:color w:val="000000"/>
          <w:sz w:val="24"/>
          <w:lang w:eastAsia="zh-CN"/>
        </w:rPr>
      </w:pPr>
      <w:r>
        <w:rPr>
          <w:rFonts w:hint="eastAsia" w:cs="Times New Roman" w:eastAsiaTheme="minorEastAsia"/>
          <w:caps w:val="0"/>
          <w:smallCaps w:val="0"/>
          <w:color w:val="000000"/>
          <w:sz w:val="24"/>
          <w:lang w:val="en-US" w:eastAsia="zh-CN"/>
        </w:rPr>
        <w:t>16、</w:t>
      </w:r>
      <w:r>
        <w:rPr>
          <w:rFonts w:ascii="Times New Roman" w:hAnsi="Times New Roman" w:cs="Times New Roman" w:eastAsiaTheme="minorEastAsia"/>
          <w:caps w:val="0"/>
          <w:smallCaps w:val="0"/>
          <w:color w:val="000000"/>
          <w:sz w:val="24"/>
        </w:rPr>
        <w:t>《湖南省生态文明体制改革实施方案（2014-2020年）》，湘办发〔2015〕15号</w:t>
      </w:r>
      <w:r>
        <w:rPr>
          <w:rFonts w:hint="eastAsia" w:cs="Times New Roman" w:eastAsiaTheme="minorEastAsia"/>
          <w:caps w:val="0"/>
          <w:smallCaps w:val="0"/>
          <w:color w:val="000000"/>
          <w:sz w:val="24"/>
          <w:lang w:eastAsia="zh-CN"/>
        </w:rPr>
        <w:t>；</w:t>
      </w:r>
    </w:p>
    <w:p>
      <w:pPr>
        <w:tabs>
          <w:tab w:val="left" w:pos="900"/>
        </w:tabs>
        <w:snapToGrid w:val="0"/>
        <w:spacing w:line="360" w:lineRule="auto"/>
        <w:ind w:firstLine="480" w:firstLineChars="200"/>
        <w:rPr>
          <w:rFonts w:hint="eastAsia" w:cs="Times New Roman" w:eastAsiaTheme="minorEastAsia"/>
          <w:caps w:val="0"/>
          <w:smallCaps w:val="0"/>
          <w:color w:val="000000"/>
          <w:sz w:val="24"/>
          <w:lang w:val="en-US" w:eastAsia="zh-CN"/>
        </w:rPr>
      </w:pPr>
      <w:r>
        <w:rPr>
          <w:rFonts w:hint="eastAsia" w:cs="Times New Roman" w:eastAsiaTheme="minorEastAsia"/>
          <w:caps w:val="0"/>
          <w:smallCaps w:val="0"/>
          <w:color w:val="000000"/>
          <w:sz w:val="24"/>
          <w:lang w:val="en-US" w:eastAsia="zh-CN"/>
        </w:rPr>
        <w:t>17、</w:t>
      </w:r>
      <w:r>
        <w:rPr>
          <w:rFonts w:ascii="Times New Roman" w:hAnsi="Times New Roman" w:cs="Times New Roman" w:eastAsiaTheme="minorEastAsia"/>
          <w:caps w:val="0"/>
          <w:smallCaps w:val="0"/>
          <w:color w:val="000000"/>
          <w:sz w:val="24"/>
        </w:rPr>
        <w:t>《湖南省</w:t>
      </w:r>
      <w:r>
        <w:rPr>
          <w:rFonts w:hint="eastAsia" w:ascii="Times New Roman" w:hAnsi="Times New Roman" w:cs="Times New Roman" w:eastAsiaTheme="minorEastAsia"/>
          <w:caps w:val="0"/>
          <w:smallCaps w:val="0"/>
          <w:color w:val="000000"/>
          <w:sz w:val="24"/>
        </w:rPr>
        <w:t>生态环境厅</w:t>
      </w:r>
      <w:r>
        <w:rPr>
          <w:rFonts w:ascii="Times New Roman" w:hAnsi="Times New Roman" w:cs="Times New Roman" w:eastAsiaTheme="minorEastAsia"/>
          <w:caps w:val="0"/>
          <w:smallCaps w:val="0"/>
          <w:color w:val="000000"/>
          <w:sz w:val="24"/>
        </w:rPr>
        <w:t>关于请求下放部分行政许可事项办理</w:t>
      </w:r>
      <w:r>
        <w:rPr>
          <w:rFonts w:hint="eastAsia" w:ascii="Times New Roman" w:hAnsi="Times New Roman" w:cs="Times New Roman" w:eastAsiaTheme="minorEastAsia"/>
          <w:caps w:val="0"/>
          <w:smallCaps w:val="0"/>
          <w:color w:val="000000"/>
          <w:sz w:val="24"/>
        </w:rPr>
        <w:t>项的</w:t>
      </w:r>
      <w:r>
        <w:rPr>
          <w:rFonts w:ascii="Times New Roman" w:hAnsi="Times New Roman" w:cs="Times New Roman" w:eastAsiaTheme="minorEastAsia"/>
          <w:caps w:val="0"/>
          <w:smallCaps w:val="0"/>
          <w:color w:val="000000"/>
          <w:sz w:val="24"/>
        </w:rPr>
        <w:t>函》，湖南省</w:t>
      </w:r>
      <w:r>
        <w:rPr>
          <w:rFonts w:hint="eastAsia" w:ascii="Times New Roman" w:hAnsi="Times New Roman" w:cs="Times New Roman" w:eastAsiaTheme="minorEastAsia"/>
          <w:caps w:val="0"/>
          <w:smallCaps w:val="0"/>
          <w:color w:val="000000"/>
          <w:sz w:val="24"/>
        </w:rPr>
        <w:t>生态</w:t>
      </w:r>
      <w:r>
        <w:rPr>
          <w:rFonts w:ascii="Times New Roman" w:hAnsi="Times New Roman" w:cs="Times New Roman" w:eastAsiaTheme="minorEastAsia"/>
          <w:caps w:val="0"/>
          <w:smallCaps w:val="0"/>
          <w:color w:val="000000"/>
          <w:sz w:val="24"/>
        </w:rPr>
        <w:t>环境厅</w:t>
      </w:r>
      <w:r>
        <w:rPr>
          <w:rFonts w:hint="eastAsia" w:ascii="Times New Roman" w:hAnsi="Times New Roman" w:cs="Times New Roman" w:eastAsiaTheme="minorEastAsia"/>
          <w:caps w:val="0"/>
          <w:smallCaps w:val="0"/>
          <w:color w:val="000000"/>
          <w:sz w:val="24"/>
        </w:rPr>
        <w:t>，</w:t>
      </w:r>
      <w:r>
        <w:rPr>
          <w:rFonts w:ascii="Times New Roman" w:hAnsi="Times New Roman" w:cs="Times New Roman" w:eastAsiaTheme="minorEastAsia"/>
          <w:caps w:val="0"/>
          <w:smallCaps w:val="0"/>
          <w:color w:val="000000"/>
          <w:sz w:val="24"/>
        </w:rPr>
        <w:t>湘环</w:t>
      </w:r>
      <w:r>
        <w:rPr>
          <w:rFonts w:hint="eastAsia" w:ascii="Times New Roman" w:hAnsi="Times New Roman" w:cs="Times New Roman" w:eastAsiaTheme="minorEastAsia"/>
          <w:caps w:val="0"/>
          <w:smallCaps w:val="0"/>
          <w:color w:val="000000"/>
          <w:sz w:val="24"/>
        </w:rPr>
        <w:t>函</w:t>
      </w:r>
      <w:r>
        <w:rPr>
          <w:rFonts w:ascii="Times New Roman" w:hAnsi="Times New Roman" w:cs="Times New Roman" w:eastAsiaTheme="minorEastAsia"/>
          <w:caps w:val="0"/>
          <w:smallCaps w:val="0"/>
          <w:color w:val="000000"/>
          <w:sz w:val="24"/>
        </w:rPr>
        <w:t>〔2019〕134号，2019年5月10日</w:t>
      </w:r>
      <w:r>
        <w:rPr>
          <w:rFonts w:hint="eastAsia" w:cs="Times New Roman" w:eastAsiaTheme="minorEastAsia"/>
          <w:caps w:val="0"/>
          <w:smallCaps w:val="0"/>
          <w:color w:val="000000"/>
          <w:sz w:val="24"/>
          <w:lang w:val="en-US" w:eastAsia="zh-CN"/>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cs="Times New Roman" w:eastAsiaTheme="minorEastAsia"/>
          <w:caps w:val="0"/>
          <w:smallCaps w:val="0"/>
          <w:color w:val="000000"/>
          <w:sz w:val="24"/>
          <w:u w:val="single"/>
          <w:lang w:val="en-US" w:eastAsia="zh-CN"/>
        </w:rPr>
        <w:t>18、</w:t>
      </w:r>
      <w:r>
        <w:rPr>
          <w:rFonts w:hint="eastAsia"/>
          <w:u w:val="single"/>
          <w:lang w:eastAsia="zh-CN"/>
        </w:rPr>
        <w:t>《湖南省环境保护“十四五”规划》，湘政办发〔2021〕61号，湖南省人民政府办公厅，2021年9月</w:t>
      </w:r>
      <w:r>
        <w:rPr>
          <w:rFonts w:hint="eastAsia" w:ascii="Times New Roman" w:hAnsi="Times New Roman" w:cs="Times New Roman" w:eastAsiaTheme="minorEastAsia"/>
          <w:caps w:val="0"/>
          <w:smallCaps w:val="0"/>
          <w:color w:val="000000"/>
          <w:sz w:val="24"/>
        </w:rPr>
        <w:t>。</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环境影响评价技术文件</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1、《建设项目环境影响评价技术导则</w:t>
      </w:r>
      <w:r>
        <w:rPr>
          <w:rFonts w:hint="eastAsia" w:ascii="Times New Roman" w:hAnsi="Times New Roman" w:cs="Times New Roman" w:eastAsiaTheme="minorEastAsia"/>
          <w:caps w:val="0"/>
          <w:smallCaps w:val="0"/>
          <w:color w:val="000000"/>
          <w:sz w:val="24"/>
          <w:lang w:val="en-US" w:eastAsia="zh-CN"/>
        </w:rPr>
        <w:t xml:space="preserve">  </w:t>
      </w:r>
      <w:r>
        <w:rPr>
          <w:rFonts w:ascii="Times New Roman" w:hAnsi="Times New Roman" w:cs="Times New Roman" w:eastAsiaTheme="minorEastAsia"/>
          <w:caps w:val="0"/>
          <w:smallCaps w:val="0"/>
          <w:color w:val="000000"/>
          <w:sz w:val="24"/>
        </w:rPr>
        <w:t>总纲》（HJ 2.1-2016）；</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2、《环境影响评价技术导则</w:t>
      </w:r>
      <w:r>
        <w:rPr>
          <w:rFonts w:hint="eastAsia" w:ascii="Times New Roman" w:hAnsi="Times New Roman" w:cs="Times New Roman" w:eastAsiaTheme="minorEastAsia"/>
          <w:caps w:val="0"/>
          <w:smallCaps w:val="0"/>
          <w:color w:val="000000"/>
          <w:sz w:val="24"/>
          <w:lang w:val="en-US" w:eastAsia="zh-CN"/>
        </w:rPr>
        <w:t xml:space="preserve">  </w:t>
      </w:r>
      <w:r>
        <w:rPr>
          <w:rFonts w:ascii="Times New Roman" w:hAnsi="Times New Roman" w:cs="Times New Roman" w:eastAsiaTheme="minorEastAsia"/>
          <w:caps w:val="0"/>
          <w:smallCaps w:val="0"/>
          <w:color w:val="000000"/>
          <w:sz w:val="24"/>
        </w:rPr>
        <w:t>大气环境》（HJ 2.2-2018）；</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3、《环境影响评价技术导则</w:t>
      </w:r>
      <w:r>
        <w:rPr>
          <w:rFonts w:hint="eastAsia" w:ascii="Times New Roman" w:hAnsi="Times New Roman" w:cs="Times New Roman" w:eastAsiaTheme="minorEastAsia"/>
          <w:caps w:val="0"/>
          <w:smallCaps w:val="0"/>
          <w:color w:val="000000"/>
          <w:sz w:val="24"/>
          <w:lang w:val="en-US" w:eastAsia="zh-CN"/>
        </w:rPr>
        <w:t xml:space="preserve">  </w:t>
      </w:r>
      <w:r>
        <w:rPr>
          <w:rFonts w:ascii="Times New Roman" w:hAnsi="Times New Roman" w:cs="Times New Roman" w:eastAsiaTheme="minorEastAsia"/>
          <w:caps w:val="0"/>
          <w:smallCaps w:val="0"/>
          <w:color w:val="000000"/>
          <w:sz w:val="24"/>
        </w:rPr>
        <w:t>地表水环境》（HJ 2.3-2018）；</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4、《环境影响评价技术导则</w:t>
      </w:r>
      <w:r>
        <w:rPr>
          <w:rFonts w:hint="eastAsia" w:ascii="Times New Roman" w:hAnsi="Times New Roman" w:cs="Times New Roman" w:eastAsiaTheme="minorEastAsia"/>
          <w:caps w:val="0"/>
          <w:smallCaps w:val="0"/>
          <w:color w:val="000000"/>
          <w:sz w:val="24"/>
          <w:lang w:val="en-US" w:eastAsia="zh-CN"/>
        </w:rPr>
        <w:t xml:space="preserve">  </w:t>
      </w:r>
      <w:r>
        <w:rPr>
          <w:rFonts w:ascii="Times New Roman" w:hAnsi="Times New Roman" w:cs="Times New Roman" w:eastAsiaTheme="minorEastAsia"/>
          <w:caps w:val="0"/>
          <w:smallCaps w:val="0"/>
          <w:color w:val="000000"/>
          <w:sz w:val="24"/>
        </w:rPr>
        <w:t>声环境》（HJ 2.4-2009）；</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5、《环境影响评价技术导则</w:t>
      </w:r>
      <w:r>
        <w:rPr>
          <w:rFonts w:hint="eastAsia" w:ascii="Times New Roman" w:hAnsi="Times New Roman" w:cs="Times New Roman" w:eastAsiaTheme="minorEastAsia"/>
          <w:caps w:val="0"/>
          <w:smallCaps w:val="0"/>
          <w:color w:val="000000"/>
          <w:sz w:val="24"/>
          <w:lang w:val="en-US" w:eastAsia="zh-CN"/>
        </w:rPr>
        <w:t xml:space="preserve">  </w:t>
      </w:r>
      <w:r>
        <w:rPr>
          <w:rFonts w:ascii="Times New Roman" w:hAnsi="Times New Roman" w:cs="Times New Roman" w:eastAsiaTheme="minorEastAsia"/>
          <w:caps w:val="0"/>
          <w:smallCaps w:val="0"/>
          <w:color w:val="000000"/>
          <w:sz w:val="24"/>
        </w:rPr>
        <w:t>生态影响》（HJ 19-2011）；</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6、《环境影响评价技术导则</w:t>
      </w:r>
      <w:r>
        <w:rPr>
          <w:rFonts w:hint="eastAsia" w:ascii="Times New Roman" w:hAnsi="Times New Roman" w:cs="Times New Roman" w:eastAsiaTheme="minorEastAsia"/>
          <w:caps w:val="0"/>
          <w:smallCaps w:val="0"/>
          <w:color w:val="000000"/>
          <w:sz w:val="24"/>
          <w:lang w:val="en-US" w:eastAsia="zh-CN"/>
        </w:rPr>
        <w:t xml:space="preserve">  </w:t>
      </w:r>
      <w:r>
        <w:rPr>
          <w:rFonts w:ascii="Times New Roman" w:hAnsi="Times New Roman" w:cs="Times New Roman" w:eastAsiaTheme="minorEastAsia"/>
          <w:caps w:val="0"/>
          <w:smallCaps w:val="0"/>
          <w:color w:val="000000"/>
          <w:sz w:val="24"/>
        </w:rPr>
        <w:t>地下水环境》（HJ 610-2016）；</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7、《环境影响评价技术导则</w:t>
      </w:r>
      <w:r>
        <w:rPr>
          <w:rFonts w:hint="eastAsia" w:ascii="Times New Roman" w:hAnsi="Times New Roman" w:cs="Times New Roman" w:eastAsiaTheme="minorEastAsia"/>
          <w:caps w:val="0"/>
          <w:smallCaps w:val="0"/>
          <w:color w:val="000000"/>
          <w:sz w:val="24"/>
          <w:lang w:val="en-US" w:eastAsia="zh-CN"/>
        </w:rPr>
        <w:t xml:space="preserve">  </w:t>
      </w:r>
      <w:r>
        <w:rPr>
          <w:rFonts w:ascii="Times New Roman" w:hAnsi="Times New Roman" w:cs="Times New Roman" w:eastAsiaTheme="minorEastAsia"/>
          <w:caps w:val="0"/>
          <w:smallCaps w:val="0"/>
          <w:color w:val="000000"/>
          <w:sz w:val="24"/>
        </w:rPr>
        <w:t>土壤环境（试行）》（HJ 964-2018）；</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8、《建设项目环境风险评价技术导则》（HJ 169-2018）；</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9、《</w:t>
      </w:r>
      <w:r>
        <w:rPr>
          <w:rFonts w:hint="eastAsia" w:ascii="Times New Roman" w:hAnsi="Times New Roman" w:cs="Times New Roman" w:eastAsiaTheme="minorEastAsia"/>
          <w:caps w:val="0"/>
          <w:smallCaps w:val="0"/>
          <w:color w:val="000000"/>
          <w:sz w:val="24"/>
          <w:lang w:eastAsia="zh-CN"/>
        </w:rPr>
        <w:t>水运工程建设项目环境影响评价指南</w:t>
      </w:r>
      <w:r>
        <w:rPr>
          <w:rFonts w:ascii="Times New Roman" w:hAnsi="Times New Roman" w:cs="Times New Roman" w:eastAsiaTheme="minorEastAsia"/>
          <w:caps w:val="0"/>
          <w:smallCaps w:val="0"/>
          <w:color w:val="000000"/>
          <w:sz w:val="24"/>
        </w:rPr>
        <w:t>》（JTS105</w:t>
      </w:r>
      <w:r>
        <w:rPr>
          <w:rFonts w:hint="eastAsia" w:ascii="Times New Roman" w:hAnsi="Times New Roman" w:cs="Times New Roman" w:eastAsiaTheme="minorEastAsia"/>
          <w:caps w:val="0"/>
          <w:smallCaps w:val="0"/>
          <w:color w:val="000000"/>
          <w:sz w:val="24"/>
          <w:lang w:val="en-US" w:eastAsia="zh-CN"/>
        </w:rPr>
        <w:t>-2021</w:t>
      </w:r>
      <w:r>
        <w:rPr>
          <w:rFonts w:ascii="Times New Roman" w:hAnsi="Times New Roman" w:cs="Times New Roman" w:eastAsiaTheme="minorEastAsia"/>
          <w:caps w:val="0"/>
          <w:smallCaps w:val="0"/>
          <w:color w:val="000000"/>
          <w:sz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10、</w:t>
      </w:r>
      <w:r>
        <w:rPr>
          <w:rFonts w:hint="eastAsia" w:ascii="Times New Roman" w:hAnsi="Times New Roman" w:cs="Times New Roman" w:eastAsiaTheme="minorEastAsia"/>
          <w:caps w:val="0"/>
          <w:smallCaps w:val="0"/>
          <w:color w:val="000000"/>
          <w:sz w:val="24"/>
          <w:lang w:eastAsia="zh-CN"/>
        </w:rPr>
        <w:t>《</w:t>
      </w:r>
      <w:r>
        <w:rPr>
          <w:rFonts w:hint="eastAsia" w:ascii="Times New Roman" w:hAnsi="Times New Roman" w:cs="Times New Roman" w:eastAsiaTheme="minorEastAsia"/>
          <w:caps w:val="0"/>
          <w:smallCaps w:val="0"/>
          <w:color w:val="000000"/>
          <w:sz w:val="24"/>
          <w:lang w:val="en-US" w:eastAsia="zh-CN"/>
        </w:rPr>
        <w:t>水上溢油环境风险评估技术导则</w:t>
      </w:r>
      <w:r>
        <w:rPr>
          <w:rFonts w:hint="eastAsia" w:ascii="Times New Roman" w:hAnsi="Times New Roman" w:cs="Times New Roman" w:eastAsiaTheme="minorEastAsia"/>
          <w:caps w:val="0"/>
          <w:smallCaps w:val="0"/>
          <w:color w:val="000000"/>
          <w:sz w:val="24"/>
          <w:lang w:eastAsia="zh-CN"/>
        </w:rPr>
        <w:t>》（</w:t>
      </w:r>
      <w:r>
        <w:rPr>
          <w:rFonts w:hint="eastAsia" w:ascii="Times New Roman" w:hAnsi="Times New Roman" w:cs="Times New Roman" w:eastAsiaTheme="minorEastAsia"/>
          <w:caps w:val="0"/>
          <w:smallCaps w:val="0"/>
          <w:color w:val="000000"/>
          <w:sz w:val="24"/>
          <w:lang w:val="en-US" w:eastAsia="zh-CN"/>
        </w:rPr>
        <w:t>JT/T1143-2017）</w:t>
      </w:r>
      <w:r>
        <w:rPr>
          <w:rFonts w:ascii="Times New Roman" w:hAnsi="Times New Roman" w:cs="Times New Roman" w:eastAsiaTheme="minorEastAsia"/>
          <w:caps w:val="0"/>
          <w:smallCaps w:val="0"/>
          <w:color w:val="000000"/>
          <w:sz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11、《危险化学品重大危险源辨识》（GB18218-2018）；</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12、《饮用水水源保护区划分技术规范》（HJ T338-2018）；</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13、《开发建设项目水土保持技术规范》（GB50433-2007）；</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14、《</w:t>
      </w:r>
      <w:r>
        <w:rPr>
          <w:rFonts w:hint="eastAsia" w:ascii="Times New Roman" w:hAnsi="Times New Roman" w:cs="Times New Roman" w:eastAsiaTheme="minorEastAsia"/>
          <w:caps w:val="0"/>
          <w:smallCaps w:val="0"/>
          <w:color w:val="000000"/>
          <w:sz w:val="24"/>
        </w:rPr>
        <w:t>水运工程环境保护设计规范</w:t>
      </w:r>
      <w:r>
        <w:rPr>
          <w:rFonts w:ascii="Times New Roman" w:hAnsi="Times New Roman" w:cs="Times New Roman" w:eastAsiaTheme="minorEastAsia"/>
          <w:caps w:val="0"/>
          <w:smallCaps w:val="0"/>
          <w:color w:val="000000"/>
          <w:sz w:val="24"/>
        </w:rPr>
        <w:t>》（JTS149-</w:t>
      </w:r>
      <w:r>
        <w:rPr>
          <w:rFonts w:hint="eastAsia" w:ascii="Times New Roman" w:hAnsi="Times New Roman" w:cs="Times New Roman" w:eastAsiaTheme="minorEastAsia"/>
          <w:caps w:val="0"/>
          <w:smallCaps w:val="0"/>
          <w:color w:val="000000"/>
          <w:sz w:val="24"/>
          <w:lang w:val="en-US" w:eastAsia="zh-CN"/>
        </w:rPr>
        <w:t>2018</w:t>
      </w:r>
      <w:r>
        <w:rPr>
          <w:rFonts w:ascii="Times New Roman" w:hAnsi="Times New Roman" w:cs="Times New Roman" w:eastAsiaTheme="minorEastAsia"/>
          <w:caps w:val="0"/>
          <w:smallCaps w:val="0"/>
          <w:color w:val="000000"/>
          <w:sz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15、《</w:t>
      </w:r>
      <w:r>
        <w:rPr>
          <w:rFonts w:hint="eastAsia" w:ascii="Times New Roman" w:hAnsi="Times New Roman" w:cs="Times New Roman" w:eastAsiaTheme="minorEastAsia"/>
          <w:caps w:val="0"/>
          <w:smallCaps w:val="0"/>
          <w:color w:val="000000"/>
          <w:sz w:val="24"/>
          <w:lang w:val="en-US" w:eastAsia="zh-CN"/>
        </w:rPr>
        <w:t>港口码头水上污染事故应急防备能力要求</w:t>
      </w:r>
      <w:r>
        <w:rPr>
          <w:rFonts w:ascii="Times New Roman" w:hAnsi="Times New Roman" w:cs="Times New Roman" w:eastAsiaTheme="minorEastAsia"/>
          <w:caps w:val="0"/>
          <w:smallCaps w:val="0"/>
          <w:color w:val="000000"/>
          <w:sz w:val="24"/>
        </w:rPr>
        <w:t>》（JT/T451-20</w:t>
      </w:r>
      <w:r>
        <w:rPr>
          <w:rFonts w:hint="eastAsia" w:ascii="Times New Roman" w:hAnsi="Times New Roman" w:cs="Times New Roman" w:eastAsiaTheme="minorEastAsia"/>
          <w:caps w:val="0"/>
          <w:smallCaps w:val="0"/>
          <w:color w:val="000000"/>
          <w:sz w:val="24"/>
          <w:lang w:val="en-US" w:eastAsia="zh-CN"/>
        </w:rPr>
        <w:t>17</w:t>
      </w:r>
      <w:r>
        <w:rPr>
          <w:rFonts w:ascii="Times New Roman" w:hAnsi="Times New Roman" w:cs="Times New Roman" w:eastAsiaTheme="minorEastAsia"/>
          <w:caps w:val="0"/>
          <w:smallCaps w:val="0"/>
          <w:color w:val="000000"/>
          <w:sz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16、《港口（港区）溢油应急计划编制指南》，中国海事局，2001年8月；</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17、《船舶水污染防治技术政策》（公告2018年第八号）；</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18、《河港总体设计规范》（JT</w:t>
      </w:r>
      <w:r>
        <w:rPr>
          <w:rFonts w:hint="eastAsia" w:ascii="Times New Roman" w:hAnsi="Times New Roman" w:cs="Times New Roman" w:eastAsiaTheme="minorEastAsia"/>
          <w:caps w:val="0"/>
          <w:smallCaps w:val="0"/>
          <w:color w:val="000000"/>
          <w:sz w:val="24"/>
          <w:lang w:val="en-US" w:eastAsia="zh-CN"/>
        </w:rPr>
        <w:t>S166-2020</w:t>
      </w:r>
      <w:r>
        <w:rPr>
          <w:rFonts w:ascii="Times New Roman" w:hAnsi="Times New Roman" w:cs="Times New Roman" w:eastAsiaTheme="minorEastAsia"/>
          <w:caps w:val="0"/>
          <w:smallCaps w:val="0"/>
          <w:color w:val="000000"/>
          <w:sz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19、《装卸油品码头防火设计规范》（JTJ237-2019）；</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20、《内河通航标准》（GB50139-20</w:t>
      </w:r>
      <w:r>
        <w:rPr>
          <w:rFonts w:hint="eastAsia" w:ascii="Times New Roman" w:hAnsi="Times New Roman" w:cs="Times New Roman" w:eastAsiaTheme="minorEastAsia"/>
          <w:caps w:val="0"/>
          <w:smallCaps w:val="0"/>
          <w:color w:val="000000"/>
          <w:sz w:val="24"/>
          <w:lang w:val="en-US" w:eastAsia="zh-CN"/>
        </w:rPr>
        <w:t>1</w:t>
      </w:r>
      <w:r>
        <w:rPr>
          <w:rFonts w:ascii="Times New Roman" w:hAnsi="Times New Roman" w:cs="Times New Roman" w:eastAsiaTheme="minorEastAsia"/>
          <w:caps w:val="0"/>
          <w:smallCaps w:val="0"/>
          <w:color w:val="000000"/>
          <w:sz w:val="24"/>
        </w:rPr>
        <w:t>4）；</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2</w:t>
      </w:r>
      <w:r>
        <w:rPr>
          <w:rFonts w:hint="eastAsia" w:ascii="Times New Roman" w:hAnsi="Times New Roman" w:cs="Times New Roman" w:eastAsiaTheme="minorEastAsia"/>
          <w:caps w:val="0"/>
          <w:smallCaps w:val="0"/>
          <w:color w:val="000000"/>
          <w:sz w:val="24"/>
        </w:rPr>
        <w:t>1</w:t>
      </w:r>
      <w:r>
        <w:rPr>
          <w:rFonts w:ascii="Times New Roman" w:hAnsi="Times New Roman" w:cs="Times New Roman" w:eastAsiaTheme="minorEastAsia"/>
          <w:caps w:val="0"/>
          <w:smallCaps w:val="0"/>
          <w:color w:val="000000"/>
          <w:sz w:val="24"/>
        </w:rPr>
        <w:t>、《港口与航道水文规范》（JTS145-</w:t>
      </w:r>
      <w:r>
        <w:rPr>
          <w:rFonts w:hint="eastAsia" w:ascii="Times New Roman" w:hAnsi="Times New Roman" w:cs="Times New Roman" w:eastAsiaTheme="minorEastAsia"/>
          <w:caps w:val="0"/>
          <w:smallCaps w:val="0"/>
          <w:color w:val="000000"/>
          <w:sz w:val="24"/>
          <w:lang w:val="en-US" w:eastAsia="zh-CN"/>
        </w:rPr>
        <w:t>2015</w:t>
      </w:r>
      <w:r>
        <w:rPr>
          <w:rFonts w:ascii="Times New Roman" w:hAnsi="Times New Roman" w:cs="Times New Roman" w:eastAsiaTheme="minorEastAsia"/>
          <w:caps w:val="0"/>
          <w:smallCaps w:val="0"/>
          <w:color w:val="000000"/>
          <w:sz w:val="24"/>
        </w:rPr>
        <w:t>）；</w:t>
      </w:r>
    </w:p>
    <w:p>
      <w:pPr>
        <w:tabs>
          <w:tab w:val="left" w:pos="900"/>
        </w:tabs>
        <w:snapToGrid w:val="0"/>
        <w:spacing w:line="360" w:lineRule="auto"/>
        <w:ind w:firstLine="480" w:firstLineChars="200"/>
        <w:rPr>
          <w:rFonts w:hint="eastAsia" w:ascii="Times New Roman" w:hAnsi="Times New Roman" w:cs="Times New Roman" w:eastAsiaTheme="minorEastAsia"/>
          <w:caps w:val="0"/>
          <w:smallCaps w:val="0"/>
          <w:color w:val="000000"/>
          <w:sz w:val="24"/>
          <w:lang w:val="en-US" w:eastAsia="zh-CN"/>
        </w:rPr>
      </w:pPr>
      <w:r>
        <w:rPr>
          <w:rFonts w:ascii="Times New Roman" w:hAnsi="Times New Roman" w:cs="Times New Roman" w:eastAsiaTheme="minorEastAsia"/>
          <w:caps w:val="0"/>
          <w:smallCaps w:val="0"/>
          <w:color w:val="000000"/>
          <w:sz w:val="24"/>
        </w:rPr>
        <w:t>2</w:t>
      </w:r>
      <w:r>
        <w:rPr>
          <w:rFonts w:hint="eastAsia" w:ascii="Times New Roman" w:hAnsi="Times New Roman" w:cs="Times New Roman" w:eastAsiaTheme="minorEastAsia"/>
          <w:caps w:val="0"/>
          <w:smallCaps w:val="0"/>
          <w:color w:val="000000"/>
          <w:sz w:val="24"/>
        </w:rPr>
        <w:t>2</w:t>
      </w:r>
      <w:r>
        <w:rPr>
          <w:rFonts w:ascii="Times New Roman" w:hAnsi="Times New Roman" w:cs="Times New Roman" w:eastAsiaTheme="minorEastAsia"/>
          <w:caps w:val="0"/>
          <w:smallCaps w:val="0"/>
          <w:color w:val="000000"/>
          <w:sz w:val="24"/>
        </w:rPr>
        <w:t>、《港口及航道护岸工程设计与施工规范》（JTJ300-2000）</w:t>
      </w:r>
      <w:r>
        <w:rPr>
          <w:rFonts w:hint="eastAsia" w:ascii="Times New Roman" w:hAnsi="Times New Roman" w:cs="Times New Roman" w:eastAsiaTheme="minorEastAsia"/>
          <w:caps w:val="0"/>
          <w:smallCaps w:val="0"/>
          <w:color w:val="000000"/>
          <w:sz w:val="24"/>
          <w:lang w:val="en-US" w:eastAsia="zh-CN"/>
        </w:rPr>
        <w:t>；</w:t>
      </w:r>
    </w:p>
    <w:p>
      <w:pPr>
        <w:tabs>
          <w:tab w:val="left" w:pos="900"/>
        </w:tabs>
        <w:snapToGrid w:val="0"/>
        <w:spacing w:line="360" w:lineRule="auto"/>
        <w:ind w:firstLine="480" w:firstLineChars="200"/>
        <w:rPr>
          <w:rFonts w:hint="eastAsia" w:ascii="Times New Roman" w:hAnsi="Times New Roman" w:cs="Times New Roman" w:eastAsiaTheme="minorEastAsia"/>
          <w:caps w:val="0"/>
          <w:smallCaps w:val="0"/>
          <w:color w:val="000000"/>
          <w:sz w:val="24"/>
          <w:lang w:eastAsia="zh-CN"/>
        </w:rPr>
      </w:pPr>
      <w:r>
        <w:rPr>
          <w:rFonts w:hint="eastAsia" w:ascii="Times New Roman" w:hAnsi="Times New Roman" w:cs="Times New Roman" w:eastAsiaTheme="minorEastAsia"/>
          <w:caps w:val="0"/>
          <w:smallCaps w:val="0"/>
          <w:color w:val="000000"/>
          <w:sz w:val="24"/>
          <w:lang w:val="en-US" w:eastAsia="zh-CN"/>
        </w:rPr>
        <w:t>23、</w:t>
      </w:r>
      <w:r>
        <w:rPr>
          <w:rFonts w:ascii="Times New Roman" w:hAnsi="Times New Roman" w:cs="Times New Roman" w:eastAsiaTheme="minorEastAsia"/>
          <w:caps w:val="0"/>
          <w:smallCaps w:val="0"/>
          <w:color w:val="000000"/>
          <w:sz w:val="24"/>
        </w:rPr>
        <w:t>《建设项目危险废物环境影响评价指南》（环境保护部公告2017年第43号）</w:t>
      </w:r>
      <w:r>
        <w:rPr>
          <w:rFonts w:hint="eastAsia" w:ascii="Times New Roman" w:hAnsi="Times New Roman" w:cs="Times New Roman" w:eastAsiaTheme="minorEastAsia"/>
          <w:caps w:val="0"/>
          <w:smallCaps w:val="0"/>
          <w:color w:val="000000"/>
          <w:sz w:val="24"/>
          <w:lang w:eastAsia="zh-CN"/>
        </w:rPr>
        <w:t>；</w:t>
      </w:r>
    </w:p>
    <w:p>
      <w:pPr>
        <w:tabs>
          <w:tab w:val="left" w:pos="900"/>
        </w:tabs>
        <w:snapToGrid w:val="0"/>
        <w:spacing w:line="360" w:lineRule="auto"/>
        <w:ind w:firstLine="480" w:firstLineChars="200"/>
        <w:rPr>
          <w:rFonts w:hint="eastAsia" w:ascii="Times New Roman" w:hAnsi="Times New Roman" w:cs="Times New Roman" w:eastAsiaTheme="minorEastAsia"/>
          <w:caps w:val="0"/>
          <w:smallCaps w:val="0"/>
          <w:color w:val="000000"/>
          <w:sz w:val="24"/>
          <w:lang w:val="en-US" w:eastAsia="zh-CN"/>
        </w:rPr>
      </w:pPr>
      <w:r>
        <w:rPr>
          <w:rFonts w:hint="eastAsia" w:ascii="Times New Roman" w:hAnsi="Times New Roman" w:cs="Times New Roman" w:eastAsiaTheme="minorEastAsia"/>
          <w:caps w:val="0"/>
          <w:smallCaps w:val="0"/>
          <w:color w:val="000000"/>
          <w:sz w:val="24"/>
          <w:lang w:val="en-US" w:eastAsia="zh-CN"/>
        </w:rPr>
        <w:t>24、《排污许可证申请与核发技术规范 码头》（HJ 1107-2020）；</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lang w:val="en-US" w:eastAsia="zh-CN"/>
        </w:rPr>
        <w:t>25、《船舶水污染物内河港口岸上接收设施设计指南》（JTS∕T 175-2019）</w:t>
      </w:r>
      <w:r>
        <w:rPr>
          <w:rFonts w:ascii="Times New Roman" w:hAnsi="Times New Roman" w:cs="Times New Roman" w:eastAsiaTheme="minorEastAsia"/>
          <w:caps w:val="0"/>
          <w:smallCaps w:val="0"/>
          <w:color w:val="000000"/>
          <w:sz w:val="24"/>
        </w:rPr>
        <w:t>。</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项目设计文件及参考资料</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1、《</w:t>
      </w:r>
      <w:r>
        <w:rPr>
          <w:rFonts w:hint="eastAsia" w:ascii="Times New Roman" w:hAnsi="Times New Roman" w:cs="Times New Roman" w:eastAsiaTheme="minorEastAsia"/>
          <w:caps w:val="0"/>
          <w:smallCaps w:val="0"/>
          <w:color w:val="000000"/>
          <w:sz w:val="24"/>
          <w:szCs w:val="24"/>
        </w:rPr>
        <w:t>湖南海丰物流有限公司老码头提质改造技改项目</w:t>
      </w:r>
      <w:r>
        <w:rPr>
          <w:rFonts w:ascii="Times New Roman" w:hAnsi="Times New Roman" w:cs="Times New Roman" w:eastAsiaTheme="minorEastAsia"/>
          <w:caps w:val="0"/>
          <w:smallCaps w:val="0"/>
          <w:color w:val="000000"/>
          <w:sz w:val="24"/>
          <w:szCs w:val="24"/>
        </w:rPr>
        <w:t>工程可行性研究报告》（202</w:t>
      </w:r>
      <w:r>
        <w:rPr>
          <w:rFonts w:hint="eastAsia" w:ascii="Times New Roman" w:hAnsi="Times New Roman" w:cs="Times New Roman" w:eastAsiaTheme="minorEastAsia"/>
          <w:caps w:val="0"/>
          <w:smallCaps w:val="0"/>
          <w:color w:val="000000"/>
          <w:sz w:val="24"/>
          <w:szCs w:val="24"/>
        </w:rPr>
        <w:t>1</w:t>
      </w:r>
      <w:r>
        <w:rPr>
          <w:rFonts w:ascii="Times New Roman" w:hAnsi="Times New Roman" w:cs="Times New Roman" w:eastAsiaTheme="minorEastAsia"/>
          <w:caps w:val="0"/>
          <w:smallCaps w:val="0"/>
          <w:color w:val="000000"/>
          <w:sz w:val="24"/>
          <w:szCs w:val="24"/>
        </w:rPr>
        <w:t>年2月，报批稿），</w:t>
      </w:r>
      <w:r>
        <w:rPr>
          <w:rFonts w:hint="eastAsia" w:ascii="Times New Roman" w:hAnsi="Times New Roman" w:cs="Times New Roman" w:eastAsiaTheme="minorEastAsia"/>
          <w:caps w:val="0"/>
          <w:smallCaps w:val="0"/>
          <w:color w:val="000000"/>
          <w:sz w:val="24"/>
          <w:szCs w:val="24"/>
        </w:rPr>
        <w:t>湖南省交通规划勘察设计院有限公司</w:t>
      </w:r>
      <w:r>
        <w:rPr>
          <w:rFonts w:ascii="Times New Roman" w:hAnsi="Times New Roman" w:cs="Times New Roman" w:eastAsiaTheme="minorEastAsia"/>
          <w:caps w:val="0"/>
          <w:smallCaps w:val="0"/>
          <w:color w:val="000000"/>
          <w:sz w:val="24"/>
          <w:szCs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2、《</w:t>
      </w:r>
      <w:r>
        <w:rPr>
          <w:rFonts w:hint="eastAsia" w:ascii="Times New Roman" w:hAnsi="Times New Roman" w:cs="Times New Roman" w:eastAsiaTheme="minorEastAsia"/>
          <w:caps w:val="0"/>
          <w:smallCaps w:val="0"/>
          <w:color w:val="000000"/>
          <w:sz w:val="24"/>
          <w:szCs w:val="24"/>
        </w:rPr>
        <w:t>关于对&lt;湖南海丰物流有限公司老码头提质改造技改项目方案设计&gt;的批复</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岳地海批[2021]4号，岳阳市地方海事局，2021年3月19日</w:t>
      </w:r>
      <w:r>
        <w:rPr>
          <w:rFonts w:ascii="Times New Roman" w:hAnsi="Times New Roman" w:cs="Times New Roman" w:eastAsiaTheme="minorEastAsia"/>
          <w:caps w:val="0"/>
          <w:smallCaps w:val="0"/>
          <w:color w:val="000000"/>
          <w:sz w:val="24"/>
          <w:szCs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3、《岳阳港总体规划》（2035</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年</w:t>
      </w:r>
      <w:r>
        <w:rPr>
          <w:rFonts w:ascii="Times New Roman" w:hAnsi="Times New Roman" w:cs="Times New Roman" w:eastAsiaTheme="minorEastAsia"/>
          <w:caps w:val="0"/>
          <w:smallCaps w:val="0"/>
          <w:color w:val="000000"/>
          <w:sz w:val="24"/>
          <w:szCs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4、《湖南省人民政府办公厅关于印发〈洞庭湖和湘资沅澧四水非法码头渡口专项整治工作方案〉的通知》（湘政办函〔</w:t>
      </w:r>
      <w:r>
        <w:rPr>
          <w:rFonts w:ascii="Times New Roman" w:hAnsi="Times New Roman" w:cs="Times New Roman" w:eastAsiaTheme="minorEastAsia"/>
          <w:caps w:val="0"/>
          <w:smallCaps w:val="0"/>
          <w:color w:val="000000"/>
          <w:sz w:val="24"/>
          <w:szCs w:val="24"/>
        </w:rPr>
        <w:t>2020</w:t>
      </w:r>
      <w:r>
        <w:rPr>
          <w:rFonts w:hint="eastAsia" w:ascii="Times New Roman" w:hAnsi="Times New Roman" w:cs="Times New Roman" w:eastAsiaTheme="minorEastAsia"/>
          <w:caps w:val="0"/>
          <w:smallCaps w:val="0"/>
          <w:color w:val="000000"/>
          <w:sz w:val="24"/>
          <w:szCs w:val="24"/>
        </w:rPr>
        <w:t>〕）</w:t>
      </w:r>
      <w:r>
        <w:rPr>
          <w:rFonts w:ascii="Times New Roman" w:hAnsi="Times New Roman" w:cs="Times New Roman" w:eastAsiaTheme="minorEastAsia"/>
          <w:caps w:val="0"/>
          <w:smallCaps w:val="0"/>
          <w:color w:val="000000"/>
          <w:sz w:val="24"/>
          <w:szCs w:val="24"/>
        </w:rPr>
        <w:t>8</w:t>
      </w:r>
      <w:r>
        <w:rPr>
          <w:rFonts w:hint="eastAsia" w:ascii="Times New Roman" w:hAnsi="Times New Roman" w:cs="Times New Roman" w:eastAsiaTheme="minorEastAsia"/>
          <w:caps w:val="0"/>
          <w:smallCaps w:val="0"/>
          <w:color w:val="000000"/>
          <w:sz w:val="24"/>
          <w:szCs w:val="24"/>
        </w:rPr>
        <w:t>号）；</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5、《湖南省交通运输厅关于</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一江一湖四水</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港口码头专项整治工作有关事项的通知》（湘交港航〔</w:t>
      </w:r>
      <w:r>
        <w:rPr>
          <w:rFonts w:ascii="Times New Roman" w:hAnsi="Times New Roman" w:cs="Times New Roman" w:eastAsiaTheme="minorEastAsia"/>
          <w:caps w:val="0"/>
          <w:smallCaps w:val="0"/>
          <w:color w:val="000000"/>
          <w:sz w:val="24"/>
          <w:szCs w:val="24"/>
        </w:rPr>
        <w:t>2020</w:t>
      </w:r>
      <w:r>
        <w:rPr>
          <w:rFonts w:hint="eastAsia" w:ascii="Times New Roman" w:hAnsi="Times New Roman" w:cs="Times New Roman" w:eastAsiaTheme="minorEastAsia"/>
          <w:caps w:val="0"/>
          <w:smallCaps w:val="0"/>
          <w:color w:val="000000"/>
          <w:sz w:val="24"/>
          <w:szCs w:val="24"/>
        </w:rPr>
        <w:t>〕</w:t>
      </w:r>
      <w:r>
        <w:rPr>
          <w:rFonts w:ascii="Times New Roman" w:hAnsi="Times New Roman" w:cs="Times New Roman" w:eastAsiaTheme="minorEastAsia"/>
          <w:caps w:val="0"/>
          <w:smallCaps w:val="0"/>
          <w:color w:val="000000"/>
          <w:sz w:val="24"/>
          <w:szCs w:val="24"/>
        </w:rPr>
        <w:t>71</w:t>
      </w:r>
      <w:r>
        <w:rPr>
          <w:rFonts w:hint="eastAsia" w:ascii="Times New Roman" w:hAnsi="Times New Roman" w:cs="Times New Roman" w:eastAsiaTheme="minorEastAsia"/>
          <w:caps w:val="0"/>
          <w:smallCaps w:val="0"/>
          <w:color w:val="000000"/>
          <w:sz w:val="24"/>
          <w:szCs w:val="24"/>
        </w:rPr>
        <w:t>号）；</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6、《关于印发</w:t>
      </w:r>
      <w:r>
        <w:rPr>
          <w:rFonts w:ascii="Times New Roman" w:hAnsi="Times New Roman" w:cs="Times New Roman" w:eastAsiaTheme="minorEastAsia"/>
          <w:caps w:val="0"/>
          <w:smallCaps w:val="0"/>
          <w:color w:val="000000"/>
          <w:sz w:val="24"/>
          <w:szCs w:val="24"/>
        </w:rPr>
        <w:t>&lt;</w:t>
      </w:r>
      <w:r>
        <w:rPr>
          <w:rFonts w:hint="eastAsia" w:ascii="Times New Roman" w:hAnsi="Times New Roman" w:cs="Times New Roman" w:eastAsiaTheme="minorEastAsia"/>
          <w:caps w:val="0"/>
          <w:smallCaps w:val="0"/>
          <w:color w:val="000000"/>
          <w:sz w:val="24"/>
          <w:szCs w:val="24"/>
        </w:rPr>
        <w:t>湘江资水沅水岳阳段港口码头专项整治方案</w:t>
      </w:r>
      <w:r>
        <w:rPr>
          <w:rFonts w:ascii="Times New Roman" w:hAnsi="Times New Roman" w:cs="Times New Roman" w:eastAsiaTheme="minorEastAsia"/>
          <w:caps w:val="0"/>
          <w:smallCaps w:val="0"/>
          <w:color w:val="000000"/>
          <w:sz w:val="24"/>
          <w:szCs w:val="24"/>
        </w:rPr>
        <w:t>&gt;</w:t>
      </w:r>
      <w:r>
        <w:rPr>
          <w:rFonts w:hint="eastAsia" w:ascii="Times New Roman" w:hAnsi="Times New Roman" w:cs="Times New Roman" w:eastAsiaTheme="minorEastAsia"/>
          <w:caps w:val="0"/>
          <w:smallCaps w:val="0"/>
          <w:color w:val="000000"/>
          <w:sz w:val="24"/>
          <w:szCs w:val="24"/>
        </w:rPr>
        <w:t>的通知》（岳政办函</w:t>
      </w:r>
      <w:r>
        <w:rPr>
          <w:rFonts w:ascii="Times New Roman" w:hAnsi="Times New Roman" w:cs="Times New Roman" w:eastAsiaTheme="minorEastAsia"/>
          <w:caps w:val="0"/>
          <w:smallCaps w:val="0"/>
          <w:color w:val="000000"/>
          <w:sz w:val="24"/>
          <w:szCs w:val="24"/>
        </w:rPr>
        <w:t>[2020]39</w:t>
      </w:r>
      <w:r>
        <w:rPr>
          <w:rFonts w:hint="eastAsia" w:ascii="Times New Roman" w:hAnsi="Times New Roman" w:cs="Times New Roman" w:eastAsiaTheme="minorEastAsia"/>
          <w:caps w:val="0"/>
          <w:smallCaps w:val="0"/>
          <w:color w:val="000000"/>
          <w:sz w:val="24"/>
          <w:szCs w:val="24"/>
        </w:rPr>
        <w:t>号）；</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7、《</w:t>
      </w:r>
      <w:r>
        <w:rPr>
          <w:rFonts w:hint="eastAsia" w:ascii="Times New Roman" w:hAnsi="Times New Roman" w:cs="Times New Roman" w:eastAsiaTheme="minorEastAsia"/>
          <w:caps w:val="0"/>
          <w:smallCaps w:val="0"/>
          <w:color w:val="000000"/>
          <w:sz w:val="24"/>
          <w:szCs w:val="24"/>
        </w:rPr>
        <w:t>关于对&lt;湖南海丰物流有限公司码头现状综合评估报告&gt;的审核意见</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岳地海批[2021]10号，岳阳市地方海事局，2021年2月7日</w:t>
      </w:r>
      <w:r>
        <w:rPr>
          <w:rFonts w:ascii="Times New Roman" w:hAnsi="Times New Roman" w:cs="Times New Roman" w:eastAsiaTheme="minorEastAsia"/>
          <w:caps w:val="0"/>
          <w:smallCaps w:val="0"/>
          <w:color w:val="000000"/>
          <w:sz w:val="24"/>
          <w:szCs w:val="24"/>
        </w:rPr>
        <w:t>；</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8、《</w:t>
      </w:r>
      <w:r>
        <w:rPr>
          <w:rFonts w:hint="eastAsia" w:ascii="Times New Roman" w:hAnsi="Times New Roman" w:cs="Times New Roman" w:eastAsiaTheme="minorEastAsia"/>
          <w:caps w:val="0"/>
          <w:smallCaps w:val="0"/>
          <w:color w:val="000000"/>
          <w:sz w:val="24"/>
          <w:szCs w:val="24"/>
        </w:rPr>
        <w:t>湖南海丰物流老码头提质改造技改项目备案证明</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岳阳市屈原管理区发展和改革局</w:t>
      </w:r>
      <w:r>
        <w:rPr>
          <w:rFonts w:ascii="Times New Roman" w:hAnsi="Times New Roman" w:cs="Times New Roman" w:eastAsiaTheme="minorEastAsia"/>
          <w:caps w:val="0"/>
          <w:smallCaps w:val="0"/>
          <w:color w:val="000000"/>
          <w:sz w:val="24"/>
          <w:szCs w:val="24"/>
        </w:rPr>
        <w:t>，20</w:t>
      </w:r>
      <w:r>
        <w:rPr>
          <w:rFonts w:hint="eastAsia" w:ascii="Times New Roman" w:hAnsi="Times New Roman" w:cs="Times New Roman" w:eastAsiaTheme="minorEastAsia"/>
          <w:caps w:val="0"/>
          <w:smallCaps w:val="0"/>
          <w:color w:val="000000"/>
          <w:sz w:val="24"/>
          <w:szCs w:val="24"/>
        </w:rPr>
        <w:t>20</w:t>
      </w:r>
      <w:r>
        <w:rPr>
          <w:rFonts w:ascii="Times New Roman" w:hAnsi="Times New Roman" w:cs="Times New Roman" w:eastAsiaTheme="minorEastAsia"/>
          <w:caps w:val="0"/>
          <w:smallCaps w:val="0"/>
          <w:color w:val="000000"/>
          <w:sz w:val="24"/>
          <w:szCs w:val="24"/>
        </w:rPr>
        <w:t>年</w:t>
      </w:r>
      <w:r>
        <w:rPr>
          <w:rFonts w:hint="eastAsia" w:ascii="Times New Roman" w:hAnsi="Times New Roman" w:cs="Times New Roman" w:eastAsiaTheme="minorEastAsia"/>
          <w:caps w:val="0"/>
          <w:smallCaps w:val="0"/>
          <w:color w:val="000000"/>
          <w:sz w:val="24"/>
          <w:szCs w:val="24"/>
        </w:rPr>
        <w:t>10</w:t>
      </w:r>
      <w:r>
        <w:rPr>
          <w:rFonts w:ascii="Times New Roman" w:hAnsi="Times New Roman" w:cs="Times New Roman" w:eastAsiaTheme="minorEastAsia"/>
          <w:caps w:val="0"/>
          <w:smallCaps w:val="0"/>
          <w:color w:val="000000"/>
          <w:sz w:val="24"/>
          <w:szCs w:val="24"/>
        </w:rPr>
        <w:t>月</w:t>
      </w:r>
      <w:r>
        <w:rPr>
          <w:rFonts w:hint="eastAsia" w:ascii="Times New Roman" w:hAnsi="Times New Roman" w:cs="Times New Roman" w:eastAsiaTheme="minorEastAsia"/>
          <w:caps w:val="0"/>
          <w:smallCaps w:val="0"/>
          <w:color w:val="000000"/>
          <w:sz w:val="24"/>
          <w:szCs w:val="24"/>
        </w:rPr>
        <w:t>27日</w:t>
      </w:r>
      <w:r>
        <w:rPr>
          <w:rFonts w:ascii="Times New Roman" w:hAnsi="Times New Roman" w:cs="Times New Roman" w:eastAsiaTheme="minorEastAsia"/>
          <w:caps w:val="0"/>
          <w:smallCaps w:val="0"/>
          <w:color w:val="000000"/>
          <w:sz w:val="24"/>
          <w:szCs w:val="24"/>
        </w:rPr>
        <w:t>。</w:t>
      </w:r>
    </w:p>
    <w:p>
      <w:pPr>
        <w:tabs>
          <w:tab w:val="left" w:pos="900"/>
        </w:tabs>
        <w:snapToGrid w:val="0"/>
        <w:spacing w:line="360" w:lineRule="auto"/>
        <w:ind w:firstLine="480" w:firstLineChars="200"/>
        <w:rPr>
          <w:rFonts w:hint="eastAsia" w:ascii="Times New Roman" w:hAnsi="Times New Roman" w:cs="Times New Roman" w:eastAsiaTheme="minorEastAsia"/>
          <w:bCs/>
          <w:caps w:val="0"/>
          <w:smallCaps w:val="0"/>
          <w:sz w:val="24"/>
        </w:rPr>
      </w:pPr>
      <w:r>
        <w:rPr>
          <w:rFonts w:ascii="Times New Roman" w:hAnsi="Times New Roman" w:cs="Times New Roman" w:eastAsiaTheme="minorEastAsia"/>
          <w:caps w:val="0"/>
          <w:smallCaps w:val="0"/>
          <w:color w:val="000000"/>
          <w:sz w:val="24"/>
          <w:szCs w:val="24"/>
        </w:rPr>
        <w:t>9、</w:t>
      </w:r>
      <w:r>
        <w:rPr>
          <w:rFonts w:hint="eastAsia" w:ascii="Times New Roman" w:hAnsi="Times New Roman" w:cs="Times New Roman" w:eastAsiaTheme="minorEastAsia"/>
          <w:bCs/>
          <w:caps w:val="0"/>
          <w:smallCaps w:val="0"/>
          <w:sz w:val="24"/>
        </w:rPr>
        <w:t>中华人民共和国生态环境部关于《岳阳港总体规划（2017-2035年）环境影响报告书》的审查意见（环审〔2020〕65号</w:t>
      </w:r>
      <w:r>
        <w:rPr>
          <w:rFonts w:ascii="Times New Roman" w:hAnsi="Times New Roman" w:cs="Times New Roman" w:eastAsiaTheme="minorEastAsia"/>
          <w:bCs/>
          <w:caps w:val="0"/>
          <w:smallCaps w:val="0"/>
          <w:sz w:val="24"/>
        </w:rPr>
        <w:t>）</w:t>
      </w:r>
      <w:r>
        <w:rPr>
          <w:rFonts w:hint="eastAsia" w:ascii="Times New Roman" w:hAnsi="Times New Roman" w:cs="Times New Roman" w:eastAsiaTheme="minorEastAsia"/>
          <w:bCs/>
          <w:caps w:val="0"/>
          <w:smallCaps w:val="0"/>
          <w:sz w:val="24"/>
        </w:rPr>
        <w:t>；</w:t>
      </w:r>
    </w:p>
    <w:p>
      <w:pPr>
        <w:pStyle w:val="69"/>
        <w:rPr>
          <w:rFonts w:hint="eastAsia" w:ascii="Times New Roman" w:hAnsi="Times New Roman" w:cs="Times New Roman" w:eastAsiaTheme="minorEastAsia"/>
          <w:bCs/>
          <w:caps w:val="0"/>
          <w:smallCaps w:val="0"/>
          <w:sz w:val="24"/>
          <w:lang w:val="en-US" w:eastAsia="zh-CN"/>
        </w:rPr>
      </w:pPr>
      <w:r>
        <w:rPr>
          <w:rFonts w:hint="eastAsia" w:ascii="Times New Roman" w:hAnsi="Times New Roman" w:cs="Times New Roman" w:eastAsiaTheme="minorEastAsia"/>
          <w:bCs/>
          <w:caps w:val="0"/>
          <w:smallCaps w:val="0"/>
          <w:sz w:val="24"/>
          <w:lang w:val="en-US" w:eastAsia="zh-CN"/>
        </w:rPr>
        <w:t>10、《湖南海丰物流老码头提质改造技改项目对岳阳市东洞庭湖江豚自然保护区影响专题论证报告》（武汉市伊美净科技有限公司，2021年12月）；</w:t>
      </w:r>
    </w:p>
    <w:p>
      <w:pPr>
        <w:tabs>
          <w:tab w:val="left" w:pos="900"/>
        </w:tabs>
        <w:snapToGrid w:val="0"/>
        <w:spacing w:line="360" w:lineRule="auto"/>
        <w:ind w:firstLine="480" w:firstLineChars="200"/>
        <w:rPr>
          <w:rFonts w:hint="eastAsia" w:cs="Times New Roman" w:eastAsiaTheme="minorEastAsia"/>
          <w:bCs/>
          <w:caps w:val="0"/>
          <w:smallCaps w:val="0"/>
          <w:sz w:val="24"/>
          <w:lang w:val="en-US" w:eastAsia="zh-CN"/>
        </w:rPr>
      </w:pPr>
      <w:r>
        <w:rPr>
          <w:rFonts w:hint="eastAsia" w:ascii="Times New Roman" w:hAnsi="Times New Roman" w:cs="Times New Roman" w:eastAsiaTheme="minorEastAsia"/>
          <w:bCs/>
          <w:caps w:val="0"/>
          <w:smallCaps w:val="0"/>
          <w:sz w:val="24"/>
          <w:lang w:val="en-US" w:eastAsia="zh-CN"/>
        </w:rPr>
        <w:t>11、《关于&lt;关于申请开展湖南海丰物流老码头提质改造技改项目对岳阳市东洞庭湖江豚自然保护区影响专题论证报告审查的函&gt;的复函》，岳豚保函[2021]7号，岳阳市洞庭湖江豚保护中心、岳阳市水产种质资源保护中心，2021年12月13日</w:t>
      </w:r>
      <w:r>
        <w:rPr>
          <w:rFonts w:hint="eastAsia" w:cs="Times New Roman" w:eastAsiaTheme="minorEastAsia"/>
          <w:bCs/>
          <w:caps w:val="0"/>
          <w:smallCaps w:val="0"/>
          <w:sz w:val="24"/>
          <w:lang w:val="en-US" w:eastAsia="zh-CN"/>
        </w:rPr>
        <w:t>；</w:t>
      </w:r>
    </w:p>
    <w:p>
      <w:pPr>
        <w:tabs>
          <w:tab w:val="left" w:pos="900"/>
        </w:tabs>
        <w:snapToGrid w:val="0"/>
        <w:spacing w:line="360" w:lineRule="auto"/>
        <w:ind w:firstLine="480" w:firstLineChars="200"/>
        <w:rPr>
          <w:rFonts w:hint="eastAsia" w:cs="Times New Roman" w:eastAsiaTheme="minorEastAsia"/>
          <w:bCs/>
          <w:caps w:val="0"/>
          <w:smallCaps w:val="0"/>
          <w:sz w:val="24"/>
          <w:lang w:val="en-US" w:eastAsia="zh-CN"/>
        </w:rPr>
      </w:pPr>
      <w:r>
        <w:rPr>
          <w:rFonts w:hint="eastAsia" w:cs="Times New Roman" w:eastAsiaTheme="minorEastAsia"/>
          <w:bCs/>
          <w:caps w:val="0"/>
          <w:smallCaps w:val="0"/>
          <w:sz w:val="24"/>
          <w:lang w:val="en-US" w:eastAsia="zh-CN"/>
        </w:rPr>
        <w:t>12、《湖南省交通运输厅关于湖南海丰物流有限公司老码头提质改造技改项目安全条件审查的意见》，湘交函[2021]666号，2021年12月1日；</w:t>
      </w:r>
    </w:p>
    <w:p>
      <w:pPr>
        <w:tabs>
          <w:tab w:val="left" w:pos="900"/>
        </w:tabs>
        <w:snapToGrid w:val="0"/>
        <w:spacing w:line="360" w:lineRule="auto"/>
        <w:ind w:firstLine="480" w:firstLineChars="200"/>
        <w:rPr>
          <w:rFonts w:ascii="Times New Roman" w:hAnsi="Times New Roman" w:cs="Times New Roman" w:eastAsiaTheme="minorEastAsia"/>
          <w:bCs/>
          <w:caps w:val="0"/>
          <w:smallCaps w:val="0"/>
          <w:sz w:val="24"/>
        </w:rPr>
      </w:pPr>
      <w:r>
        <w:rPr>
          <w:rFonts w:hint="eastAsia" w:cs="Times New Roman" w:eastAsiaTheme="minorEastAsia"/>
          <w:bCs/>
          <w:caps w:val="0"/>
          <w:smallCaps w:val="0"/>
          <w:sz w:val="24"/>
          <w:lang w:val="en-US" w:eastAsia="zh-CN"/>
        </w:rPr>
        <w:t>13、《湖南省交通运输厅关于湖南海丰物流老码头提质改造技改项目航道通航条件影响评价的审核意见》，湘交函[2021]512号，2021年9月22日</w:t>
      </w:r>
      <w:r>
        <w:rPr>
          <w:rFonts w:hint="eastAsia" w:ascii="Times New Roman" w:hAnsi="Times New Roman" w:cs="Times New Roman" w:eastAsiaTheme="minorEastAsia"/>
          <w:bCs/>
          <w:caps w:val="0"/>
          <w:smallCaps w:val="0"/>
          <w:sz w:val="24"/>
          <w:lang w:val="en-US" w:eastAsia="zh-CN"/>
        </w:rPr>
        <w:t>。</w:t>
      </w:r>
    </w:p>
    <w:p>
      <w:pPr>
        <w:pStyle w:val="5"/>
        <w:rPr>
          <w:rFonts w:ascii="Times New Roman" w:hAnsi="Times New Roman" w:cs="Times New Roman" w:eastAsiaTheme="minorEastAsia"/>
          <w:b/>
          <w:caps w:val="0"/>
          <w:smallCaps w:val="0"/>
        </w:rPr>
      </w:pPr>
      <w:bookmarkStart w:id="16" w:name="_Toc16527"/>
      <w:r>
        <w:rPr>
          <w:rFonts w:ascii="Times New Roman" w:hAnsi="Times New Roman" w:cs="Times New Roman" w:eastAsiaTheme="minorEastAsia"/>
          <w:b/>
          <w:caps w:val="0"/>
          <w:smallCaps w:val="0"/>
        </w:rPr>
        <w:t>环境影响因素识别及评价因子筛选</w:t>
      </w:r>
      <w:bookmarkEnd w:id="16"/>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环境影响因素识别</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采用矩阵识别法对拟建项目在施工期和运行期产生的环境影响因素进行识别，识别结果见表2.3-1。</w:t>
      </w:r>
    </w:p>
    <w:p>
      <w:pPr>
        <w:tabs>
          <w:tab w:val="left" w:pos="900"/>
        </w:tabs>
        <w:snapToGrid w:val="0"/>
        <w:spacing w:line="276" w:lineRule="auto"/>
        <w:jc w:val="center"/>
        <w:rPr>
          <w:rFonts w:ascii="Times New Roman" w:hAnsi="Times New Roman" w:cs="Times New Roman"/>
          <w:b/>
          <w:caps w:val="0"/>
          <w:smallCaps w:val="0"/>
          <w:color w:val="000000"/>
          <w:sz w:val="24"/>
          <w:szCs w:val="24"/>
        </w:rPr>
      </w:pPr>
      <w:r>
        <w:rPr>
          <w:rFonts w:ascii="Times New Roman" w:hAnsi="Times New Roman" w:cs="Times New Roman" w:eastAsiaTheme="minorEastAsia"/>
          <w:b/>
          <w:caps w:val="0"/>
          <w:smallCaps w:val="0"/>
          <w:color w:val="000000"/>
          <w:sz w:val="24"/>
          <w:szCs w:val="24"/>
        </w:rPr>
        <w:t>表2.3-1</w:t>
      </w:r>
      <w:r>
        <w:rPr>
          <w:rFonts w:ascii="Times New Roman" w:hAnsi="Times New Roman" w:cs="Times New Roman"/>
          <w:b/>
          <w:caps w:val="0"/>
          <w:smallCaps w:val="0"/>
          <w:color w:val="000000"/>
          <w:sz w:val="24"/>
          <w:szCs w:val="24"/>
        </w:rPr>
        <w:t>环境影响因素识别矩阵</w:t>
      </w:r>
    </w:p>
    <w:tbl>
      <w:tblPr>
        <w:tblStyle w:val="71"/>
        <w:tblW w:w="499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893"/>
        <w:gridCol w:w="1545"/>
        <w:gridCol w:w="590"/>
        <w:gridCol w:w="1329"/>
        <w:gridCol w:w="684"/>
        <w:gridCol w:w="1243"/>
        <w:gridCol w:w="774"/>
        <w:gridCol w:w="1019"/>
        <w:gridCol w:w="101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blHeader/>
          <w:jc w:val="center"/>
        </w:trPr>
        <w:tc>
          <w:tcPr>
            <w:tcW w:w="1340" w:type="pct"/>
            <w:gridSpan w:val="2"/>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项目组成</w:t>
            </w:r>
          </w:p>
        </w:tc>
        <w:tc>
          <w:tcPr>
            <w:tcW w:w="324"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水文</w:t>
            </w:r>
          </w:p>
        </w:tc>
        <w:tc>
          <w:tcPr>
            <w:tcW w:w="73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岸线变化</w:t>
            </w:r>
          </w:p>
        </w:tc>
        <w:tc>
          <w:tcPr>
            <w:tcW w:w="376"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水质</w:t>
            </w:r>
          </w:p>
        </w:tc>
        <w:tc>
          <w:tcPr>
            <w:tcW w:w="683"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空气质量</w:t>
            </w:r>
          </w:p>
        </w:tc>
        <w:tc>
          <w:tcPr>
            <w:tcW w:w="425"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噪声</w:t>
            </w:r>
          </w:p>
        </w:tc>
        <w:tc>
          <w:tcPr>
            <w:tcW w:w="56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水域生态</w:t>
            </w:r>
          </w:p>
        </w:tc>
        <w:tc>
          <w:tcPr>
            <w:tcW w:w="56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陆域生态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1" w:type="pct"/>
            <w:vMerge w:val="restar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施工期</w:t>
            </w:r>
          </w:p>
        </w:tc>
        <w:tc>
          <w:tcPr>
            <w:tcW w:w="848"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码头、引桥平台</w:t>
            </w:r>
          </w:p>
        </w:tc>
        <w:tc>
          <w:tcPr>
            <w:tcW w:w="324" w:type="pct"/>
            <w:noWrap/>
            <w:vAlign w:val="center"/>
          </w:tcPr>
          <w:p>
            <w:pPr>
              <w:pStyle w:val="117"/>
              <w:bidi w:val="0"/>
              <w:rPr>
                <w:rFonts w:ascii="Times New Roman" w:hAnsi="Times New Roman" w:cs="Times New Roman"/>
                <w:caps w:val="0"/>
                <w:smallCaps w:val="0"/>
              </w:rPr>
            </w:pPr>
          </w:p>
        </w:tc>
        <w:tc>
          <w:tcPr>
            <w:tcW w:w="730" w:type="pct"/>
            <w:noWrap/>
            <w:vAlign w:val="center"/>
          </w:tcPr>
          <w:p>
            <w:pPr>
              <w:pStyle w:val="117"/>
              <w:bidi w:val="0"/>
              <w:rPr>
                <w:rFonts w:ascii="Times New Roman" w:hAnsi="Times New Roman" w:cs="Times New Roman"/>
                <w:caps w:val="0"/>
                <w:smallCaps w:val="0"/>
              </w:rPr>
            </w:pPr>
          </w:p>
        </w:tc>
        <w:tc>
          <w:tcPr>
            <w:tcW w:w="376"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3" w:type="pct"/>
            <w:noWrap/>
            <w:vAlign w:val="center"/>
          </w:tcPr>
          <w:p>
            <w:pPr>
              <w:pStyle w:val="117"/>
              <w:bidi w:val="0"/>
              <w:rPr>
                <w:rFonts w:ascii="Times New Roman" w:hAnsi="Times New Roman" w:cs="Times New Roman"/>
                <w:caps w:val="0"/>
                <w:smallCaps w:val="0"/>
              </w:rPr>
            </w:pPr>
          </w:p>
        </w:tc>
        <w:tc>
          <w:tcPr>
            <w:tcW w:w="425"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p>
        </w:tc>
        <w:tc>
          <w:tcPr>
            <w:tcW w:w="560" w:type="pct"/>
            <w:noWrap/>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1" w:type="pct"/>
            <w:vMerge w:val="continue"/>
            <w:noWrap/>
            <w:vAlign w:val="center"/>
          </w:tcPr>
          <w:p>
            <w:pPr>
              <w:pStyle w:val="117"/>
              <w:bidi w:val="0"/>
              <w:rPr>
                <w:rFonts w:ascii="Times New Roman" w:hAnsi="Times New Roman" w:cs="Times New Roman"/>
                <w:caps w:val="0"/>
                <w:smallCaps w:val="0"/>
              </w:rPr>
            </w:pPr>
          </w:p>
        </w:tc>
        <w:tc>
          <w:tcPr>
            <w:tcW w:w="848"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打桩</w:t>
            </w:r>
          </w:p>
        </w:tc>
        <w:tc>
          <w:tcPr>
            <w:tcW w:w="324"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730" w:type="pct"/>
            <w:noWrap/>
            <w:vAlign w:val="center"/>
          </w:tcPr>
          <w:p>
            <w:pPr>
              <w:pStyle w:val="117"/>
              <w:bidi w:val="0"/>
              <w:rPr>
                <w:rFonts w:ascii="Times New Roman" w:hAnsi="Times New Roman" w:cs="Times New Roman"/>
                <w:caps w:val="0"/>
                <w:smallCaps w:val="0"/>
              </w:rPr>
            </w:pPr>
          </w:p>
        </w:tc>
        <w:tc>
          <w:tcPr>
            <w:tcW w:w="376"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3" w:type="pct"/>
            <w:noWrap/>
            <w:vAlign w:val="center"/>
          </w:tcPr>
          <w:p>
            <w:pPr>
              <w:pStyle w:val="117"/>
              <w:bidi w:val="0"/>
              <w:rPr>
                <w:rFonts w:ascii="Times New Roman" w:hAnsi="Times New Roman" w:cs="Times New Roman"/>
                <w:caps w:val="0"/>
                <w:smallCaps w:val="0"/>
              </w:rPr>
            </w:pPr>
          </w:p>
        </w:tc>
        <w:tc>
          <w:tcPr>
            <w:tcW w:w="425"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1" w:type="pct"/>
            <w:vMerge w:val="continue"/>
            <w:noWrap/>
            <w:vAlign w:val="center"/>
          </w:tcPr>
          <w:p>
            <w:pPr>
              <w:pStyle w:val="117"/>
              <w:bidi w:val="0"/>
              <w:rPr>
                <w:rFonts w:ascii="Times New Roman" w:hAnsi="Times New Roman" w:cs="Times New Roman"/>
                <w:caps w:val="0"/>
                <w:smallCaps w:val="0"/>
              </w:rPr>
            </w:pPr>
          </w:p>
        </w:tc>
        <w:tc>
          <w:tcPr>
            <w:tcW w:w="848"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清淤</w:t>
            </w:r>
          </w:p>
        </w:tc>
        <w:tc>
          <w:tcPr>
            <w:tcW w:w="324"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730" w:type="pct"/>
            <w:noWrap/>
            <w:vAlign w:val="center"/>
          </w:tcPr>
          <w:p>
            <w:pPr>
              <w:pStyle w:val="117"/>
              <w:bidi w:val="0"/>
              <w:rPr>
                <w:rFonts w:ascii="Times New Roman" w:hAnsi="Times New Roman" w:cs="Times New Roman"/>
                <w:caps w:val="0"/>
                <w:smallCaps w:val="0"/>
              </w:rPr>
            </w:pPr>
          </w:p>
        </w:tc>
        <w:tc>
          <w:tcPr>
            <w:tcW w:w="376"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3" w:type="pct"/>
            <w:noWrap/>
            <w:vAlign w:val="center"/>
          </w:tcPr>
          <w:p>
            <w:pPr>
              <w:pStyle w:val="117"/>
              <w:bidi w:val="0"/>
              <w:rPr>
                <w:rFonts w:ascii="Times New Roman" w:hAnsi="Times New Roman" w:cs="Times New Roman"/>
                <w:caps w:val="0"/>
                <w:smallCaps w:val="0"/>
              </w:rPr>
            </w:pPr>
          </w:p>
        </w:tc>
        <w:tc>
          <w:tcPr>
            <w:tcW w:w="425" w:type="pct"/>
            <w:noWrap/>
            <w:vAlign w:val="center"/>
          </w:tcPr>
          <w:p>
            <w:pPr>
              <w:pStyle w:val="117"/>
              <w:bidi w:val="0"/>
              <w:rPr>
                <w:rFonts w:ascii="Times New Roman" w:hAnsi="Times New Roman" w:cs="Times New Roman"/>
                <w:caps w:val="0"/>
                <w:smallCaps w:val="0"/>
              </w:rPr>
            </w:pPr>
          </w:p>
        </w:tc>
        <w:tc>
          <w:tcPr>
            <w:tcW w:w="56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1" w:type="pct"/>
            <w:vMerge w:val="continue"/>
            <w:noWrap/>
            <w:vAlign w:val="center"/>
          </w:tcPr>
          <w:p>
            <w:pPr>
              <w:pStyle w:val="117"/>
              <w:bidi w:val="0"/>
              <w:rPr>
                <w:rFonts w:ascii="Times New Roman" w:hAnsi="Times New Roman" w:cs="Times New Roman"/>
                <w:caps w:val="0"/>
                <w:smallCaps w:val="0"/>
              </w:rPr>
            </w:pPr>
          </w:p>
        </w:tc>
        <w:tc>
          <w:tcPr>
            <w:tcW w:w="848"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材料运输</w:t>
            </w:r>
          </w:p>
        </w:tc>
        <w:tc>
          <w:tcPr>
            <w:tcW w:w="324" w:type="pct"/>
            <w:noWrap/>
            <w:vAlign w:val="center"/>
          </w:tcPr>
          <w:p>
            <w:pPr>
              <w:pStyle w:val="117"/>
              <w:bidi w:val="0"/>
              <w:rPr>
                <w:rFonts w:ascii="Times New Roman" w:hAnsi="Times New Roman" w:cs="Times New Roman"/>
                <w:caps w:val="0"/>
                <w:smallCaps w:val="0"/>
              </w:rPr>
            </w:pPr>
          </w:p>
        </w:tc>
        <w:tc>
          <w:tcPr>
            <w:tcW w:w="730" w:type="pct"/>
            <w:noWrap/>
            <w:vAlign w:val="center"/>
          </w:tcPr>
          <w:p>
            <w:pPr>
              <w:pStyle w:val="117"/>
              <w:bidi w:val="0"/>
              <w:rPr>
                <w:rFonts w:ascii="Times New Roman" w:hAnsi="Times New Roman" w:cs="Times New Roman"/>
                <w:caps w:val="0"/>
                <w:smallCaps w:val="0"/>
              </w:rPr>
            </w:pPr>
          </w:p>
        </w:tc>
        <w:tc>
          <w:tcPr>
            <w:tcW w:w="376" w:type="pct"/>
            <w:noWrap/>
            <w:vAlign w:val="center"/>
          </w:tcPr>
          <w:p>
            <w:pPr>
              <w:pStyle w:val="117"/>
              <w:bidi w:val="0"/>
              <w:rPr>
                <w:rFonts w:ascii="Times New Roman" w:hAnsi="Times New Roman" w:cs="Times New Roman"/>
                <w:caps w:val="0"/>
                <w:smallCaps w:val="0"/>
              </w:rPr>
            </w:pPr>
          </w:p>
        </w:tc>
        <w:tc>
          <w:tcPr>
            <w:tcW w:w="683" w:type="pct"/>
            <w:noWrap/>
            <w:vAlign w:val="center"/>
          </w:tcPr>
          <w:p>
            <w:pPr>
              <w:pStyle w:val="117"/>
              <w:bidi w:val="0"/>
              <w:rPr>
                <w:rFonts w:ascii="Times New Roman" w:hAnsi="Times New Roman" w:cs="Times New Roman"/>
                <w:caps w:val="0"/>
                <w:smallCaps w:val="0"/>
              </w:rPr>
            </w:pPr>
          </w:p>
        </w:tc>
        <w:tc>
          <w:tcPr>
            <w:tcW w:w="425"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p>
        </w:tc>
        <w:tc>
          <w:tcPr>
            <w:tcW w:w="560" w:type="pct"/>
            <w:noWrap/>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1" w:type="pct"/>
            <w:vMerge w:val="continue"/>
            <w:noWrap/>
            <w:vAlign w:val="center"/>
          </w:tcPr>
          <w:p>
            <w:pPr>
              <w:pStyle w:val="117"/>
              <w:bidi w:val="0"/>
              <w:rPr>
                <w:rFonts w:ascii="Times New Roman" w:hAnsi="Times New Roman" w:cs="Times New Roman"/>
                <w:caps w:val="0"/>
                <w:smallCaps w:val="0"/>
              </w:rPr>
            </w:pPr>
          </w:p>
        </w:tc>
        <w:tc>
          <w:tcPr>
            <w:tcW w:w="848"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施工人员</w:t>
            </w:r>
          </w:p>
        </w:tc>
        <w:tc>
          <w:tcPr>
            <w:tcW w:w="324" w:type="pct"/>
            <w:noWrap/>
            <w:vAlign w:val="center"/>
          </w:tcPr>
          <w:p>
            <w:pPr>
              <w:pStyle w:val="117"/>
              <w:bidi w:val="0"/>
              <w:rPr>
                <w:rFonts w:ascii="Times New Roman" w:hAnsi="Times New Roman" w:cs="Times New Roman"/>
                <w:caps w:val="0"/>
                <w:smallCaps w:val="0"/>
              </w:rPr>
            </w:pPr>
          </w:p>
        </w:tc>
        <w:tc>
          <w:tcPr>
            <w:tcW w:w="730" w:type="pct"/>
            <w:noWrap/>
            <w:vAlign w:val="center"/>
          </w:tcPr>
          <w:p>
            <w:pPr>
              <w:pStyle w:val="117"/>
              <w:bidi w:val="0"/>
              <w:rPr>
                <w:rFonts w:ascii="Times New Roman" w:hAnsi="Times New Roman" w:cs="Times New Roman"/>
                <w:caps w:val="0"/>
                <w:smallCaps w:val="0"/>
              </w:rPr>
            </w:pPr>
          </w:p>
        </w:tc>
        <w:tc>
          <w:tcPr>
            <w:tcW w:w="376"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3" w:type="pct"/>
            <w:noWrap/>
            <w:vAlign w:val="center"/>
          </w:tcPr>
          <w:p>
            <w:pPr>
              <w:pStyle w:val="117"/>
              <w:bidi w:val="0"/>
              <w:rPr>
                <w:rFonts w:ascii="Times New Roman" w:hAnsi="Times New Roman" w:cs="Times New Roman"/>
                <w:caps w:val="0"/>
                <w:smallCaps w:val="0"/>
              </w:rPr>
            </w:pPr>
          </w:p>
        </w:tc>
        <w:tc>
          <w:tcPr>
            <w:tcW w:w="425" w:type="pct"/>
            <w:noWrap/>
            <w:vAlign w:val="center"/>
          </w:tcPr>
          <w:p>
            <w:pPr>
              <w:pStyle w:val="117"/>
              <w:bidi w:val="0"/>
              <w:rPr>
                <w:rFonts w:ascii="Times New Roman" w:hAnsi="Times New Roman" w:cs="Times New Roman"/>
                <w:caps w:val="0"/>
                <w:smallCaps w:val="0"/>
              </w:rPr>
            </w:pPr>
          </w:p>
        </w:tc>
        <w:tc>
          <w:tcPr>
            <w:tcW w:w="560" w:type="pct"/>
            <w:noWrap/>
            <w:vAlign w:val="center"/>
          </w:tcPr>
          <w:p>
            <w:pPr>
              <w:pStyle w:val="117"/>
              <w:bidi w:val="0"/>
              <w:rPr>
                <w:rFonts w:ascii="Times New Roman" w:hAnsi="Times New Roman" w:cs="Times New Roman"/>
                <w:caps w:val="0"/>
                <w:smallCaps w:val="0"/>
              </w:rPr>
            </w:pPr>
          </w:p>
        </w:tc>
        <w:tc>
          <w:tcPr>
            <w:tcW w:w="560" w:type="pct"/>
            <w:noWrap/>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1" w:type="pct"/>
            <w:vMerge w:val="continue"/>
            <w:noWrap/>
            <w:vAlign w:val="center"/>
          </w:tcPr>
          <w:p>
            <w:pPr>
              <w:pStyle w:val="117"/>
              <w:bidi w:val="0"/>
              <w:rPr>
                <w:rFonts w:ascii="Times New Roman" w:hAnsi="Times New Roman" w:cs="Times New Roman"/>
                <w:caps w:val="0"/>
                <w:smallCaps w:val="0"/>
              </w:rPr>
            </w:pPr>
          </w:p>
        </w:tc>
        <w:tc>
          <w:tcPr>
            <w:tcW w:w="848"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施工船舶</w:t>
            </w:r>
          </w:p>
        </w:tc>
        <w:tc>
          <w:tcPr>
            <w:tcW w:w="324" w:type="pct"/>
            <w:noWrap/>
            <w:vAlign w:val="center"/>
          </w:tcPr>
          <w:p>
            <w:pPr>
              <w:pStyle w:val="117"/>
              <w:bidi w:val="0"/>
              <w:rPr>
                <w:rFonts w:ascii="Times New Roman" w:hAnsi="Times New Roman" w:cs="Times New Roman"/>
                <w:caps w:val="0"/>
                <w:smallCaps w:val="0"/>
              </w:rPr>
            </w:pPr>
          </w:p>
        </w:tc>
        <w:tc>
          <w:tcPr>
            <w:tcW w:w="730" w:type="pct"/>
            <w:noWrap/>
            <w:vAlign w:val="center"/>
          </w:tcPr>
          <w:p>
            <w:pPr>
              <w:pStyle w:val="117"/>
              <w:bidi w:val="0"/>
              <w:rPr>
                <w:rFonts w:ascii="Times New Roman" w:hAnsi="Times New Roman" w:cs="Times New Roman"/>
                <w:caps w:val="0"/>
                <w:smallCaps w:val="0"/>
              </w:rPr>
            </w:pPr>
          </w:p>
        </w:tc>
        <w:tc>
          <w:tcPr>
            <w:tcW w:w="376"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3"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425"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1" w:type="pct"/>
            <w:vMerge w:val="restar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运营期</w:t>
            </w:r>
          </w:p>
        </w:tc>
        <w:tc>
          <w:tcPr>
            <w:tcW w:w="848"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码头生产</w:t>
            </w:r>
          </w:p>
        </w:tc>
        <w:tc>
          <w:tcPr>
            <w:tcW w:w="324"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730" w:type="pct"/>
            <w:noWrap/>
            <w:vAlign w:val="center"/>
          </w:tcPr>
          <w:p>
            <w:pPr>
              <w:pStyle w:val="117"/>
              <w:bidi w:val="0"/>
              <w:rPr>
                <w:rFonts w:ascii="Times New Roman" w:hAnsi="Times New Roman" w:cs="Times New Roman"/>
                <w:caps w:val="0"/>
                <w:smallCaps w:val="0"/>
              </w:rPr>
            </w:pPr>
          </w:p>
        </w:tc>
        <w:tc>
          <w:tcPr>
            <w:tcW w:w="376"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3"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425"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1" w:type="pct"/>
            <w:vMerge w:val="continue"/>
            <w:noWrap/>
            <w:vAlign w:val="center"/>
          </w:tcPr>
          <w:p>
            <w:pPr>
              <w:pStyle w:val="117"/>
              <w:bidi w:val="0"/>
              <w:rPr>
                <w:rFonts w:ascii="Times New Roman" w:hAnsi="Times New Roman" w:cs="Times New Roman"/>
                <w:caps w:val="0"/>
                <w:smallCaps w:val="0"/>
              </w:rPr>
            </w:pPr>
          </w:p>
        </w:tc>
        <w:tc>
          <w:tcPr>
            <w:tcW w:w="848"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环境保护工程</w:t>
            </w:r>
          </w:p>
        </w:tc>
        <w:tc>
          <w:tcPr>
            <w:tcW w:w="324" w:type="pct"/>
            <w:noWrap/>
            <w:vAlign w:val="center"/>
          </w:tcPr>
          <w:p>
            <w:pPr>
              <w:pStyle w:val="117"/>
              <w:bidi w:val="0"/>
              <w:rPr>
                <w:rFonts w:ascii="Times New Roman" w:hAnsi="Times New Roman" w:cs="Times New Roman"/>
                <w:caps w:val="0"/>
                <w:smallCaps w:val="0"/>
              </w:rPr>
            </w:pPr>
          </w:p>
        </w:tc>
        <w:tc>
          <w:tcPr>
            <w:tcW w:w="730" w:type="pct"/>
            <w:noWrap/>
            <w:vAlign w:val="center"/>
          </w:tcPr>
          <w:p>
            <w:pPr>
              <w:pStyle w:val="117"/>
              <w:bidi w:val="0"/>
              <w:rPr>
                <w:rFonts w:ascii="Times New Roman" w:hAnsi="Times New Roman" w:cs="Times New Roman"/>
                <w:caps w:val="0"/>
                <w:smallCaps w:val="0"/>
              </w:rPr>
            </w:pPr>
          </w:p>
        </w:tc>
        <w:tc>
          <w:tcPr>
            <w:tcW w:w="376"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3"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425"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560" w:type="pct"/>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bl>
    <w:p>
      <w:pPr>
        <w:adjustRightInd w:val="0"/>
        <w:snapToGrid w:val="0"/>
        <w:rPr>
          <w:rFonts w:ascii="Times New Roman" w:hAnsi="Times New Roman" w:cs="Times New Roman"/>
          <w:caps w:val="0"/>
          <w:smallCaps w:val="0"/>
        </w:rPr>
      </w:pPr>
      <w:r>
        <w:rPr>
          <w:rFonts w:hint="eastAsia" w:ascii="Times New Roman" w:hAnsi="Times New Roman" w:cs="Times New Roman"/>
          <w:caps w:val="0"/>
          <w:smallCaps w:val="0"/>
        </w:rPr>
        <w:t>注：“√”有显著影响；“○”有较小影响；“空白”无显著影响；“+”正影响。“-”负影响。</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评价因子筛选</w:t>
      </w:r>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根据工程分析、环境影响识别、项目所在地区各环境要素的特征以及存在的环境问题，确定的评价因子见下表。</w:t>
      </w:r>
    </w:p>
    <w:p>
      <w:pPr>
        <w:pStyle w:val="69"/>
        <w:rPr>
          <w:rFonts w:ascii="Times New Roman" w:hAnsi="Times New Roman" w:cs="Times New Roman" w:eastAsiaTheme="minorEastAsia"/>
          <w:caps w:val="0"/>
          <w:smallCaps w:val="0"/>
          <w:color w:val="000000"/>
          <w:sz w:val="24"/>
          <w:szCs w:val="24"/>
        </w:rPr>
      </w:pPr>
    </w:p>
    <w:p/>
    <w:p>
      <w:pPr>
        <w:tabs>
          <w:tab w:val="left" w:pos="900"/>
        </w:tabs>
        <w:snapToGrid w:val="0"/>
        <w:spacing w:line="276" w:lineRule="auto"/>
        <w:jc w:val="center"/>
        <w:rPr>
          <w:rFonts w:ascii="Times New Roman" w:hAnsi="Times New Roman" w:cs="Times New Roman" w:eastAsiaTheme="minorEastAsia"/>
          <w:b/>
          <w:caps w:val="0"/>
          <w:smallCaps w:val="0"/>
          <w:color w:val="auto"/>
          <w:sz w:val="24"/>
          <w:szCs w:val="24"/>
        </w:rPr>
      </w:pPr>
      <w:r>
        <w:rPr>
          <w:rFonts w:ascii="Times New Roman" w:hAnsi="Times New Roman" w:cs="Times New Roman"/>
          <w:b/>
          <w:caps w:val="0"/>
          <w:smallCaps w:val="0"/>
          <w:color w:val="auto"/>
          <w:sz w:val="24"/>
          <w:szCs w:val="24"/>
        </w:rPr>
        <w:t>表2.3-2</w:t>
      </w:r>
      <w:r>
        <w:rPr>
          <w:rFonts w:ascii="Times New Roman" w:hAnsi="Times New Roman" w:cs="Times New Roman" w:eastAsiaTheme="minorEastAsia"/>
          <w:b/>
          <w:caps w:val="0"/>
          <w:smallCaps w:val="0"/>
          <w:color w:val="auto"/>
          <w:sz w:val="24"/>
          <w:szCs w:val="24"/>
        </w:rPr>
        <w:t>评价因子一览表</w:t>
      </w:r>
    </w:p>
    <w:tbl>
      <w:tblPr>
        <w:tblStyle w:val="71"/>
        <w:tblW w:w="5094"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093"/>
        <w:gridCol w:w="1594"/>
        <w:gridCol w:w="6584"/>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Align w:val="center"/>
          </w:tcPr>
          <w:p>
            <w:pPr>
              <w:pStyle w:val="117"/>
              <w:bidi w:val="0"/>
              <w:ind w:firstLine="0" w:firstLineChars="0"/>
              <w:rPr>
                <w:rFonts w:ascii="Times New Roman" w:hAnsi="Times New Roman" w:cs="Times New Roman"/>
                <w:caps w:val="0"/>
                <w:smallCaps w:val="0"/>
                <w:color w:val="auto"/>
              </w:rPr>
            </w:pPr>
            <w:r>
              <w:rPr>
                <w:rFonts w:ascii="Times New Roman" w:hAnsi="Times New Roman" w:cs="Times New Roman"/>
                <w:caps w:val="0"/>
                <w:smallCaps w:val="0"/>
                <w:color w:val="auto"/>
              </w:rPr>
              <w:t>类别</w:t>
            </w:r>
          </w:p>
        </w:tc>
        <w:tc>
          <w:tcPr>
            <w:tcW w:w="1589" w:type="dxa"/>
            <w:vAlign w:val="center"/>
          </w:tcPr>
          <w:p>
            <w:pPr>
              <w:pStyle w:val="117"/>
              <w:bidi w:val="0"/>
              <w:ind w:firstLine="0" w:firstLineChars="0"/>
              <w:rPr>
                <w:rFonts w:ascii="Times New Roman" w:hAnsi="Times New Roman" w:cs="Times New Roman"/>
                <w:caps w:val="0"/>
                <w:smallCaps w:val="0"/>
                <w:color w:val="auto"/>
              </w:rPr>
            </w:pPr>
            <w:r>
              <w:rPr>
                <w:rFonts w:ascii="Times New Roman" w:hAnsi="Times New Roman" w:cs="Times New Roman"/>
                <w:caps w:val="0"/>
                <w:smallCaps w:val="0"/>
                <w:color w:val="auto"/>
              </w:rPr>
              <w:t>要素</w:t>
            </w:r>
          </w:p>
        </w:tc>
        <w:tc>
          <w:tcPr>
            <w:tcW w:w="6563" w:type="dxa"/>
            <w:vAlign w:val="center"/>
          </w:tcPr>
          <w:p>
            <w:pPr>
              <w:pStyle w:val="117"/>
              <w:bidi w:val="0"/>
              <w:ind w:firstLine="0" w:firstLineChars="0"/>
              <w:rPr>
                <w:rFonts w:ascii="Times New Roman" w:hAnsi="Times New Roman" w:cs="Times New Roman"/>
                <w:caps w:val="0"/>
                <w:smallCaps w:val="0"/>
                <w:color w:val="auto"/>
              </w:rPr>
            </w:pPr>
            <w:r>
              <w:rPr>
                <w:rFonts w:ascii="Times New Roman" w:hAnsi="Times New Roman" w:cs="Times New Roman"/>
                <w:caps w:val="0"/>
                <w:smallCaps w:val="0"/>
                <w:color w:val="auto"/>
              </w:rPr>
              <w:t>评价因子</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restart"/>
            <w:vAlign w:val="center"/>
          </w:tcPr>
          <w:p>
            <w:pPr>
              <w:pStyle w:val="117"/>
              <w:bidi w:val="0"/>
              <w:rPr>
                <w:rFonts w:hint="eastAsia" w:ascii="Times New Roman" w:hAnsi="Times New Roman" w:eastAsia="宋体" w:cs="Times New Roman"/>
                <w:caps w:val="0"/>
                <w:smallCaps w:val="0"/>
                <w:color w:val="auto"/>
                <w:lang w:eastAsia="zh-CN"/>
              </w:rPr>
            </w:pPr>
            <w:r>
              <w:rPr>
                <w:rFonts w:hint="eastAsia" w:ascii="Times New Roman" w:hAnsi="Times New Roman" w:cs="Times New Roman"/>
                <w:caps w:val="0"/>
                <w:smallCaps w:val="0"/>
                <w:color w:val="auto"/>
                <w:lang w:eastAsia="zh-CN"/>
              </w:rPr>
              <w:t>大气环境</w:t>
            </w:r>
          </w:p>
        </w:tc>
        <w:tc>
          <w:tcPr>
            <w:tcW w:w="1589" w:type="dxa"/>
            <w:vAlign w:val="center"/>
          </w:tcPr>
          <w:p>
            <w:pPr>
              <w:pStyle w:val="117"/>
              <w:bidi w:val="0"/>
              <w:rPr>
                <w:rFonts w:hint="eastAsia" w:ascii="Times New Roman" w:hAnsi="Times New Roman" w:eastAsia="宋体" w:cs="Times New Roman"/>
                <w:caps w:val="0"/>
                <w:smallCaps w:val="0"/>
                <w:color w:val="auto"/>
                <w:lang w:eastAsia="zh-CN"/>
              </w:rPr>
            </w:pPr>
            <w:r>
              <w:rPr>
                <w:rFonts w:hint="eastAsia" w:ascii="Times New Roman" w:hAnsi="Times New Roman" w:cs="Times New Roman"/>
                <w:caps w:val="0"/>
                <w:smallCaps w:val="0"/>
                <w:color w:val="auto"/>
                <w:lang w:eastAsia="zh-CN"/>
              </w:rPr>
              <w:t>现状评价因子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SO</w:t>
            </w:r>
            <w:r>
              <w:rPr>
                <w:rFonts w:ascii="Times New Roman" w:hAnsi="Times New Roman" w:cs="Times New Roman"/>
                <w:caps w:val="0"/>
                <w:smallCaps w:val="0"/>
                <w:color w:val="auto"/>
                <w:vertAlign w:val="subscript"/>
              </w:rPr>
              <w:t>2</w:t>
            </w:r>
            <w:r>
              <w:rPr>
                <w:rFonts w:ascii="Times New Roman" w:hAnsi="Times New Roman" w:cs="Times New Roman"/>
                <w:caps w:val="0"/>
                <w:smallCaps w:val="0"/>
                <w:color w:val="auto"/>
              </w:rPr>
              <w:t>、NO</w:t>
            </w:r>
            <w:r>
              <w:rPr>
                <w:rFonts w:ascii="Times New Roman" w:hAnsi="Times New Roman" w:cs="Times New Roman"/>
                <w:caps w:val="0"/>
                <w:smallCaps w:val="0"/>
                <w:color w:val="auto"/>
                <w:vertAlign w:val="subscript"/>
              </w:rPr>
              <w:t>2</w:t>
            </w:r>
            <w:r>
              <w:rPr>
                <w:rFonts w:ascii="Times New Roman" w:hAnsi="Times New Roman" w:cs="Times New Roman"/>
                <w:caps w:val="0"/>
                <w:smallCaps w:val="0"/>
                <w:color w:val="auto"/>
              </w:rPr>
              <w:t>、PM</w:t>
            </w:r>
            <w:r>
              <w:rPr>
                <w:rFonts w:ascii="Times New Roman" w:hAnsi="Times New Roman" w:cs="Times New Roman"/>
                <w:caps w:val="0"/>
                <w:smallCaps w:val="0"/>
                <w:color w:val="auto"/>
                <w:vertAlign w:val="subscript"/>
              </w:rPr>
              <w:t>10</w:t>
            </w:r>
            <w:r>
              <w:rPr>
                <w:rFonts w:ascii="Times New Roman" w:hAnsi="Times New Roman" w:cs="Times New Roman"/>
                <w:caps w:val="0"/>
                <w:smallCaps w:val="0"/>
                <w:color w:val="auto"/>
              </w:rPr>
              <w:t>、PM</w:t>
            </w:r>
            <w:r>
              <w:rPr>
                <w:rFonts w:ascii="Times New Roman" w:hAnsi="Times New Roman" w:cs="Times New Roman"/>
                <w:caps w:val="0"/>
                <w:smallCaps w:val="0"/>
                <w:color w:val="auto"/>
                <w:vertAlign w:val="subscript"/>
              </w:rPr>
              <w:t>2.5</w:t>
            </w:r>
            <w:r>
              <w:rPr>
                <w:rFonts w:ascii="Times New Roman" w:hAnsi="Times New Roman" w:cs="Times New Roman"/>
                <w:caps w:val="0"/>
                <w:smallCaps w:val="0"/>
                <w:color w:val="auto"/>
              </w:rPr>
              <w:t>、CO、</w:t>
            </w:r>
            <w:r>
              <w:rPr>
                <w:rFonts w:ascii="Times New Roman" w:hAnsi="Times New Roman" w:cs="Times New Roman"/>
                <w:caps w:val="0"/>
                <w:smallCaps w:val="0"/>
                <w:color w:val="auto"/>
                <w:vertAlign w:val="baseline"/>
              </w:rPr>
              <w:t>O</w:t>
            </w:r>
            <w:r>
              <w:rPr>
                <w:rFonts w:ascii="Times New Roman" w:hAnsi="Times New Roman" w:cs="Times New Roman"/>
                <w:caps w:val="0"/>
                <w:smallCaps w:val="0"/>
                <w:color w:val="auto"/>
                <w:vertAlign w:val="subscript"/>
              </w:rPr>
              <w:t>3</w:t>
            </w:r>
            <w:r>
              <w:rPr>
                <w:rFonts w:hint="eastAsia" w:ascii="Times New Roman" w:hAnsi="Times New Roman" w:cs="Times New Roman"/>
                <w:caps w:val="0"/>
                <w:smallCaps w:val="0"/>
                <w:color w:val="auto"/>
              </w:rPr>
              <w:t>、苯并(a)芘、TSP和</w:t>
            </w:r>
            <w:r>
              <w:rPr>
                <w:rFonts w:hint="eastAsia" w:ascii="Times New Roman" w:hAnsi="Times New Roman" w:cs="Times New Roman"/>
                <w:caps w:val="0"/>
                <w:smallCaps w:val="0"/>
                <w:color w:val="auto"/>
                <w:lang w:val="en-US" w:eastAsia="zh-CN"/>
              </w:rPr>
              <w:t>TVOC</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rPr>
                <w:rFonts w:hint="eastAsia" w:ascii="Times New Roman" w:hAnsi="Times New Roman" w:eastAsia="宋体" w:cs="Times New Roman"/>
                <w:caps w:val="0"/>
                <w:smallCaps w:val="0"/>
                <w:color w:val="auto"/>
                <w:lang w:eastAsia="zh-CN"/>
              </w:rPr>
            </w:pPr>
            <w:r>
              <w:rPr>
                <w:rFonts w:hint="eastAsia" w:ascii="Times New Roman" w:hAnsi="Times New Roman" w:cs="Times New Roman"/>
                <w:caps w:val="0"/>
                <w:smallCaps w:val="0"/>
                <w:color w:val="auto"/>
                <w:lang w:eastAsia="zh-CN"/>
              </w:rPr>
              <w:t>污染源因子</w:t>
            </w:r>
          </w:p>
        </w:tc>
        <w:tc>
          <w:tcPr>
            <w:tcW w:w="6563" w:type="dxa"/>
            <w:vAlign w:val="center"/>
          </w:tcPr>
          <w:p>
            <w:pPr>
              <w:pStyle w:val="117"/>
              <w:bidi w:val="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val="en-US" w:eastAsia="zh-CN"/>
              </w:rPr>
              <w:t>VOCs（</w:t>
            </w:r>
            <w:r>
              <w:rPr>
                <w:rFonts w:hint="eastAsia" w:ascii="Times New Roman" w:hAnsi="Times New Roman" w:cs="Times New Roman"/>
                <w:caps w:val="0"/>
                <w:smallCaps w:val="0"/>
                <w:color w:val="auto"/>
                <w:lang w:eastAsia="zh-CN"/>
              </w:rPr>
              <w:t>非甲烷总烃</w:t>
            </w:r>
            <w:r>
              <w:rPr>
                <w:rFonts w:hint="eastAsia" w:ascii="Times New Roman" w:hAnsi="Times New Roman" w:cs="Times New Roman"/>
                <w:caps w:val="0"/>
                <w:smallCaps w:val="0"/>
                <w:color w:val="auto"/>
                <w:lang w:val="en-US" w:eastAsia="zh-CN"/>
              </w:rPr>
              <w:t>）、苯并芘、沥青烟</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lang w:eastAsia="zh-CN"/>
              </w:rPr>
              <w:t>影响预测因子</w:t>
            </w:r>
          </w:p>
        </w:tc>
        <w:tc>
          <w:tcPr>
            <w:tcW w:w="6563" w:type="dxa"/>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lang w:val="en-US" w:eastAsia="zh-CN"/>
              </w:rPr>
              <w:t>VOCs（</w:t>
            </w:r>
            <w:r>
              <w:rPr>
                <w:rFonts w:hint="eastAsia" w:ascii="Times New Roman" w:hAnsi="Times New Roman" w:cs="Times New Roman"/>
                <w:caps w:val="0"/>
                <w:smallCaps w:val="0"/>
                <w:color w:val="auto"/>
                <w:lang w:eastAsia="zh-CN"/>
              </w:rPr>
              <w:t>非甲烷总烃</w:t>
            </w:r>
            <w:r>
              <w:rPr>
                <w:rFonts w:hint="eastAsia" w:ascii="Times New Roman" w:hAnsi="Times New Roman" w:cs="Times New Roman"/>
                <w:caps w:val="0"/>
                <w:smallCaps w:val="0"/>
                <w:color w:val="auto"/>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restart"/>
            <w:vAlign w:val="center"/>
          </w:tcPr>
          <w:p>
            <w:pPr>
              <w:pStyle w:val="117"/>
              <w:bidi w:val="0"/>
              <w:rPr>
                <w:rFonts w:ascii="Times New Roman" w:hAnsi="Times New Roman" w:cs="Times New Roman"/>
                <w:caps w:val="0"/>
                <w:smallCaps w:val="0"/>
                <w:color w:val="auto"/>
              </w:rPr>
            </w:pPr>
            <w:r>
              <w:rPr>
                <w:kern w:val="2"/>
                <w:sz w:val="21"/>
                <w:szCs w:val="24"/>
                <w:lang w:val="en-US" w:eastAsia="zh-CN"/>
              </w:rPr>
              <w:t>地表水环境</w:t>
            </w: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现状评价因子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pH值、溶解氧、化学需氧量、</w:t>
            </w:r>
            <w:r>
              <w:rPr>
                <w:rFonts w:hint="eastAsia" w:ascii="Times New Roman" w:hAnsi="Times New Roman" w:cs="Times New Roman"/>
                <w:caps w:val="0"/>
                <w:smallCaps w:val="0"/>
                <w:color w:val="auto"/>
              </w:rPr>
              <w:t>五日生化需氧量</w:t>
            </w:r>
            <w:r>
              <w:rPr>
                <w:rFonts w:ascii="Times New Roman" w:hAnsi="Times New Roman" w:cs="Times New Roman"/>
                <w:caps w:val="0"/>
                <w:smallCaps w:val="0"/>
                <w:color w:val="auto"/>
              </w:rPr>
              <w:t>、氨氮、总磷、铜、锌、氟化物、硒、砷、汞、镉、六价铬、铅、氰化物、挥发酚、石油类、阴离子表面活性剂和硫化物</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污染源因子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pH</w:t>
            </w:r>
            <w:r>
              <w:rPr>
                <w:rFonts w:hint="eastAsia" w:ascii="Times New Roman" w:hAnsi="Times New Roman" w:cs="Times New Roman"/>
                <w:caps w:val="0"/>
                <w:smallCaps w:val="0"/>
                <w:color w:val="auto"/>
              </w:rPr>
              <w:t>值</w:t>
            </w:r>
            <w:r>
              <w:rPr>
                <w:rFonts w:ascii="Times New Roman" w:hAnsi="Times New Roman" w:cs="Times New Roman"/>
                <w:caps w:val="0"/>
                <w:smallCaps w:val="0"/>
                <w:color w:val="auto"/>
              </w:rPr>
              <w:t>（无量纲）、COD、BOD</w:t>
            </w:r>
            <w:r>
              <w:rPr>
                <w:rFonts w:ascii="Times New Roman" w:hAnsi="Times New Roman" w:cs="Times New Roman"/>
                <w:caps w:val="0"/>
                <w:smallCaps w:val="0"/>
                <w:color w:val="auto"/>
                <w:vertAlign w:val="subscript"/>
              </w:rPr>
              <w:t>5</w:t>
            </w:r>
            <w:r>
              <w:rPr>
                <w:rFonts w:ascii="Times New Roman" w:hAnsi="Times New Roman" w:cs="Times New Roman"/>
                <w:caps w:val="0"/>
                <w:smallCaps w:val="0"/>
                <w:color w:val="auto"/>
              </w:rPr>
              <w:t>、NH</w:t>
            </w:r>
            <w:r>
              <w:rPr>
                <w:rFonts w:ascii="Times New Roman" w:hAnsi="Times New Roman" w:cs="Times New Roman"/>
                <w:caps w:val="0"/>
                <w:smallCaps w:val="0"/>
                <w:color w:val="auto"/>
                <w:vertAlign w:val="subscript"/>
              </w:rPr>
              <w:t>3</w:t>
            </w:r>
            <w:r>
              <w:rPr>
                <w:rFonts w:ascii="Times New Roman" w:hAnsi="Times New Roman" w:cs="Times New Roman"/>
                <w:caps w:val="0"/>
                <w:smallCaps w:val="0"/>
                <w:color w:val="auto"/>
              </w:rPr>
              <w:t>-N、</w:t>
            </w:r>
            <w:r>
              <w:rPr>
                <w:rFonts w:ascii="Times New Roman" w:hAnsi="Times New Roman" w:cs="Times New Roman"/>
                <w:caps w:val="0"/>
                <w:smallCaps w:val="0"/>
                <w:color w:val="auto"/>
                <w:u w:val="single"/>
              </w:rPr>
              <w:t>SS</w:t>
            </w:r>
            <w:r>
              <w:rPr>
                <w:rFonts w:hint="eastAsia" w:ascii="Times New Roman" w:hAnsi="Times New Roman" w:cs="Times New Roman"/>
                <w:caps w:val="0"/>
                <w:smallCaps w:val="0"/>
                <w:color w:val="auto"/>
                <w:u w:val="single"/>
                <w:lang w:eastAsia="zh-CN"/>
              </w:rPr>
              <w:t>、</w:t>
            </w:r>
            <w:r>
              <w:rPr>
                <w:rFonts w:ascii="Times New Roman" w:hAnsi="Times New Roman" w:cs="Times New Roman"/>
                <w:caps w:val="0"/>
                <w:smallCaps w:val="0"/>
                <w:color w:val="auto"/>
              </w:rPr>
              <w:t>石油类</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影响预测因子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NH</w:t>
            </w:r>
            <w:r>
              <w:rPr>
                <w:rFonts w:ascii="Times New Roman" w:hAnsi="Times New Roman" w:cs="Times New Roman"/>
                <w:caps w:val="0"/>
                <w:smallCaps w:val="0"/>
                <w:color w:val="auto"/>
                <w:vertAlign w:val="subscript"/>
              </w:rPr>
              <w:t>3</w:t>
            </w:r>
            <w:r>
              <w:rPr>
                <w:rFonts w:ascii="Times New Roman" w:hAnsi="Times New Roman" w:cs="Times New Roman"/>
                <w:caps w:val="0"/>
                <w:smallCaps w:val="0"/>
                <w:color w:val="auto"/>
              </w:rPr>
              <w:t>-N、石油类</w:t>
            </w:r>
            <w:r>
              <w:rPr>
                <w:rFonts w:hint="eastAsia" w:ascii="Times New Roman" w:hAnsi="Times New Roman" w:cs="Times New Roman"/>
                <w:caps w:val="0"/>
                <w:smallCaps w:val="0"/>
                <w:color w:val="auto"/>
                <w:lang w:eastAsia="zh-CN"/>
              </w:rPr>
              <w:t>、</w:t>
            </w:r>
            <w:r>
              <w:rPr>
                <w:rFonts w:hint="eastAsia" w:ascii="Times New Roman" w:hAnsi="Times New Roman" w:cs="Times New Roman"/>
                <w:caps w:val="0"/>
                <w:smallCaps w:val="0"/>
                <w:color w:val="auto"/>
                <w:u w:val="single"/>
                <w:lang w:val="en-US" w:eastAsia="zh-CN"/>
              </w:rPr>
              <w:t>SS</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restart"/>
            <w:vAlign w:val="center"/>
          </w:tcPr>
          <w:p>
            <w:pPr>
              <w:pStyle w:val="117"/>
              <w:bidi w:val="0"/>
              <w:rPr>
                <w:rFonts w:ascii="Times New Roman" w:hAnsi="Times New Roman" w:cs="Times New Roman"/>
                <w:caps w:val="0"/>
                <w:smallCaps w:val="0"/>
                <w:color w:val="auto"/>
              </w:rPr>
            </w:pPr>
            <w:r>
              <w:rPr>
                <w:kern w:val="2"/>
                <w:sz w:val="21"/>
                <w:szCs w:val="24"/>
                <w:lang w:val="en-US" w:eastAsia="zh-CN"/>
              </w:rPr>
              <w:t>地下水环境</w:t>
            </w: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现状评价因子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pH值、</w:t>
            </w:r>
            <w:r>
              <w:rPr>
                <w:rFonts w:hint="eastAsia" w:ascii="Times New Roman" w:hAnsi="Times New Roman" w:cs="Times New Roman"/>
                <w:caps w:val="0"/>
                <w:smallCaps w:val="0"/>
                <w:color w:val="auto"/>
              </w:rPr>
              <w:t>悬浮物、耗氧量、氨氮、总磷、总氮、石油类、阴离子表面活性剂</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污染源因子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石油类</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影响预测因子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石油类</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restart"/>
            <w:vAlign w:val="center"/>
          </w:tcPr>
          <w:p>
            <w:pPr>
              <w:pStyle w:val="117"/>
              <w:bidi w:val="0"/>
              <w:rPr>
                <w:rFonts w:ascii="Times New Roman" w:hAnsi="Times New Roman" w:cs="Times New Roman"/>
                <w:caps w:val="0"/>
                <w:smallCaps w:val="0"/>
                <w:color w:val="auto"/>
              </w:rPr>
            </w:pPr>
            <w:r>
              <w:rPr>
                <w:kern w:val="2"/>
                <w:sz w:val="21"/>
                <w:szCs w:val="24"/>
                <w:lang w:val="en-US" w:eastAsia="zh-CN"/>
              </w:rPr>
              <w:t>声环境</w:t>
            </w: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现状评价因子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等效连续A声级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污染源因子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等效连续A声级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影响预测因子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等效连续A声级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restart"/>
            <w:vAlign w:val="center"/>
          </w:tcPr>
          <w:p>
            <w:pPr>
              <w:pStyle w:val="117"/>
              <w:bidi w:val="0"/>
              <w:rPr>
                <w:rFonts w:ascii="Times New Roman" w:hAnsi="Times New Roman" w:cs="Times New Roman"/>
                <w:caps w:val="0"/>
                <w:smallCaps w:val="0"/>
                <w:color w:val="auto"/>
              </w:rPr>
            </w:pPr>
            <w:r>
              <w:rPr>
                <w:rFonts w:hint="eastAsia"/>
                <w:kern w:val="2"/>
                <w:sz w:val="21"/>
                <w:szCs w:val="24"/>
                <w:lang w:val="en-US" w:eastAsia="zh-CN"/>
              </w:rPr>
              <w:t>土壤</w:t>
            </w:r>
            <w:r>
              <w:rPr>
                <w:kern w:val="2"/>
                <w:sz w:val="21"/>
                <w:szCs w:val="24"/>
                <w:lang w:val="en-US" w:eastAsia="zh-CN"/>
              </w:rPr>
              <w:t>环境</w:t>
            </w: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现状评价因子</w:t>
            </w:r>
          </w:p>
        </w:tc>
        <w:tc>
          <w:tcPr>
            <w:tcW w:w="6563" w:type="dxa"/>
            <w:vAlign w:val="center"/>
          </w:tcPr>
          <w:p>
            <w:pPr>
              <w:pStyle w:val="117"/>
              <w:bidi w:val="0"/>
              <w:rPr>
                <w:rFonts w:hint="eastAsia" w:ascii="Times New Roman" w:hAnsi="Times New Roman" w:eastAsia="宋体" w:cs="Times New Roman"/>
                <w:caps w:val="0"/>
                <w:smallCaps w:val="0"/>
                <w:color w:val="auto"/>
              </w:rPr>
            </w:pPr>
            <w:r>
              <w:rPr>
                <w:rFonts w:hint="eastAsia" w:ascii="Times New Roman" w:hAnsi="Times New Roman" w:eastAsia="宋体" w:cs="Times New Roman"/>
                <w:caps w:val="0"/>
                <w:smallCaps w:val="0"/>
                <w:color w:val="auto"/>
              </w:rPr>
              <w:t>建设用地基本因子：砷、镉、铬（六价）、铜、铅、汞、镍、四氯化碳、氯仿、氯甲烷、1,1-二氯甲烷、1,2-二氯甲烷、1,1-二氯乙烯、顺-1,2-二氯乙烯、反-1,2-二氯乙烯、二氯甲烷、1,2-二氯丙烷、1,1,1,2-四氯乙烷、1,1,2,2-四氯乙烷、四氯乙烯、1,1,1-三氯乙烷、1,1,2-三氯乙烷、三氯乙烯、1,2,3-三氯丙烷、氯乙烯、苯、氯苯、1,2-二氯苯、1,4-二氯苯、乙苯、苯乙烯、甲苯、间二甲苯+对甲苯、邻二甲苯、硝基苯、苯胺、2-氯酚、苯并[a]蒽、苯并[a]芘、苯并[b]荧蒽、苯并[k]荧蒽、二苯并[a，h]蒽、䓛、莭并[1,2,3-cd]芘、萘</w:t>
            </w:r>
          </w:p>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特征因子：石油烃</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16"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影响预测因子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石油烃</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Align w:val="center"/>
          </w:tcPr>
          <w:p>
            <w:pPr>
              <w:pStyle w:val="117"/>
              <w:bidi w:val="0"/>
              <w:rPr>
                <w:rFonts w:ascii="Times New Roman" w:hAnsi="Times New Roman" w:cs="Times New Roman"/>
                <w:caps w:val="0"/>
                <w:smallCaps w:val="0"/>
                <w:color w:val="auto"/>
              </w:rPr>
            </w:pPr>
            <w:r>
              <w:rPr>
                <w:kern w:val="2"/>
                <w:sz w:val="21"/>
                <w:szCs w:val="24"/>
                <w:lang w:val="en-US" w:eastAsia="zh-CN"/>
              </w:rPr>
              <w:t>底泥环境</w:t>
            </w: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现状评价因子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pH值（无量纲）、砷、镉、</w:t>
            </w:r>
            <w:r>
              <w:rPr>
                <w:rFonts w:hint="eastAsia" w:ascii="Times New Roman" w:hAnsi="Times New Roman" w:cs="Times New Roman"/>
                <w:caps w:val="0"/>
                <w:smallCaps w:val="0"/>
                <w:color w:val="auto"/>
                <w:lang w:eastAsia="zh-CN"/>
              </w:rPr>
              <w:t>六价</w:t>
            </w:r>
            <w:r>
              <w:rPr>
                <w:rFonts w:ascii="Times New Roman" w:hAnsi="Times New Roman" w:cs="Times New Roman"/>
                <w:caps w:val="0"/>
                <w:smallCaps w:val="0"/>
                <w:color w:val="auto"/>
              </w:rPr>
              <w:t>铬、铜、铅、汞、锌</w:t>
            </w:r>
            <w:r>
              <w:rPr>
                <w:rFonts w:hint="eastAsia" w:ascii="Times New Roman" w:hAnsi="Times New Roman" w:cs="Times New Roman"/>
                <w:caps w:val="0"/>
                <w:smallCaps w:val="0"/>
                <w:color w:val="auto"/>
                <w:lang w:eastAsia="zh-CN"/>
              </w:rPr>
              <w:t>、镍、石油烃</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restart"/>
            <w:vAlign w:val="center"/>
          </w:tcPr>
          <w:p>
            <w:pPr>
              <w:pStyle w:val="117"/>
              <w:bidi w:val="0"/>
              <w:rPr>
                <w:rFonts w:ascii="Times New Roman" w:hAnsi="Times New Roman" w:cs="Times New Roman"/>
                <w:caps w:val="0"/>
                <w:smallCaps w:val="0"/>
                <w:color w:val="auto"/>
              </w:rPr>
            </w:pPr>
            <w:r>
              <w:rPr>
                <w:kern w:val="2"/>
                <w:sz w:val="21"/>
                <w:szCs w:val="24"/>
                <w:lang w:val="en-US" w:eastAsia="zh-CN"/>
              </w:rPr>
              <w:t>生态环境</w:t>
            </w: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现状评价因子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水生生态、渔业资源</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rFonts w:ascii="Times New Roman" w:hAnsi="Times New Roman" w:cs="Times New Roman"/>
                <w:caps w:val="0"/>
                <w:smallCaps w:val="0"/>
                <w:color w:val="auto"/>
              </w:rPr>
            </w:pPr>
          </w:p>
        </w:tc>
        <w:tc>
          <w:tcPr>
            <w:tcW w:w="1589" w:type="dxa"/>
            <w:vAlign w:val="center"/>
          </w:tcPr>
          <w:p>
            <w:pPr>
              <w:pStyle w:val="117"/>
              <w:bidi w:val="0"/>
              <w:ind w:firstLine="0" w:firstLineChars="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影响预测因子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水生生态、渔业资源</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restart"/>
            <w:vAlign w:val="center"/>
          </w:tcPr>
          <w:p>
            <w:pPr>
              <w:pStyle w:val="117"/>
              <w:bidi w:val="0"/>
              <w:rPr>
                <w:rFonts w:ascii="Times New Roman" w:hAnsi="Times New Roman" w:cs="Times New Roman"/>
                <w:caps w:val="0"/>
                <w:smallCaps w:val="0"/>
                <w:color w:val="auto"/>
              </w:rPr>
            </w:pPr>
            <w:r>
              <w:rPr>
                <w:kern w:val="2"/>
                <w:sz w:val="21"/>
                <w:szCs w:val="24"/>
                <w:lang w:val="en-US" w:eastAsia="zh-CN"/>
              </w:rPr>
              <w:t>固体废物</w:t>
            </w:r>
          </w:p>
        </w:tc>
        <w:tc>
          <w:tcPr>
            <w:tcW w:w="1589" w:type="dxa"/>
            <w:vAlign w:val="center"/>
          </w:tcPr>
          <w:p>
            <w:pPr>
              <w:pStyle w:val="117"/>
              <w:bidi w:val="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污染源因子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一般工业固废、危险废物、生活垃圾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Merge w:val="continue"/>
            <w:vAlign w:val="center"/>
          </w:tcPr>
          <w:p>
            <w:pPr>
              <w:pStyle w:val="117"/>
              <w:bidi w:val="0"/>
              <w:rPr>
                <w:kern w:val="2"/>
                <w:sz w:val="21"/>
                <w:szCs w:val="24"/>
                <w:lang w:val="en-US" w:eastAsia="zh-CN"/>
              </w:rPr>
            </w:pPr>
          </w:p>
        </w:tc>
        <w:tc>
          <w:tcPr>
            <w:tcW w:w="1589" w:type="dxa"/>
            <w:vAlign w:val="center"/>
          </w:tcPr>
          <w:p>
            <w:pPr>
              <w:pStyle w:val="117"/>
              <w:bidi w:val="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影响预测因子</w:t>
            </w:r>
          </w:p>
        </w:tc>
        <w:tc>
          <w:tcPr>
            <w:tcW w:w="6563" w:type="dxa"/>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一般工业固废、危险废物、生活垃圾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dxa"/>
            <w:vAlign w:val="center"/>
          </w:tcPr>
          <w:p>
            <w:pPr>
              <w:pStyle w:val="117"/>
              <w:bidi w:val="0"/>
              <w:rPr>
                <w:rFonts w:ascii="Times New Roman" w:hAnsi="Times New Roman" w:cs="Times New Roman"/>
                <w:caps w:val="0"/>
                <w:smallCaps w:val="0"/>
                <w:color w:val="auto"/>
              </w:rPr>
            </w:pPr>
            <w:r>
              <w:rPr>
                <w:kern w:val="2"/>
                <w:sz w:val="21"/>
                <w:szCs w:val="24"/>
                <w:lang w:val="en-US" w:eastAsia="zh-CN"/>
              </w:rPr>
              <w:t>事故风险</w:t>
            </w:r>
          </w:p>
        </w:tc>
        <w:tc>
          <w:tcPr>
            <w:tcW w:w="1589" w:type="dxa"/>
            <w:vAlign w:val="center"/>
          </w:tcPr>
          <w:p>
            <w:pPr>
              <w:pStyle w:val="117"/>
              <w:bidi w:val="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影响预测因子</w:t>
            </w:r>
          </w:p>
        </w:tc>
        <w:tc>
          <w:tcPr>
            <w:tcW w:w="6563" w:type="dxa"/>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lang w:val="en-US" w:eastAsia="zh-CN"/>
              </w:rPr>
              <w:t>SS、石油类</w:t>
            </w:r>
          </w:p>
        </w:tc>
      </w:tr>
    </w:tbl>
    <w:p>
      <w:pPr>
        <w:autoSpaceDE w:val="0"/>
        <w:autoSpaceDN w:val="0"/>
        <w:adjustRightInd w:val="0"/>
        <w:jc w:val="left"/>
        <w:rPr>
          <w:rFonts w:ascii="Times New Roman" w:hAnsi="Times New Roman" w:cs="Times New Roman" w:eastAsiaTheme="minorEastAsia"/>
          <w:caps w:val="0"/>
          <w:smallCaps w:val="0"/>
          <w:kern w:val="0"/>
          <w:sz w:val="24"/>
          <w:szCs w:val="24"/>
        </w:rPr>
      </w:pPr>
    </w:p>
    <w:p>
      <w:pPr>
        <w:pStyle w:val="5"/>
        <w:rPr>
          <w:rFonts w:ascii="Times New Roman" w:hAnsi="Times New Roman" w:cs="Times New Roman" w:eastAsiaTheme="minorEastAsia"/>
          <w:b/>
          <w:caps w:val="0"/>
          <w:smallCaps w:val="0"/>
        </w:rPr>
      </w:pPr>
      <w:bookmarkStart w:id="17" w:name="_Toc30854"/>
      <w:r>
        <w:rPr>
          <w:rFonts w:ascii="Times New Roman" w:hAnsi="Times New Roman" w:cs="Times New Roman" w:eastAsiaTheme="minorEastAsia"/>
          <w:b/>
          <w:caps w:val="0"/>
          <w:smallCaps w:val="0"/>
        </w:rPr>
        <w:t>评价工作重点</w:t>
      </w:r>
      <w:bookmarkEnd w:id="17"/>
    </w:p>
    <w:p>
      <w:pPr>
        <w:tabs>
          <w:tab w:val="left" w:pos="900"/>
        </w:tabs>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根据初步工程分析和项目所在地环境特征，本次评价重点为工程分析、环境现状及环境影响预测评价、环境风险评价、污染防治措施及其可行性论证。</w:t>
      </w:r>
    </w:p>
    <w:p>
      <w:pPr>
        <w:pStyle w:val="5"/>
        <w:rPr>
          <w:rFonts w:ascii="Times New Roman" w:hAnsi="Times New Roman" w:cs="Times New Roman" w:eastAsiaTheme="minorEastAsia"/>
          <w:b/>
          <w:caps w:val="0"/>
          <w:smallCaps w:val="0"/>
          <w:u w:val="single"/>
        </w:rPr>
      </w:pPr>
      <w:bookmarkStart w:id="18" w:name="_Toc20124"/>
      <w:r>
        <w:rPr>
          <w:rFonts w:ascii="Times New Roman" w:hAnsi="Times New Roman" w:cs="Times New Roman" w:eastAsiaTheme="minorEastAsia"/>
          <w:b/>
          <w:caps w:val="0"/>
          <w:smallCaps w:val="0"/>
          <w:u w:val="single"/>
        </w:rPr>
        <w:t>评价工作等级及范围</w:t>
      </w:r>
      <w:bookmarkEnd w:id="18"/>
    </w:p>
    <w:p>
      <w:pPr>
        <w:pStyle w:val="6"/>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评价工作等级</w:t>
      </w:r>
    </w:p>
    <w:p>
      <w:pPr>
        <w:adjustRightInd w:val="0"/>
        <w:snapToGrid w:val="0"/>
        <w:spacing w:line="360" w:lineRule="auto"/>
        <w:ind w:left="0" w:leftChars="0" w:firstLine="480" w:firstLineChars="200"/>
        <w:jc w:val="both"/>
        <w:rPr>
          <w:rFonts w:ascii="Times New Roman" w:hAnsi="Times New Roman" w:cs="Times New Roman" w:eastAsiaTheme="minorEastAsia"/>
          <w:caps w:val="0"/>
          <w:smallCaps w:val="0"/>
          <w:color w:val="000000"/>
          <w:sz w:val="24"/>
          <w:szCs w:val="24"/>
          <w:u w:val="single"/>
        </w:rPr>
      </w:pPr>
      <w:r>
        <w:rPr>
          <w:rFonts w:hint="eastAsia" w:ascii="Times New Roman" w:hAnsi="Times New Roman" w:cs="Times New Roman" w:eastAsiaTheme="minorEastAsia"/>
          <w:caps w:val="0"/>
          <w:smallCaps w:val="0"/>
          <w:color w:val="000000"/>
          <w:sz w:val="24"/>
          <w:szCs w:val="24"/>
          <w:u w:val="single"/>
          <w:lang w:val="en-US" w:eastAsia="zh-CN"/>
        </w:rPr>
        <w:t>根据《建设项目环境影响评价技术导则</w:t>
      </w:r>
      <w:r>
        <w:rPr>
          <w:rFonts w:hint="default" w:ascii="Times New Roman" w:hAnsi="Times New Roman" w:cs="Times New Roman" w:eastAsiaTheme="minorEastAsia"/>
          <w:caps w:val="0"/>
          <w:smallCaps w:val="0"/>
          <w:color w:val="000000"/>
          <w:sz w:val="24"/>
          <w:szCs w:val="24"/>
          <w:u w:val="single"/>
          <w:lang w:val="en-US" w:eastAsia="zh-CN"/>
        </w:rPr>
        <w:t xml:space="preserve"> </w:t>
      </w:r>
      <w:r>
        <w:rPr>
          <w:rFonts w:hint="eastAsia" w:ascii="Times New Roman" w:hAnsi="Times New Roman" w:cs="Times New Roman" w:eastAsiaTheme="minorEastAsia"/>
          <w:caps w:val="0"/>
          <w:smallCaps w:val="0"/>
          <w:color w:val="000000"/>
          <w:sz w:val="24"/>
          <w:szCs w:val="24"/>
          <w:u w:val="single"/>
          <w:lang w:val="en-US" w:eastAsia="zh-CN"/>
        </w:rPr>
        <w:t>总纲》</w:t>
      </w:r>
      <w:r>
        <w:rPr>
          <w:rFonts w:hint="default" w:ascii="Times New Roman" w:hAnsi="Times New Roman" w:cs="Times New Roman" w:eastAsiaTheme="minorEastAsia"/>
          <w:caps w:val="0"/>
          <w:smallCaps w:val="0"/>
          <w:color w:val="000000"/>
          <w:sz w:val="24"/>
          <w:szCs w:val="24"/>
          <w:u w:val="single"/>
          <w:lang w:val="en-US" w:eastAsia="zh-CN"/>
        </w:rPr>
        <w:t>(HJ2.1-2016)</w:t>
      </w:r>
      <w:r>
        <w:rPr>
          <w:rFonts w:hint="eastAsia" w:ascii="Times New Roman" w:hAnsi="Times New Roman" w:cs="Times New Roman" w:eastAsiaTheme="minorEastAsia"/>
          <w:caps w:val="0"/>
          <w:smallCaps w:val="0"/>
          <w:color w:val="000000"/>
          <w:sz w:val="24"/>
          <w:szCs w:val="24"/>
          <w:u w:val="single"/>
          <w:lang w:val="en-US" w:eastAsia="zh-CN"/>
        </w:rPr>
        <w:t>、《环境影响评价技术 导则</w:t>
      </w:r>
      <w:r>
        <w:rPr>
          <w:rFonts w:hint="default" w:ascii="Times New Roman" w:hAnsi="Times New Roman" w:cs="Times New Roman" w:eastAsiaTheme="minorEastAsia"/>
          <w:caps w:val="0"/>
          <w:smallCaps w:val="0"/>
          <w:color w:val="000000"/>
          <w:sz w:val="24"/>
          <w:szCs w:val="24"/>
          <w:u w:val="single"/>
          <w:lang w:val="en-US" w:eastAsia="zh-CN"/>
        </w:rPr>
        <w:t xml:space="preserve"> </w:t>
      </w:r>
      <w:r>
        <w:rPr>
          <w:rFonts w:hint="eastAsia" w:ascii="Times New Roman" w:hAnsi="Times New Roman" w:cs="Times New Roman" w:eastAsiaTheme="minorEastAsia"/>
          <w:caps w:val="0"/>
          <w:smallCaps w:val="0"/>
          <w:color w:val="000000"/>
          <w:sz w:val="24"/>
          <w:szCs w:val="24"/>
          <w:u w:val="single"/>
          <w:lang w:val="en-US" w:eastAsia="zh-CN"/>
        </w:rPr>
        <w:t>大气环境》</w:t>
      </w:r>
      <w:r>
        <w:rPr>
          <w:rFonts w:hint="default" w:ascii="Times New Roman" w:hAnsi="Times New Roman" w:cs="Times New Roman" w:eastAsiaTheme="minorEastAsia"/>
          <w:caps w:val="0"/>
          <w:smallCaps w:val="0"/>
          <w:color w:val="000000"/>
          <w:sz w:val="24"/>
          <w:szCs w:val="24"/>
          <w:u w:val="single"/>
          <w:lang w:val="en-US" w:eastAsia="zh-CN"/>
        </w:rPr>
        <w:t>(HJ2.2-2018)</w:t>
      </w:r>
      <w:r>
        <w:rPr>
          <w:rFonts w:hint="eastAsia" w:ascii="Times New Roman" w:hAnsi="Times New Roman" w:cs="Times New Roman" w:eastAsiaTheme="minorEastAsia"/>
          <w:caps w:val="0"/>
          <w:smallCaps w:val="0"/>
          <w:color w:val="000000"/>
          <w:sz w:val="24"/>
          <w:szCs w:val="24"/>
          <w:u w:val="single"/>
          <w:lang w:val="en-US" w:eastAsia="zh-CN"/>
        </w:rPr>
        <w:t>、《环境影响评价技术导则</w:t>
      </w:r>
      <w:r>
        <w:rPr>
          <w:rFonts w:hint="default" w:ascii="Times New Roman" w:hAnsi="Times New Roman" w:cs="Times New Roman" w:eastAsiaTheme="minorEastAsia"/>
          <w:caps w:val="0"/>
          <w:smallCaps w:val="0"/>
          <w:color w:val="000000"/>
          <w:sz w:val="24"/>
          <w:szCs w:val="24"/>
          <w:u w:val="single"/>
          <w:lang w:val="en-US" w:eastAsia="zh-CN"/>
        </w:rPr>
        <w:t xml:space="preserve"> </w:t>
      </w:r>
      <w:r>
        <w:rPr>
          <w:rFonts w:hint="eastAsia" w:ascii="Times New Roman" w:hAnsi="Times New Roman" w:cs="Times New Roman" w:eastAsiaTheme="minorEastAsia"/>
          <w:caps w:val="0"/>
          <w:smallCaps w:val="0"/>
          <w:color w:val="000000"/>
          <w:sz w:val="24"/>
          <w:szCs w:val="24"/>
          <w:u w:val="single"/>
          <w:lang w:val="en-US" w:eastAsia="zh-CN"/>
        </w:rPr>
        <w:t>地表水环境》</w:t>
      </w:r>
      <w:r>
        <w:rPr>
          <w:rFonts w:hint="default" w:ascii="Times New Roman" w:hAnsi="Times New Roman" w:cs="Times New Roman" w:eastAsiaTheme="minorEastAsia"/>
          <w:caps w:val="0"/>
          <w:smallCaps w:val="0"/>
          <w:color w:val="000000"/>
          <w:sz w:val="24"/>
          <w:szCs w:val="24"/>
          <w:u w:val="single"/>
          <w:lang w:val="en-US" w:eastAsia="zh-CN"/>
        </w:rPr>
        <w:t>(HJ2.3-2018)</w:t>
      </w:r>
      <w:r>
        <w:rPr>
          <w:rFonts w:hint="eastAsia" w:ascii="Times New Roman" w:hAnsi="Times New Roman" w:cs="Times New Roman" w:eastAsiaTheme="minorEastAsia"/>
          <w:caps w:val="0"/>
          <w:smallCaps w:val="0"/>
          <w:color w:val="000000"/>
          <w:sz w:val="24"/>
          <w:szCs w:val="24"/>
          <w:u w:val="single"/>
          <w:lang w:val="en-US" w:eastAsia="zh-CN"/>
        </w:rPr>
        <w:t>、《环境影响评价技术导则—地下水环境》（HJ610-2016）、《环境影响评价技术导则 声环境》(HJ2.4-2009)、《环境影响评价技术导则 土壤环境》(HJ964-2018)、《环境影响评价技术导则 生态影响》(HJ19-2011)、《建设项目环境风险评价技术导则》(HJ169-2018)、《水上溢油环境风险评估技术导则》（JT/T1143-2017）和《水运工程建设项目环境影响评价指南》(JTS-T105-2021)中要求，结合工程特征及所在地的环境特征，</w:t>
      </w:r>
      <w:r>
        <w:rPr>
          <w:rFonts w:ascii="Times New Roman" w:hAnsi="Times New Roman" w:cs="Times New Roman" w:eastAsiaTheme="minorEastAsia"/>
          <w:caps w:val="0"/>
          <w:smallCaps w:val="0"/>
          <w:color w:val="000000"/>
          <w:sz w:val="24"/>
          <w:szCs w:val="24"/>
          <w:u w:val="single"/>
        </w:rPr>
        <w:t>确定本次环境影响评价等级和评价范围。</w:t>
      </w:r>
    </w:p>
    <w:p>
      <w:pPr>
        <w:pStyle w:val="7"/>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地表水环境评价等级</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根据《环境影响评价技术导则</w:t>
      </w:r>
      <w:r>
        <w:rPr>
          <w:rFonts w:hint="eastAsia" w:ascii="Times New Roman" w:hAnsi="Times New Roman" w:cs="Times New Roman" w:eastAsiaTheme="minorEastAsia"/>
          <w:caps w:val="0"/>
          <w:smallCaps w:val="0"/>
          <w:color w:val="000000"/>
          <w:sz w:val="24"/>
          <w:szCs w:val="24"/>
          <w:u w:val="single"/>
          <w:lang w:val="en-US" w:eastAsia="zh-CN"/>
        </w:rPr>
        <w:t xml:space="preserve"> </w:t>
      </w:r>
      <w:r>
        <w:rPr>
          <w:rFonts w:ascii="Times New Roman" w:hAnsi="Times New Roman" w:cs="Times New Roman" w:eastAsiaTheme="minorEastAsia"/>
          <w:caps w:val="0"/>
          <w:smallCaps w:val="0"/>
          <w:color w:val="000000"/>
          <w:sz w:val="24"/>
          <w:szCs w:val="24"/>
          <w:u w:val="single"/>
        </w:rPr>
        <w:t>地表水环境》（HJ2.3-2018）的规定，地表水环境影响评价划分为水污染影响型、水文要素型以及两者兼有的复合型。水污染影响型评价等级按照影响类型、排放方式、排放量或影响情况、受纳水体环境质量现状、水环境保护目标等综合确定，具体判定依据见表2.</w:t>
      </w:r>
      <w:r>
        <w:rPr>
          <w:rFonts w:hint="eastAsia" w:cs="Times New Roman" w:eastAsiaTheme="minorEastAsia"/>
          <w:caps w:val="0"/>
          <w:smallCaps w:val="0"/>
          <w:color w:val="000000"/>
          <w:sz w:val="24"/>
          <w:szCs w:val="24"/>
          <w:u w:val="single"/>
          <w:lang w:val="en-US" w:eastAsia="zh-CN"/>
        </w:rPr>
        <w:t>4</w:t>
      </w:r>
      <w:r>
        <w:rPr>
          <w:rFonts w:ascii="Times New Roman" w:hAnsi="Times New Roman" w:cs="Times New Roman" w:eastAsiaTheme="minorEastAsia"/>
          <w:caps w:val="0"/>
          <w:smallCaps w:val="0"/>
          <w:color w:val="000000"/>
          <w:sz w:val="24"/>
          <w:szCs w:val="24"/>
          <w:u w:val="single"/>
        </w:rPr>
        <w:t>-1。水文要素影响型评价等级按照水温、径流与受影响地表水域等三类水文要素的影响程度进行判定，具体判定依据见表2.</w:t>
      </w:r>
      <w:r>
        <w:rPr>
          <w:rFonts w:hint="eastAsia" w:cs="Times New Roman" w:eastAsiaTheme="minorEastAsia"/>
          <w:caps w:val="0"/>
          <w:smallCaps w:val="0"/>
          <w:color w:val="000000"/>
          <w:sz w:val="24"/>
          <w:szCs w:val="24"/>
          <w:u w:val="single"/>
          <w:lang w:val="en-US" w:eastAsia="zh-CN"/>
        </w:rPr>
        <w:t>4</w:t>
      </w:r>
      <w:r>
        <w:rPr>
          <w:rFonts w:ascii="Times New Roman" w:hAnsi="Times New Roman" w:cs="Times New Roman" w:eastAsiaTheme="minorEastAsia"/>
          <w:caps w:val="0"/>
          <w:smallCaps w:val="0"/>
          <w:color w:val="000000"/>
          <w:sz w:val="24"/>
          <w:szCs w:val="24"/>
          <w:u w:val="single"/>
        </w:rPr>
        <w:t>-2。</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表2.</w:t>
      </w:r>
      <w:r>
        <w:rPr>
          <w:rFonts w:hint="eastAsia" w:cs="Times New Roman" w:eastAsiaTheme="minorEastAsia"/>
          <w:b/>
          <w:caps w:val="0"/>
          <w:smallCaps w:val="0"/>
          <w:color w:val="000000"/>
          <w:sz w:val="24"/>
          <w:szCs w:val="24"/>
          <w:u w:val="single"/>
          <w:lang w:val="en-US" w:eastAsia="zh-CN"/>
        </w:rPr>
        <w:t>4</w:t>
      </w:r>
      <w:r>
        <w:rPr>
          <w:rFonts w:ascii="Times New Roman" w:hAnsi="Times New Roman" w:cs="Times New Roman" w:eastAsiaTheme="minorEastAsia"/>
          <w:b/>
          <w:caps w:val="0"/>
          <w:smallCaps w:val="0"/>
          <w:color w:val="000000"/>
          <w:sz w:val="24"/>
          <w:szCs w:val="24"/>
          <w:u w:val="single"/>
        </w:rPr>
        <w:t>-1水污染影响型建设项目评价等级判定表</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485"/>
        <w:gridCol w:w="1443"/>
        <w:gridCol w:w="617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blHeader/>
          <w:jc w:val="center"/>
        </w:trPr>
        <w:tc>
          <w:tcPr>
            <w:tcW w:w="816" w:type="pct"/>
            <w:vMerge w:val="restar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评价等级</w:t>
            </w:r>
          </w:p>
        </w:tc>
        <w:tc>
          <w:tcPr>
            <w:tcW w:w="4184" w:type="pct"/>
            <w:gridSpan w:val="2"/>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判断依据</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blHeader/>
          <w:jc w:val="center"/>
        </w:trPr>
        <w:tc>
          <w:tcPr>
            <w:tcW w:w="816" w:type="pct"/>
            <w:vMerge w:val="continue"/>
            <w:vAlign w:val="center"/>
          </w:tcPr>
          <w:p>
            <w:pPr>
              <w:pStyle w:val="117"/>
              <w:bidi w:val="0"/>
              <w:rPr>
                <w:rFonts w:ascii="Times New Roman" w:hAnsi="Times New Roman" w:cs="Times New Roman"/>
                <w:caps w:val="0"/>
                <w:smallCaps w:val="0"/>
                <w:u w:val="single"/>
              </w:rPr>
            </w:pPr>
          </w:p>
        </w:tc>
        <w:tc>
          <w:tcPr>
            <w:tcW w:w="79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排放方式</w:t>
            </w:r>
          </w:p>
        </w:tc>
        <w:tc>
          <w:tcPr>
            <w:tcW w:w="3391"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废水排放量Q（m3/d）/水污染物当量数W</w:t>
            </w:r>
            <w:r>
              <w:rPr>
                <w:rFonts w:hint="eastAsia" w:ascii="Times New Roman" w:hAnsi="Times New Roman" w:cs="Times New Roman"/>
                <w:caps w:val="0"/>
                <w:smallCaps w:val="0"/>
                <w:u w:val="single"/>
              </w:rPr>
              <w:t>（</w:t>
            </w:r>
            <w:r>
              <w:rPr>
                <w:rFonts w:ascii="Times New Roman" w:hAnsi="Times New Roman" w:cs="Times New Roman"/>
                <w:caps w:val="0"/>
                <w:smallCaps w:val="0"/>
                <w:u w:val="single"/>
              </w:rPr>
              <w:t>无量纲）</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16"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一级</w:t>
            </w:r>
          </w:p>
        </w:tc>
        <w:tc>
          <w:tcPr>
            <w:tcW w:w="79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直接排放</w:t>
            </w:r>
          </w:p>
        </w:tc>
        <w:tc>
          <w:tcPr>
            <w:tcW w:w="3391"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Q≥20000或W≥600000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16"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二级</w:t>
            </w:r>
          </w:p>
        </w:tc>
        <w:tc>
          <w:tcPr>
            <w:tcW w:w="79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直接排放</w:t>
            </w:r>
          </w:p>
        </w:tc>
        <w:tc>
          <w:tcPr>
            <w:tcW w:w="3391"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其他</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16"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三级A</w:t>
            </w:r>
          </w:p>
        </w:tc>
        <w:tc>
          <w:tcPr>
            <w:tcW w:w="79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直接排放</w:t>
            </w:r>
          </w:p>
        </w:tc>
        <w:tc>
          <w:tcPr>
            <w:tcW w:w="3391"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Q＜200且W＜6000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816" w:type="pct"/>
            <w:shd w:val="clear" w:color="auto" w:fill="BEBEBE" w:themeFill="background1" w:themeFillShade="BF"/>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三级B</w:t>
            </w:r>
          </w:p>
        </w:tc>
        <w:tc>
          <w:tcPr>
            <w:tcW w:w="793" w:type="pct"/>
            <w:shd w:val="clear" w:color="auto" w:fill="BEBEBE" w:themeFill="background1" w:themeFillShade="BF"/>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间接排放</w:t>
            </w:r>
          </w:p>
        </w:tc>
        <w:tc>
          <w:tcPr>
            <w:tcW w:w="3391" w:type="pct"/>
            <w:shd w:val="clear" w:color="auto" w:fill="BEBEBE" w:themeFill="background1" w:themeFillShade="BF"/>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w:t>
            </w:r>
          </w:p>
        </w:tc>
      </w:tr>
    </w:tbl>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表2.</w:t>
      </w:r>
      <w:r>
        <w:rPr>
          <w:rFonts w:hint="eastAsia" w:cs="Times New Roman" w:eastAsiaTheme="minorEastAsia"/>
          <w:b/>
          <w:caps w:val="0"/>
          <w:smallCaps w:val="0"/>
          <w:color w:val="000000"/>
          <w:sz w:val="24"/>
          <w:szCs w:val="24"/>
          <w:u w:val="single"/>
          <w:lang w:val="en-US" w:eastAsia="zh-CN"/>
        </w:rPr>
        <w:t>4</w:t>
      </w:r>
      <w:r>
        <w:rPr>
          <w:rFonts w:ascii="Times New Roman" w:hAnsi="Times New Roman" w:cs="Times New Roman" w:eastAsiaTheme="minorEastAsia"/>
          <w:b/>
          <w:caps w:val="0"/>
          <w:smallCaps w:val="0"/>
          <w:color w:val="000000"/>
          <w:sz w:val="24"/>
          <w:szCs w:val="24"/>
          <w:u w:val="single"/>
        </w:rPr>
        <w:t>-2水文要素影响型建设项目评价等级判定表</w:t>
      </w:r>
    </w:p>
    <w:tbl>
      <w:tblPr>
        <w:tblStyle w:val="71"/>
        <w:tblW w:w="501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07"/>
        <w:gridCol w:w="1461"/>
        <w:gridCol w:w="1461"/>
        <w:gridCol w:w="937"/>
        <w:gridCol w:w="1546"/>
        <w:gridCol w:w="1439"/>
        <w:gridCol w:w="17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8" w:type="pct"/>
            <w:vMerge w:val="restar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评价等级</w:t>
            </w:r>
          </w:p>
        </w:tc>
        <w:tc>
          <w:tcPr>
            <w:tcW w:w="800"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水温</w:t>
            </w:r>
          </w:p>
        </w:tc>
        <w:tc>
          <w:tcPr>
            <w:tcW w:w="1313" w:type="pct"/>
            <w:gridSpan w:val="2"/>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径流</w:t>
            </w:r>
          </w:p>
        </w:tc>
        <w:tc>
          <w:tcPr>
            <w:tcW w:w="2608" w:type="pct"/>
            <w:gridSpan w:val="3"/>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受影响地表水域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8" w:type="pct"/>
            <w:vMerge w:val="continue"/>
            <w:tcMar>
              <w:left w:w="0" w:type="dxa"/>
              <w:right w:w="0" w:type="dxa"/>
            </w:tcMar>
            <w:vAlign w:val="center"/>
          </w:tcPr>
          <w:p>
            <w:pPr>
              <w:pStyle w:val="117"/>
              <w:bidi w:val="0"/>
              <w:rPr>
                <w:rFonts w:ascii="Times New Roman" w:hAnsi="Times New Roman" w:cs="Times New Roman"/>
                <w:caps w:val="0"/>
                <w:smallCaps w:val="0"/>
                <w:u w:val="single"/>
              </w:rPr>
            </w:pPr>
          </w:p>
        </w:tc>
        <w:tc>
          <w:tcPr>
            <w:tcW w:w="800" w:type="pct"/>
            <w:vMerge w:val="restar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年径流量与总库容百分比α/%</w:t>
            </w:r>
          </w:p>
        </w:tc>
        <w:tc>
          <w:tcPr>
            <w:tcW w:w="800" w:type="pct"/>
            <w:vMerge w:val="restar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兴利库容与年径流量百分比β/%</w:t>
            </w:r>
          </w:p>
        </w:tc>
        <w:tc>
          <w:tcPr>
            <w:tcW w:w="513" w:type="pct"/>
            <w:vMerge w:val="restar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取水量占多年平均径流量百分比γ/%</w:t>
            </w:r>
          </w:p>
        </w:tc>
        <w:tc>
          <w:tcPr>
            <w:tcW w:w="1635" w:type="pct"/>
            <w:gridSpan w:val="2"/>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工程垂直投影面积及外扩范围A1/km2工程扰动水底面积A2/km2过水断面宽度占用比例或占用水域面积比例R/%</w:t>
            </w:r>
          </w:p>
        </w:tc>
        <w:tc>
          <w:tcPr>
            <w:tcW w:w="973"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工程垂直投影面积及外扩范围A1/km2工程扰动水底面积A2/km2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8" w:type="pct"/>
            <w:vMerge w:val="continue"/>
            <w:tcMar>
              <w:left w:w="0" w:type="dxa"/>
              <w:right w:w="0" w:type="dxa"/>
            </w:tcMar>
            <w:vAlign w:val="center"/>
          </w:tcPr>
          <w:p>
            <w:pPr>
              <w:pStyle w:val="117"/>
              <w:bidi w:val="0"/>
              <w:rPr>
                <w:rFonts w:ascii="Times New Roman" w:hAnsi="Times New Roman" w:cs="Times New Roman"/>
                <w:caps w:val="0"/>
                <w:smallCaps w:val="0"/>
                <w:u w:val="single"/>
              </w:rPr>
            </w:pPr>
          </w:p>
        </w:tc>
        <w:tc>
          <w:tcPr>
            <w:tcW w:w="800" w:type="pct"/>
            <w:vMerge w:val="continue"/>
            <w:tcMar>
              <w:left w:w="0" w:type="dxa"/>
              <w:right w:w="0" w:type="dxa"/>
            </w:tcMar>
            <w:vAlign w:val="center"/>
          </w:tcPr>
          <w:p>
            <w:pPr>
              <w:pStyle w:val="117"/>
              <w:bidi w:val="0"/>
              <w:rPr>
                <w:rFonts w:ascii="Times New Roman" w:hAnsi="Times New Roman" w:cs="Times New Roman"/>
                <w:caps w:val="0"/>
                <w:smallCaps w:val="0"/>
                <w:u w:val="single"/>
              </w:rPr>
            </w:pPr>
          </w:p>
        </w:tc>
        <w:tc>
          <w:tcPr>
            <w:tcW w:w="800" w:type="pct"/>
            <w:vMerge w:val="continue"/>
            <w:tcMar>
              <w:left w:w="0" w:type="dxa"/>
              <w:right w:w="0" w:type="dxa"/>
            </w:tcMar>
            <w:vAlign w:val="center"/>
          </w:tcPr>
          <w:p>
            <w:pPr>
              <w:pStyle w:val="117"/>
              <w:bidi w:val="0"/>
              <w:rPr>
                <w:rFonts w:ascii="Times New Roman" w:hAnsi="Times New Roman" w:cs="Times New Roman"/>
                <w:caps w:val="0"/>
                <w:smallCaps w:val="0"/>
                <w:u w:val="single"/>
              </w:rPr>
            </w:pPr>
          </w:p>
        </w:tc>
        <w:tc>
          <w:tcPr>
            <w:tcW w:w="513" w:type="pct"/>
            <w:vMerge w:val="continue"/>
            <w:tcMar>
              <w:left w:w="0" w:type="dxa"/>
              <w:right w:w="0" w:type="dxa"/>
            </w:tcMar>
            <w:vAlign w:val="center"/>
          </w:tcPr>
          <w:p>
            <w:pPr>
              <w:pStyle w:val="117"/>
              <w:bidi w:val="0"/>
              <w:rPr>
                <w:rFonts w:ascii="Times New Roman" w:hAnsi="Times New Roman" w:cs="Times New Roman"/>
                <w:caps w:val="0"/>
                <w:smallCaps w:val="0"/>
                <w:u w:val="single"/>
              </w:rPr>
            </w:pPr>
          </w:p>
        </w:tc>
        <w:tc>
          <w:tcPr>
            <w:tcW w:w="847"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河流</w:t>
            </w:r>
          </w:p>
        </w:tc>
        <w:tc>
          <w:tcPr>
            <w:tcW w:w="787"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湖库</w:t>
            </w:r>
          </w:p>
        </w:tc>
        <w:tc>
          <w:tcPr>
            <w:tcW w:w="973"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入海河口、近岸海域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8"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一级</w:t>
            </w:r>
          </w:p>
        </w:tc>
        <w:tc>
          <w:tcPr>
            <w:tcW w:w="800"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α≤10；或稳定分层</w:t>
            </w:r>
          </w:p>
        </w:tc>
        <w:tc>
          <w:tcPr>
            <w:tcW w:w="800"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β≥20；或完全年调节或多年调节</w:t>
            </w:r>
          </w:p>
        </w:tc>
        <w:tc>
          <w:tcPr>
            <w:tcW w:w="513"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γ≥3</w:t>
            </w:r>
          </w:p>
        </w:tc>
        <w:tc>
          <w:tcPr>
            <w:tcW w:w="847"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A1≥0.3；或A2≥1.5；或R≥10</w:t>
            </w:r>
          </w:p>
        </w:tc>
        <w:tc>
          <w:tcPr>
            <w:tcW w:w="787"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A1≥0.3或A2≥1.5或R≥20</w:t>
            </w:r>
          </w:p>
        </w:tc>
        <w:tc>
          <w:tcPr>
            <w:tcW w:w="973"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A1≥0.5；或A2≥3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8"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二级</w:t>
            </w:r>
          </w:p>
        </w:tc>
        <w:tc>
          <w:tcPr>
            <w:tcW w:w="800"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20＞α＞10；或不稳定分层</w:t>
            </w:r>
          </w:p>
        </w:tc>
        <w:tc>
          <w:tcPr>
            <w:tcW w:w="800"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20＞β＞2；或季调节与不完全年调节</w:t>
            </w:r>
          </w:p>
        </w:tc>
        <w:tc>
          <w:tcPr>
            <w:tcW w:w="513"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30＞γ＞10</w:t>
            </w:r>
          </w:p>
        </w:tc>
        <w:tc>
          <w:tcPr>
            <w:tcW w:w="847"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0.3＞A1＞0.05；1.5＞A2＞0.2；或10＞R＞5</w:t>
            </w:r>
          </w:p>
          <w:p>
            <w:pPr>
              <w:pStyle w:val="117"/>
              <w:bidi w:val="0"/>
              <w:rPr>
                <w:rFonts w:ascii="Times New Roman" w:hAnsi="Times New Roman" w:cs="Times New Roman"/>
                <w:caps w:val="0"/>
                <w:smallCaps w:val="0"/>
                <w:u w:val="single"/>
              </w:rPr>
            </w:pPr>
          </w:p>
        </w:tc>
        <w:tc>
          <w:tcPr>
            <w:tcW w:w="787"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0.3＞A1＞0.05；1.5＞A2＞0.2或20＞R＞5</w:t>
            </w:r>
          </w:p>
        </w:tc>
        <w:tc>
          <w:tcPr>
            <w:tcW w:w="973"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0.5＞A1＞0.15；3＞A2＞0.5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78" w:type="pct"/>
            <w:shd w:val="clear" w:color="auto" w:fill="BEBEBE" w:themeFill="background1" w:themeFillShade="BF"/>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三级</w:t>
            </w:r>
          </w:p>
        </w:tc>
        <w:tc>
          <w:tcPr>
            <w:tcW w:w="800"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α≥20；或混合型</w:t>
            </w:r>
          </w:p>
        </w:tc>
        <w:tc>
          <w:tcPr>
            <w:tcW w:w="800"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β≤2；或无调节</w:t>
            </w:r>
          </w:p>
        </w:tc>
        <w:tc>
          <w:tcPr>
            <w:tcW w:w="513"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γ≤10</w:t>
            </w:r>
          </w:p>
        </w:tc>
        <w:tc>
          <w:tcPr>
            <w:tcW w:w="847" w:type="pct"/>
            <w:shd w:val="clear" w:color="auto" w:fill="BEBEBE" w:themeFill="background1" w:themeFillShade="BF"/>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A1≤0.05；或A2≤0.2；或R≤5</w:t>
            </w:r>
          </w:p>
        </w:tc>
        <w:tc>
          <w:tcPr>
            <w:tcW w:w="787"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A1≤0.05；或A2≤0.2或R≤5</w:t>
            </w:r>
          </w:p>
        </w:tc>
        <w:tc>
          <w:tcPr>
            <w:tcW w:w="973" w:type="pct"/>
            <w:tcMar>
              <w:left w:w="0" w:type="dxa"/>
              <w:right w:w="0" w:type="dxa"/>
            </w:tcMar>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A1≤0.15；或A2≤0.5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000" w:type="pct"/>
            <w:gridSpan w:val="7"/>
            <w:shd w:val="clear" w:color="auto" w:fill="auto"/>
            <w:tcMar>
              <w:left w:w="0" w:type="dxa"/>
              <w:right w:w="0" w:type="dxa"/>
            </w:tcMar>
            <w:vAlign w:val="center"/>
          </w:tcPr>
          <w:p>
            <w:pPr>
              <w:pStyle w:val="117"/>
              <w:bidi w:val="0"/>
              <w:jc w:val="left"/>
              <w:rPr>
                <w:rFonts w:ascii="Times New Roman" w:hAnsi="Times New Roman" w:cs="Times New Roman"/>
                <w:caps w:val="0"/>
                <w:smallCaps w:val="0"/>
                <w:u w:val="single"/>
              </w:rPr>
            </w:pPr>
            <w:r>
              <w:rPr>
                <w:rFonts w:hint="eastAsia" w:ascii="Times New Roman" w:hAnsi="Times New Roman" w:cs="Times New Roman"/>
                <w:caps w:val="0"/>
                <w:smallCaps w:val="0"/>
                <w:highlight w:val="lightGray"/>
                <w:u w:val="single"/>
              </w:rPr>
              <w:t>注1：影响范围</w:t>
            </w:r>
            <w:r>
              <w:rPr>
                <w:rFonts w:hint="eastAsia" w:ascii="Times New Roman" w:hAnsi="Times New Roman" w:cs="Times New Roman"/>
                <w:caps w:val="0"/>
                <w:smallCaps w:val="0"/>
                <w:highlight w:val="lightGray"/>
                <w:u w:val="single"/>
                <w:lang w:eastAsia="zh-CN"/>
              </w:rPr>
              <w:t>涉及</w:t>
            </w:r>
            <w:r>
              <w:rPr>
                <w:rFonts w:hint="eastAsia" w:ascii="Times New Roman" w:hAnsi="Times New Roman" w:cs="Times New Roman"/>
                <w:caps w:val="0"/>
                <w:smallCaps w:val="0"/>
                <w:highlight w:val="lightGray"/>
                <w:u w:val="single"/>
              </w:rPr>
              <w:t>饮用水水源保护区、重点保护与珍稀水生生物的栖息地、重要水生生物的自然产卵场、自然保护区等保护目标，评价等级应不低于二级。</w:t>
            </w:r>
          </w:p>
          <w:p>
            <w:pPr>
              <w:pStyle w:val="117"/>
              <w:bidi w:val="0"/>
              <w:jc w:val="left"/>
              <w:rPr>
                <w:rFonts w:ascii="Times New Roman" w:hAnsi="Times New Roman" w:cs="Times New Roman"/>
                <w:caps w:val="0"/>
                <w:smallCaps w:val="0"/>
                <w:u w:val="single"/>
              </w:rPr>
            </w:pPr>
            <w:r>
              <w:rPr>
                <w:rFonts w:hint="eastAsia" w:ascii="Times New Roman" w:hAnsi="Times New Roman" w:cs="Times New Roman"/>
                <w:caps w:val="0"/>
                <w:smallCaps w:val="0"/>
                <w:u w:val="single"/>
              </w:rPr>
              <w:t>注2：跨流域调水、引水式电站、可能受到河流感潮河段影响，评价等级不低于二级。</w:t>
            </w:r>
          </w:p>
          <w:p>
            <w:pPr>
              <w:pStyle w:val="117"/>
              <w:bidi w:val="0"/>
              <w:jc w:val="left"/>
              <w:rPr>
                <w:rFonts w:ascii="Times New Roman" w:hAnsi="Times New Roman" w:cs="Times New Roman"/>
                <w:caps w:val="0"/>
                <w:smallCaps w:val="0"/>
                <w:u w:val="single"/>
              </w:rPr>
            </w:pPr>
            <w:r>
              <w:rPr>
                <w:rFonts w:hint="eastAsia" w:ascii="Times New Roman" w:hAnsi="Times New Roman" w:cs="Times New Roman"/>
                <w:caps w:val="0"/>
                <w:smallCaps w:val="0"/>
                <w:u w:val="single"/>
              </w:rPr>
              <w:t>注3：造成入海河口（湾口）宽度束窄(束窄尺度达到原宽度的5%以上，评价等级应不低于二级。</w:t>
            </w:r>
          </w:p>
          <w:p>
            <w:pPr>
              <w:pStyle w:val="117"/>
              <w:bidi w:val="0"/>
              <w:jc w:val="left"/>
              <w:rPr>
                <w:rFonts w:ascii="Times New Roman" w:hAnsi="Times New Roman" w:cs="Times New Roman"/>
                <w:caps w:val="0"/>
                <w:smallCaps w:val="0"/>
                <w:u w:val="single"/>
              </w:rPr>
            </w:pPr>
            <w:r>
              <w:rPr>
                <w:rFonts w:hint="eastAsia" w:ascii="Times New Roman" w:hAnsi="Times New Roman" w:cs="Times New Roman"/>
                <w:caps w:val="0"/>
                <w:smallCaps w:val="0"/>
                <w:u w:val="single"/>
              </w:rPr>
              <w:t>注4：对不透水的单方向建筑尺度较长的水工建筑物（如防波堤、导流堤等），其与潮流或水流主流向切线垂直方向投影长度大于2km时，评价等级应不低于二级。</w:t>
            </w:r>
          </w:p>
          <w:p>
            <w:pPr>
              <w:pStyle w:val="117"/>
              <w:bidi w:val="0"/>
              <w:jc w:val="left"/>
              <w:rPr>
                <w:rFonts w:ascii="Times New Roman" w:hAnsi="Times New Roman" w:cs="Times New Roman"/>
                <w:caps w:val="0"/>
                <w:smallCaps w:val="0"/>
                <w:u w:val="single"/>
              </w:rPr>
            </w:pPr>
            <w:r>
              <w:rPr>
                <w:rFonts w:hint="eastAsia" w:ascii="Times New Roman" w:hAnsi="Times New Roman" w:cs="Times New Roman"/>
                <w:caps w:val="0"/>
                <w:smallCaps w:val="0"/>
                <w:u w:val="single"/>
              </w:rPr>
              <w:t>注5：允许在一类海域建设的项目，评价等级为一级。</w:t>
            </w:r>
          </w:p>
          <w:p>
            <w:pPr>
              <w:pStyle w:val="117"/>
              <w:bidi w:val="0"/>
              <w:jc w:val="left"/>
              <w:rPr>
                <w:rFonts w:ascii="Times New Roman" w:hAnsi="Times New Roman" w:cs="Times New Roman"/>
                <w:caps w:val="0"/>
                <w:smallCaps w:val="0"/>
                <w:u w:val="single"/>
              </w:rPr>
            </w:pPr>
            <w:r>
              <w:rPr>
                <w:rFonts w:hint="eastAsia" w:ascii="Times New Roman" w:hAnsi="Times New Roman" w:cs="Times New Roman"/>
                <w:caps w:val="0"/>
                <w:smallCaps w:val="0"/>
                <w:u w:val="single"/>
              </w:rPr>
              <w:t>注6：同时存在多个水温要素影响的建设项目，分别判断个水文要素影响评价等级，并取其中最高等级作为水文要素影响型建设项目评价等级。</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sz w:val="24"/>
          <w:szCs w:val="24"/>
          <w:u w:val="single"/>
        </w:rPr>
        <w:t>本项目管线工程、环保工程及相关配套设施属于陆域工程，码头工程属于水域工程。因此，本项目的</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地表水环境影响评价属于水污染影响型和水文要素型兼有的复合型。</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u w:val="single"/>
          <w:lang w:eastAsia="zh-CN"/>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本项目废水</w:t>
      </w:r>
      <w:r>
        <w:rPr>
          <w:rFonts w:hint="eastAsia" w:ascii="Times New Roman" w:hAnsi="Times New Roman" w:cs="Times New Roman" w:eastAsiaTheme="minorEastAsia"/>
          <w:caps w:val="0"/>
          <w:smallCaps w:val="0"/>
          <w:color w:val="000000" w:themeColor="text1"/>
          <w:sz w:val="24"/>
          <w:szCs w:val="24"/>
          <w:u w:val="single"/>
          <w:lang w:val="en-US" w:eastAsia="zh-CN"/>
          <w14:textFill>
            <w14:solidFill>
              <w14:schemeClr w14:val="tx1"/>
            </w14:solidFill>
          </w14:textFill>
        </w:rPr>
        <w:t>产生</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量为</w:t>
      </w:r>
      <w:r>
        <w:rPr>
          <w:rFonts w:hint="eastAsia" w:ascii="Times New Roman" w:hAnsi="Times New Roman" w:cs="Times New Roman" w:eastAsiaTheme="minorEastAsia"/>
          <w:caps w:val="0"/>
          <w:smallCaps w:val="0"/>
          <w:color w:val="000000" w:themeColor="text1"/>
          <w:sz w:val="24"/>
          <w:szCs w:val="24"/>
          <w:u w:val="single"/>
          <w:lang w:val="en-US" w:eastAsia="zh-CN"/>
          <w14:textFill>
            <w14:solidFill>
              <w14:schemeClr w14:val="tx1"/>
            </w14:solidFill>
          </w14:textFill>
        </w:rPr>
        <w:t>900</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m</w:t>
      </w:r>
      <w:r>
        <w:rPr>
          <w:rFonts w:ascii="Times New Roman" w:hAnsi="Times New Roman" w:cs="Times New Roman" w:eastAsiaTheme="minorEastAsia"/>
          <w:caps w:val="0"/>
          <w:smallCaps w:val="0"/>
          <w:color w:val="000000" w:themeColor="text1"/>
          <w:sz w:val="24"/>
          <w:szCs w:val="24"/>
          <w:u w:val="single"/>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w:t>
      </w:r>
      <w:r>
        <w:rPr>
          <w:rFonts w:hint="eastAsia" w:ascii="Times New Roman" w:hAnsi="Times New Roman" w:cs="Times New Roman" w:eastAsiaTheme="minorEastAsia"/>
          <w:caps w:val="0"/>
          <w:smallCaps w:val="0"/>
          <w:color w:val="000000" w:themeColor="text1"/>
          <w:sz w:val="24"/>
          <w:szCs w:val="24"/>
          <w:u w:val="single"/>
          <w:lang w:val="en-US" w:eastAsia="zh-CN"/>
          <w14:textFill>
            <w14:solidFill>
              <w14:schemeClr w14:val="tx1"/>
            </w14:solidFill>
          </w14:textFill>
        </w:rPr>
        <w:t>a</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，废水中主要污染物为COD、SS、NH</w:t>
      </w:r>
      <w:r>
        <w:rPr>
          <w:rFonts w:ascii="Times New Roman" w:hAnsi="Times New Roman" w:cs="Times New Roman" w:eastAsiaTheme="minorEastAsia"/>
          <w:caps w:val="0"/>
          <w:smallCaps w:val="0"/>
          <w:color w:val="000000" w:themeColor="text1"/>
          <w:sz w:val="24"/>
          <w:szCs w:val="24"/>
          <w:u w:val="single"/>
          <w:vertAlign w:val="sub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-N、石油类等。趸船装卸区四周设收</w:t>
      </w:r>
      <w:r>
        <w:rPr>
          <w:rFonts w:ascii="Times New Roman" w:hAnsi="Times New Roman" w:cs="Times New Roman" w:eastAsiaTheme="minorEastAsia"/>
          <w:caps w:val="0"/>
          <w:smallCaps w:val="0"/>
          <w:color w:val="000000"/>
          <w:sz w:val="24"/>
          <w:szCs w:val="24"/>
          <w:u w:val="single"/>
        </w:rPr>
        <w:t>集坎，在趸船内设污水箱，坎内冲洗废水经收集流入污水箱中，</w:t>
      </w:r>
      <w:r>
        <w:rPr>
          <w:rFonts w:hint="eastAsia" w:ascii="Times New Roman" w:hAnsi="Times New Roman" w:cs="Times New Roman" w:eastAsiaTheme="minorEastAsia"/>
          <w:caps w:val="0"/>
          <w:smallCaps w:val="0"/>
          <w:color w:val="000000"/>
          <w:sz w:val="24"/>
          <w:szCs w:val="24"/>
          <w:u w:val="single"/>
          <w:lang w:val="en-US" w:eastAsia="zh-CN"/>
        </w:rPr>
        <w:t>于船舶油污水、生活污水一起交海事部门制定的环保收集船收集处理</w:t>
      </w:r>
      <w:r>
        <w:rPr>
          <w:rFonts w:ascii="Times New Roman" w:hAnsi="Times New Roman" w:cs="Times New Roman" w:eastAsiaTheme="minorEastAsia"/>
          <w:caps w:val="0"/>
          <w:smallCaps w:val="0"/>
          <w:color w:val="000000"/>
          <w:sz w:val="24"/>
          <w:szCs w:val="24"/>
          <w:u w:val="single"/>
        </w:rPr>
        <w:t>，</w:t>
      </w:r>
      <w:r>
        <w:rPr>
          <w:rFonts w:hint="eastAsia" w:ascii="Times New Roman" w:hAnsi="Times New Roman" w:cs="Times New Roman" w:eastAsiaTheme="minorEastAsia"/>
          <w:caps w:val="0"/>
          <w:smallCaps w:val="0"/>
          <w:color w:val="000000"/>
          <w:sz w:val="24"/>
          <w:szCs w:val="24"/>
          <w:u w:val="single"/>
          <w:lang w:val="en-US" w:eastAsia="zh-CN"/>
        </w:rPr>
        <w:t>码头生活污水经库区化粪池处理后排入市政污水管网</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w:t>
      </w:r>
      <w:r>
        <w:rPr>
          <w:rFonts w:ascii="Times New Roman" w:hAnsi="Times New Roman" w:cs="Times New Roman" w:eastAsiaTheme="minorEastAsia"/>
          <w:caps w:val="0"/>
          <w:smallCaps w:val="0"/>
          <w:color w:val="000000"/>
          <w:sz w:val="24"/>
          <w:szCs w:val="24"/>
          <w:u w:val="single"/>
        </w:rPr>
        <w:t>通过表2.5-1，本项目水污染评价工作等级为三级B评价的要求。本项目码头采用浮码头结构，工程垂直投影面积及外扩面积A</w:t>
      </w:r>
      <w:r>
        <w:rPr>
          <w:rFonts w:ascii="Times New Roman" w:hAnsi="Times New Roman" w:cs="Times New Roman" w:eastAsiaTheme="minorEastAsia"/>
          <w:caps w:val="0"/>
          <w:smallCaps w:val="0"/>
          <w:color w:val="000000"/>
          <w:sz w:val="24"/>
          <w:szCs w:val="24"/>
          <w:u w:val="single"/>
          <w:vertAlign w:val="subscript"/>
        </w:rPr>
        <w:t>1</w:t>
      </w:r>
      <w:r>
        <w:rPr>
          <w:rFonts w:ascii="Times New Roman" w:hAnsi="Times New Roman" w:cs="Times New Roman" w:eastAsiaTheme="minorEastAsia"/>
          <w:caps w:val="0"/>
          <w:smallCaps w:val="0"/>
          <w:color w:val="000000"/>
          <w:sz w:val="24"/>
          <w:szCs w:val="24"/>
          <w:u w:val="single"/>
        </w:rPr>
        <w:t>约为0.00</w:t>
      </w:r>
      <w:r>
        <w:rPr>
          <w:rFonts w:hint="eastAsia" w:ascii="Times New Roman" w:hAnsi="Times New Roman" w:cs="Times New Roman" w:eastAsiaTheme="minorEastAsia"/>
          <w:caps w:val="0"/>
          <w:smallCaps w:val="0"/>
          <w:color w:val="000000"/>
          <w:sz w:val="24"/>
          <w:szCs w:val="24"/>
          <w:u w:val="single"/>
        </w:rPr>
        <w:t>1</w:t>
      </w:r>
      <w:r>
        <w:rPr>
          <w:rFonts w:hint="eastAsia" w:ascii="Times New Roman" w:hAnsi="Times New Roman" w:cs="Times New Roman" w:eastAsiaTheme="minorEastAsia"/>
          <w:caps w:val="0"/>
          <w:smallCaps w:val="0"/>
          <w:color w:val="000000"/>
          <w:sz w:val="24"/>
          <w:szCs w:val="24"/>
          <w:u w:val="single"/>
          <w:lang w:val="en-US" w:eastAsia="zh-CN"/>
        </w:rPr>
        <w:t>098</w:t>
      </w:r>
      <w:r>
        <w:rPr>
          <w:rFonts w:ascii="Times New Roman" w:hAnsi="Times New Roman" w:cs="Times New Roman" w:eastAsiaTheme="minorEastAsia"/>
          <w:caps w:val="0"/>
          <w:smallCaps w:val="0"/>
          <w:color w:val="000000"/>
          <w:sz w:val="24"/>
          <w:szCs w:val="24"/>
          <w:u w:val="single"/>
        </w:rPr>
        <w:t>km</w:t>
      </w:r>
      <w:r>
        <w:rPr>
          <w:rFonts w:ascii="Times New Roman" w:hAnsi="Times New Roman" w:cs="Times New Roman" w:eastAsiaTheme="minorEastAsia"/>
          <w:caps w:val="0"/>
          <w:smallCaps w:val="0"/>
          <w:color w:val="000000"/>
          <w:sz w:val="24"/>
          <w:szCs w:val="24"/>
          <w:u w:val="single"/>
          <w:vertAlign w:val="superscript"/>
        </w:rPr>
        <w:t>2</w:t>
      </w:r>
      <w:r>
        <w:rPr>
          <w:rFonts w:ascii="Times New Roman" w:hAnsi="Times New Roman" w:cs="Times New Roman" w:eastAsiaTheme="minorEastAsia"/>
          <w:caps w:val="0"/>
          <w:smallCaps w:val="0"/>
          <w:color w:val="000000"/>
          <w:sz w:val="24"/>
          <w:szCs w:val="24"/>
          <w:u w:val="single"/>
        </w:rPr>
        <w:t>，工程扰动水底面积A</w:t>
      </w:r>
      <w:r>
        <w:rPr>
          <w:rFonts w:ascii="Times New Roman" w:hAnsi="Times New Roman" w:cs="Times New Roman" w:eastAsiaTheme="minorEastAsia"/>
          <w:b/>
          <w:caps w:val="0"/>
          <w:smallCaps w:val="0"/>
          <w:color w:val="000000"/>
          <w:kern w:val="0"/>
          <w:sz w:val="13"/>
          <w:szCs w:val="13"/>
          <w:u w:val="single"/>
        </w:rPr>
        <w:t>2</w:t>
      </w:r>
      <w:r>
        <w:rPr>
          <w:rFonts w:hint="eastAsia" w:ascii="Times New Roman" w:hAnsi="Times New Roman" w:cs="Times New Roman" w:eastAsiaTheme="minorEastAsia"/>
          <w:caps w:val="0"/>
          <w:smallCaps w:val="0"/>
          <w:color w:val="000000"/>
          <w:sz w:val="24"/>
          <w:szCs w:val="24"/>
          <w:u w:val="single"/>
          <w:lang w:val="en-US" w:eastAsia="zh-CN"/>
        </w:rPr>
        <w:t>约为0.0134</w:t>
      </w:r>
      <w:r>
        <w:rPr>
          <w:rFonts w:ascii="Times New Roman" w:hAnsi="Times New Roman" w:cs="Times New Roman" w:eastAsiaTheme="minorEastAsia"/>
          <w:caps w:val="0"/>
          <w:smallCaps w:val="0"/>
          <w:color w:val="000000"/>
          <w:sz w:val="24"/>
          <w:szCs w:val="24"/>
          <w:u w:val="single"/>
        </w:rPr>
        <w:t>km</w:t>
      </w:r>
      <w:r>
        <w:rPr>
          <w:rFonts w:ascii="Times New Roman" w:hAnsi="Times New Roman" w:cs="Times New Roman" w:eastAsiaTheme="minorEastAsia"/>
          <w:b/>
          <w:caps w:val="0"/>
          <w:smallCaps w:val="0"/>
          <w:color w:val="000000"/>
          <w:kern w:val="0"/>
          <w:u w:val="single"/>
          <w:vertAlign w:val="superscript"/>
        </w:rPr>
        <w:t>2</w:t>
      </w:r>
      <w:r>
        <w:rPr>
          <w:rFonts w:hint="eastAsia" w:ascii="Times New Roman" w:hAnsi="Times New Roman" w:cs="Times New Roman" w:eastAsiaTheme="minorEastAsia"/>
          <w:b/>
          <w:caps w:val="0"/>
          <w:smallCaps w:val="0"/>
          <w:color w:val="000000"/>
          <w:kern w:val="0"/>
          <w:u w:val="single"/>
          <w:vertAlign w:val="baseline"/>
          <w:lang w:eastAsia="zh-CN"/>
        </w:rPr>
        <w:t>，</w:t>
      </w:r>
      <w:r>
        <w:rPr>
          <w:rFonts w:ascii="Times New Roman" w:hAnsi="Times New Roman" w:cs="Times New Roman" w:eastAsiaTheme="minorEastAsia"/>
          <w:caps w:val="0"/>
          <w:smallCaps w:val="0"/>
          <w:color w:val="000000"/>
          <w:sz w:val="24"/>
          <w:szCs w:val="24"/>
          <w:u w:val="single"/>
        </w:rPr>
        <w:t>过水断面宽度占用</w:t>
      </w:r>
      <w:r>
        <w:rPr>
          <w:rFonts w:hint="eastAsia" w:ascii="Times New Roman" w:hAnsi="Times New Roman" w:cs="Times New Roman" w:eastAsiaTheme="minorEastAsia"/>
          <w:caps w:val="0"/>
          <w:smallCaps w:val="0"/>
          <w:color w:val="000000"/>
          <w:sz w:val="24"/>
          <w:szCs w:val="24"/>
          <w:u w:val="single"/>
          <w:lang w:val="en-US" w:eastAsia="zh-CN"/>
        </w:rPr>
        <w:t>比例小于5%，本应为三级评级，</w:t>
      </w:r>
      <w:r>
        <w:rPr>
          <w:rFonts w:hint="eastAsia" w:ascii="Times New Roman" w:hAnsi="Times New Roman" w:cs="Times New Roman" w:eastAsiaTheme="minorEastAsia"/>
          <w:caps w:val="0"/>
          <w:smallCaps w:val="0"/>
          <w:color w:val="000000"/>
          <w:sz w:val="24"/>
          <w:szCs w:val="24"/>
          <w:u w:val="single"/>
        </w:rPr>
        <w:t>但本项目涉及岳阳市江豚市级自然保护区实</w:t>
      </w: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验区。</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根据表2.5-2，水文评价等级判定为</w:t>
      </w: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二</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级。</w:t>
      </w:r>
      <w:r>
        <w:rPr>
          <w:rFonts w:hint="eastAsia" w:ascii="Times New Roman" w:hAnsi="Times New Roman" w:cs="Times New Roman" w:eastAsiaTheme="minorEastAsia"/>
          <w:caps w:val="0"/>
          <w:smallCaps w:val="0"/>
          <w:color w:val="000000" w:themeColor="text1"/>
          <w:sz w:val="24"/>
          <w:szCs w:val="24"/>
          <w:u w:val="single"/>
          <w:lang w:eastAsia="zh-CN"/>
          <w14:textFill>
            <w14:solidFill>
              <w14:schemeClr w14:val="tx1"/>
            </w14:solidFill>
          </w14:textFill>
        </w:rPr>
        <w:t>同时根据</w:t>
      </w:r>
      <w:r>
        <w:rPr>
          <w:rFonts w:hint="eastAsia" w:ascii="Times New Roman" w:hAnsi="Times New Roman" w:cs="Times New Roman" w:eastAsiaTheme="minorEastAsia"/>
          <w:caps w:val="0"/>
          <w:smallCaps w:val="0"/>
          <w:color w:val="000000" w:themeColor="text1"/>
          <w:sz w:val="24"/>
          <w:szCs w:val="24"/>
          <w:u w:val="single"/>
          <w:lang w:val="en-US" w:eastAsia="zh-CN"/>
          <w14:textFill>
            <w14:solidFill>
              <w14:schemeClr w14:val="tx1"/>
            </w14:solidFill>
          </w14:textFill>
        </w:rPr>
        <w:t xml:space="preserve">据《水运工程建设项目环境影响评价指南》（JTS-T 105-2021）规定，现有港区涉及重要生境的油气化工码头等工程水文动力环境、冲淤环境、水质和沉积物等级为二级。 </w:t>
      </w:r>
    </w:p>
    <w:p>
      <w:pPr>
        <w:adjustRightInd w:val="0"/>
        <w:snapToGrid w:val="0"/>
        <w:spacing w:line="360" w:lineRule="auto"/>
        <w:ind w:firstLine="480" w:firstLineChars="200"/>
        <w:rPr>
          <w:rFonts w:hint="eastAsia" w:ascii="Times New Roman" w:hAnsi="Times New Roman" w:cs="Times New Roman" w:eastAsiaTheme="minorEastAsia"/>
          <w:caps w:val="0"/>
          <w:smallCaps w:val="0"/>
          <w:u w:val="single"/>
          <w:lang w:eastAsia="zh-CN"/>
        </w:rPr>
      </w:pPr>
      <w:r>
        <w:rPr>
          <w:rFonts w:hint="eastAsia" w:ascii="Times New Roman" w:hAnsi="Times New Roman" w:cs="Times New Roman" w:eastAsiaTheme="minorEastAsia"/>
          <w:caps w:val="0"/>
          <w:smallCaps w:val="0"/>
          <w:color w:val="000000" w:themeColor="text1"/>
          <w:sz w:val="24"/>
          <w:szCs w:val="24"/>
          <w:u w:val="single"/>
          <w:lang w:val="en-US" w:eastAsia="zh-CN"/>
          <w14:textFill>
            <w14:solidFill>
              <w14:schemeClr w14:val="tx1"/>
            </w14:solidFill>
          </w14:textFill>
        </w:rPr>
        <w:t>综上，本项目地表水环境评价等级为二级。</w:t>
      </w:r>
    </w:p>
    <w:p>
      <w:pPr>
        <w:pStyle w:val="7"/>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地下水评价等级</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地下水评价等级根据《环境影响评价技术导则地下水环境》（HJ610-2016）中的附录A地下水环境影响评价行业分类表，本项目属于“S水运”中的“129、油气、液体化工码头”，对应的地下水环境影响评价项目类别见表2.</w:t>
      </w:r>
      <w:r>
        <w:rPr>
          <w:rFonts w:hint="eastAsia" w:cs="Times New Roman" w:eastAsiaTheme="minorEastAsia"/>
          <w:caps w:val="0"/>
          <w:smallCaps w:val="0"/>
          <w:color w:val="000000"/>
          <w:sz w:val="24"/>
          <w:szCs w:val="24"/>
          <w:u w:val="single"/>
          <w:lang w:val="en-US" w:eastAsia="zh-CN"/>
        </w:rPr>
        <w:t>4</w:t>
      </w:r>
      <w:r>
        <w:rPr>
          <w:rFonts w:ascii="Times New Roman" w:hAnsi="Times New Roman" w:cs="Times New Roman" w:eastAsiaTheme="minorEastAsia"/>
          <w:caps w:val="0"/>
          <w:smallCaps w:val="0"/>
          <w:color w:val="000000"/>
          <w:sz w:val="24"/>
          <w:szCs w:val="24"/>
          <w:u w:val="single"/>
        </w:rPr>
        <w:t>-3。</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表2.</w:t>
      </w:r>
      <w:r>
        <w:rPr>
          <w:rFonts w:hint="eastAsia" w:cs="Times New Roman" w:eastAsiaTheme="minorEastAsia"/>
          <w:b/>
          <w:caps w:val="0"/>
          <w:smallCaps w:val="0"/>
          <w:color w:val="000000"/>
          <w:sz w:val="24"/>
          <w:szCs w:val="24"/>
          <w:u w:val="single"/>
          <w:lang w:val="en-US" w:eastAsia="zh-CN"/>
        </w:rPr>
        <w:t>4</w:t>
      </w:r>
      <w:r>
        <w:rPr>
          <w:rFonts w:ascii="Times New Roman" w:hAnsi="Times New Roman" w:cs="Times New Roman" w:eastAsiaTheme="minorEastAsia"/>
          <w:b/>
          <w:caps w:val="0"/>
          <w:smallCaps w:val="0"/>
          <w:color w:val="000000"/>
          <w:sz w:val="24"/>
          <w:szCs w:val="24"/>
          <w:u w:val="single"/>
        </w:rPr>
        <w:t>-3地下水环境影响评价项目类别</w:t>
      </w:r>
    </w:p>
    <w:tbl>
      <w:tblPr>
        <w:tblStyle w:val="71"/>
        <w:tblW w:w="5016"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2711"/>
        <w:gridCol w:w="1929"/>
        <w:gridCol w:w="1154"/>
        <w:gridCol w:w="1671"/>
        <w:gridCol w:w="16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jc w:val="center"/>
        </w:trPr>
        <w:tc>
          <w:tcPr>
            <w:tcW w:w="1484" w:type="pct"/>
            <w:vMerge w:val="restart"/>
            <w:tcBorders>
              <w:top w:val="single" w:color="000000" w:sz="12" w:space="0"/>
              <w:left w:val="single" w:color="000000" w:sz="12" w:space="0"/>
              <w:tl2br w:val="single" w:color="000000" w:sz="4" w:space="0"/>
            </w:tcBorders>
            <w:vAlign w:val="center"/>
          </w:tcPr>
          <w:p>
            <w:pPr>
              <w:pStyle w:val="117"/>
              <w:bidi w:val="0"/>
              <w:jc w:val="right"/>
              <w:rPr>
                <w:rFonts w:hint="default" w:ascii="Times New Roman" w:hAnsi="Times New Roman" w:eastAsia="宋体" w:cs="Times New Roman"/>
                <w:caps w:val="0"/>
                <w:smallCaps w:val="0"/>
                <w:u w:val="single"/>
                <w:lang w:val="en-US" w:eastAsia="zh-CN"/>
              </w:rPr>
            </w:pPr>
            <w:r>
              <w:rPr>
                <w:rFonts w:ascii="Times New Roman" w:hAnsi="Times New Roman" w:cs="Times New Roman"/>
                <w:caps w:val="0"/>
                <w:smallCaps w:val="0"/>
                <w:u w:val="single"/>
              </w:rPr>
              <w:t>行业类别</w:t>
            </w:r>
          </w:p>
          <w:p>
            <w:pPr>
              <w:pStyle w:val="117"/>
              <w:bidi w:val="0"/>
              <w:jc w:val="both"/>
              <w:rPr>
                <w:rFonts w:ascii="Times New Roman" w:hAnsi="Times New Roman" w:cs="Times New Roman"/>
                <w:caps w:val="0"/>
                <w:smallCaps w:val="0"/>
                <w:u w:val="single"/>
              </w:rPr>
            </w:pPr>
            <w:r>
              <w:rPr>
                <w:rFonts w:ascii="Times New Roman" w:hAnsi="Times New Roman" w:cs="Times New Roman"/>
                <w:caps w:val="0"/>
                <w:smallCaps w:val="0"/>
                <w:u w:val="single"/>
              </w:rPr>
              <w:t>环评类别</w:t>
            </w:r>
          </w:p>
        </w:tc>
        <w:tc>
          <w:tcPr>
            <w:tcW w:w="1056" w:type="pct"/>
            <w:vMerge w:val="restart"/>
            <w:tcBorders>
              <w:top w:val="single" w:color="000000"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报告书</w:t>
            </w:r>
          </w:p>
        </w:tc>
        <w:tc>
          <w:tcPr>
            <w:tcW w:w="632" w:type="pct"/>
            <w:vMerge w:val="restart"/>
            <w:tcBorders>
              <w:top w:val="single" w:color="000000"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报告表</w:t>
            </w:r>
          </w:p>
        </w:tc>
        <w:tc>
          <w:tcPr>
            <w:tcW w:w="1826" w:type="pct"/>
            <w:gridSpan w:val="2"/>
            <w:tcBorders>
              <w:top w:val="single" w:color="000000" w:sz="12" w:space="0"/>
              <w:right w:val="single" w:color="000000"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地下水环境影响评价项目类别</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jc w:val="center"/>
        </w:trPr>
        <w:tc>
          <w:tcPr>
            <w:tcW w:w="1484" w:type="pct"/>
            <w:vMerge w:val="continue"/>
            <w:tcBorders>
              <w:left w:val="single" w:color="000000" w:sz="12" w:space="0"/>
              <w:tl2br w:val="single" w:color="000000" w:sz="4" w:space="0"/>
            </w:tcBorders>
            <w:vAlign w:val="center"/>
          </w:tcPr>
          <w:p>
            <w:pPr>
              <w:pStyle w:val="117"/>
              <w:bidi w:val="0"/>
              <w:rPr>
                <w:rFonts w:ascii="Times New Roman" w:hAnsi="Times New Roman" w:cs="Times New Roman"/>
                <w:caps w:val="0"/>
                <w:smallCaps w:val="0"/>
                <w:u w:val="single"/>
              </w:rPr>
            </w:pPr>
          </w:p>
        </w:tc>
        <w:tc>
          <w:tcPr>
            <w:tcW w:w="1056" w:type="pct"/>
            <w:vMerge w:val="continue"/>
            <w:vAlign w:val="center"/>
          </w:tcPr>
          <w:p>
            <w:pPr>
              <w:pStyle w:val="117"/>
              <w:bidi w:val="0"/>
              <w:rPr>
                <w:rFonts w:ascii="Times New Roman" w:hAnsi="Times New Roman" w:cs="Times New Roman"/>
                <w:caps w:val="0"/>
                <w:smallCaps w:val="0"/>
                <w:u w:val="single"/>
              </w:rPr>
            </w:pPr>
          </w:p>
        </w:tc>
        <w:tc>
          <w:tcPr>
            <w:tcW w:w="632" w:type="pct"/>
            <w:vMerge w:val="continue"/>
            <w:vAlign w:val="center"/>
          </w:tcPr>
          <w:p>
            <w:pPr>
              <w:pStyle w:val="117"/>
              <w:bidi w:val="0"/>
              <w:rPr>
                <w:rFonts w:ascii="Times New Roman" w:hAnsi="Times New Roman" w:cs="Times New Roman"/>
                <w:caps w:val="0"/>
                <w:smallCaps w:val="0"/>
                <w:u w:val="single"/>
              </w:rPr>
            </w:pPr>
          </w:p>
        </w:tc>
        <w:tc>
          <w:tcPr>
            <w:tcW w:w="915"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报告书</w:t>
            </w:r>
          </w:p>
        </w:tc>
        <w:tc>
          <w:tcPr>
            <w:tcW w:w="910" w:type="pct"/>
            <w:tcBorders>
              <w:right w:val="single" w:color="000000"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报告表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jc w:val="center"/>
        </w:trPr>
        <w:tc>
          <w:tcPr>
            <w:tcW w:w="1484" w:type="pct"/>
            <w:tcBorders>
              <w:left w:val="single" w:color="000000"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129、油气、液体化工码头</w:t>
            </w:r>
          </w:p>
        </w:tc>
        <w:tc>
          <w:tcPr>
            <w:tcW w:w="1056"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全部</w:t>
            </w:r>
          </w:p>
        </w:tc>
        <w:tc>
          <w:tcPr>
            <w:tcW w:w="632"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w:t>
            </w:r>
          </w:p>
        </w:tc>
        <w:tc>
          <w:tcPr>
            <w:tcW w:w="915"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Ⅱ</w:t>
            </w:r>
            <w:r>
              <w:rPr>
                <w:rFonts w:ascii="Times New Roman" w:hAnsi="Times New Roman" w:cs="Times New Roman"/>
                <w:caps w:val="0"/>
                <w:smallCaps w:val="0"/>
                <w:u w:val="single"/>
              </w:rPr>
              <w:t>类</w:t>
            </w:r>
          </w:p>
        </w:tc>
        <w:tc>
          <w:tcPr>
            <w:tcW w:w="910" w:type="pct"/>
            <w:tcBorders>
              <w:right w:val="single" w:color="000000"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地下水环境敏感程度分级见表2.</w:t>
      </w:r>
      <w:r>
        <w:rPr>
          <w:rFonts w:hint="eastAsia" w:cs="Times New Roman" w:eastAsiaTheme="minorEastAsia"/>
          <w:caps w:val="0"/>
          <w:smallCaps w:val="0"/>
          <w:color w:val="000000"/>
          <w:sz w:val="24"/>
          <w:szCs w:val="24"/>
          <w:u w:val="single"/>
          <w:lang w:val="en-US" w:eastAsia="zh-CN"/>
        </w:rPr>
        <w:t>4</w:t>
      </w:r>
      <w:r>
        <w:rPr>
          <w:rFonts w:ascii="Times New Roman" w:hAnsi="Times New Roman" w:cs="Times New Roman" w:eastAsiaTheme="minorEastAsia"/>
          <w:caps w:val="0"/>
          <w:smallCaps w:val="0"/>
          <w:color w:val="000000"/>
          <w:sz w:val="24"/>
          <w:szCs w:val="24"/>
          <w:u w:val="single"/>
        </w:rPr>
        <w:t>-4。</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表2.</w:t>
      </w:r>
      <w:r>
        <w:rPr>
          <w:rFonts w:hint="eastAsia" w:cs="Times New Roman" w:eastAsiaTheme="minorEastAsia"/>
          <w:b/>
          <w:caps w:val="0"/>
          <w:smallCaps w:val="0"/>
          <w:color w:val="000000"/>
          <w:sz w:val="24"/>
          <w:szCs w:val="24"/>
          <w:u w:val="single"/>
          <w:lang w:val="en-US" w:eastAsia="zh-CN"/>
        </w:rPr>
        <w:t>4</w:t>
      </w:r>
      <w:r>
        <w:rPr>
          <w:rFonts w:ascii="Times New Roman" w:hAnsi="Times New Roman" w:cs="Times New Roman" w:eastAsiaTheme="minorEastAsia"/>
          <w:b/>
          <w:caps w:val="0"/>
          <w:smallCaps w:val="0"/>
          <w:color w:val="000000"/>
          <w:sz w:val="24"/>
          <w:szCs w:val="24"/>
          <w:u w:val="single"/>
        </w:rPr>
        <w:t>-4地下水环境敏感程度分级表</w:t>
      </w:r>
    </w:p>
    <w:tbl>
      <w:tblPr>
        <w:tblStyle w:val="72"/>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134"/>
        <w:gridCol w:w="796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62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敏感程度</w:t>
            </w:r>
          </w:p>
        </w:tc>
        <w:tc>
          <w:tcPr>
            <w:tcW w:w="4377"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地下水环境敏感特征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2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敏感</w:t>
            </w:r>
          </w:p>
        </w:tc>
        <w:tc>
          <w:tcPr>
            <w:tcW w:w="4377"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集中式饮用水水源（包括已建成的在用、备用、应急水源，在建和规划的饮用水水源）准保护区；除集中式应用水水源以外的国家或地方政府设定的地下水环境相关的其他保护区，如热水、矿泉水、温泉等特殊地下水资源保护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2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较敏感</w:t>
            </w:r>
          </w:p>
        </w:tc>
        <w:tc>
          <w:tcPr>
            <w:tcW w:w="4377"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集中式饮用水水源（包括已建成的在用、备用、应急水源，在建和规划的饮用水水源）准保护区以外的补给径流区；未划定准保护区的集中水式饮用水水源，其保护区以外的补给径流区；分散式饮用水水源地；特殊地下水资源（如矿泉水、温泉等）保护区以外的分布区等其他未列入上述敏感分级的环境敏感区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623" w:type="pct"/>
            <w:shd w:val="clear" w:color="auto" w:fill="BEBEBE" w:themeFill="background1" w:themeFillShade="BF"/>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不敏感</w:t>
            </w:r>
          </w:p>
        </w:tc>
        <w:tc>
          <w:tcPr>
            <w:tcW w:w="4377"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上述地区之外的其他地区。</w:t>
            </w:r>
          </w:p>
        </w:tc>
      </w:tr>
    </w:tbl>
    <w:p>
      <w:pPr>
        <w:autoSpaceDE w:val="0"/>
        <w:autoSpaceDN w:val="0"/>
        <w:adjustRightInd w:val="0"/>
        <w:snapToGrid w:val="0"/>
        <w:jc w:val="left"/>
        <w:rPr>
          <w:rFonts w:ascii="Times New Roman" w:hAnsi="Times New Roman" w:cs="Times New Roman" w:eastAsiaTheme="minorEastAsia"/>
          <w:caps w:val="0"/>
          <w:smallCaps w:val="0"/>
          <w:color w:val="000000"/>
          <w:kern w:val="0"/>
          <w:u w:val="single"/>
        </w:rPr>
      </w:pPr>
      <w:r>
        <w:rPr>
          <w:rFonts w:ascii="Times New Roman" w:hAnsi="Times New Roman" w:cs="Times New Roman" w:eastAsiaTheme="minorEastAsia"/>
          <w:caps w:val="0"/>
          <w:smallCaps w:val="0"/>
          <w:color w:val="000000"/>
          <w:kern w:val="0"/>
          <w:u w:val="single"/>
        </w:rPr>
        <w:t>注：a“环境敏感区”是指《建设项目环境影响评价分类管理名录》中所界定的涉及地下水的环境敏感区。</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本项目地下水为</w:t>
      </w:r>
      <w:r>
        <w:rPr>
          <w:rFonts w:hint="eastAsia" w:ascii="Times New Roman" w:hAnsi="Times New Roman" w:cs="Times New Roman"/>
          <w:caps w:val="0"/>
          <w:smallCaps w:val="0"/>
          <w:color w:val="000000"/>
          <w:sz w:val="24"/>
          <w:szCs w:val="24"/>
          <w:u w:val="single"/>
        </w:rPr>
        <w:t>Ⅱ</w:t>
      </w:r>
      <w:r>
        <w:rPr>
          <w:rFonts w:ascii="Times New Roman" w:hAnsi="Times New Roman" w:cs="Times New Roman" w:eastAsiaTheme="minorEastAsia"/>
          <w:caps w:val="0"/>
          <w:smallCaps w:val="0"/>
          <w:color w:val="000000"/>
          <w:sz w:val="24"/>
          <w:szCs w:val="24"/>
          <w:u w:val="single"/>
        </w:rPr>
        <w:t>类项目，项目所在区域不属于集中式饮用水水源准保护区、不属于热水、矿泉水、温泉等特殊地下水源保护区，无分散居民饮用水源等其它环境敏感区，地下水敏感程度为不敏感。根据地下水环境影响评价工作等级划分依据，项目地下水评价工作等级为三级，见下表。</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表2.</w:t>
      </w:r>
      <w:r>
        <w:rPr>
          <w:rFonts w:hint="eastAsia" w:cs="Times New Roman" w:eastAsiaTheme="minorEastAsia"/>
          <w:b/>
          <w:caps w:val="0"/>
          <w:smallCaps w:val="0"/>
          <w:color w:val="000000"/>
          <w:sz w:val="24"/>
          <w:szCs w:val="24"/>
          <w:u w:val="single"/>
          <w:lang w:val="en-US" w:eastAsia="zh-CN"/>
        </w:rPr>
        <w:t>4</w:t>
      </w:r>
      <w:r>
        <w:rPr>
          <w:rFonts w:ascii="Times New Roman" w:hAnsi="Times New Roman" w:cs="Times New Roman" w:eastAsiaTheme="minorEastAsia"/>
          <w:b/>
          <w:caps w:val="0"/>
          <w:smallCaps w:val="0"/>
          <w:color w:val="000000"/>
          <w:sz w:val="24"/>
          <w:szCs w:val="24"/>
          <w:u w:val="single"/>
        </w:rPr>
        <w:t>-5地下水环境评价工作等级判定表</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2664"/>
        <w:gridCol w:w="2146"/>
        <w:gridCol w:w="2146"/>
        <w:gridCol w:w="2144"/>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blHeader/>
          <w:jc w:val="center"/>
        </w:trPr>
        <w:tc>
          <w:tcPr>
            <w:tcW w:w="1464"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项目类别环境敏感程度</w:t>
            </w:r>
          </w:p>
        </w:tc>
        <w:tc>
          <w:tcPr>
            <w:tcW w:w="1179"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Ⅰ</w:t>
            </w:r>
            <w:r>
              <w:rPr>
                <w:rFonts w:ascii="Times New Roman" w:hAnsi="Times New Roman" w:cs="Times New Roman"/>
                <w:caps w:val="0"/>
                <w:smallCaps w:val="0"/>
                <w:u w:val="single"/>
              </w:rPr>
              <w:t>类项目</w:t>
            </w:r>
          </w:p>
        </w:tc>
        <w:tc>
          <w:tcPr>
            <w:tcW w:w="1179"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Ⅱ</w:t>
            </w:r>
            <w:r>
              <w:rPr>
                <w:rFonts w:ascii="Times New Roman" w:hAnsi="Times New Roman" w:cs="Times New Roman"/>
                <w:caps w:val="0"/>
                <w:smallCaps w:val="0"/>
                <w:u w:val="single"/>
              </w:rPr>
              <w:t>类项目</w:t>
            </w:r>
          </w:p>
        </w:tc>
        <w:tc>
          <w:tcPr>
            <w:tcW w:w="1178"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Ⅲ</w:t>
            </w:r>
            <w:r>
              <w:rPr>
                <w:rFonts w:ascii="Times New Roman" w:hAnsi="Times New Roman" w:cs="Times New Roman"/>
                <w:caps w:val="0"/>
                <w:smallCaps w:val="0"/>
                <w:u w:val="single"/>
              </w:rPr>
              <w:t>类项目</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64"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敏感</w:t>
            </w:r>
          </w:p>
        </w:tc>
        <w:tc>
          <w:tcPr>
            <w:tcW w:w="1179"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w:t>
            </w:r>
          </w:p>
        </w:tc>
        <w:tc>
          <w:tcPr>
            <w:tcW w:w="1179"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w:t>
            </w:r>
          </w:p>
        </w:tc>
        <w:tc>
          <w:tcPr>
            <w:tcW w:w="1178"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64"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较敏感</w:t>
            </w:r>
          </w:p>
        </w:tc>
        <w:tc>
          <w:tcPr>
            <w:tcW w:w="1179"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w:t>
            </w:r>
          </w:p>
        </w:tc>
        <w:tc>
          <w:tcPr>
            <w:tcW w:w="1179"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二</w:t>
            </w:r>
          </w:p>
        </w:tc>
        <w:tc>
          <w:tcPr>
            <w:tcW w:w="1178"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64"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不敏感</w:t>
            </w:r>
          </w:p>
        </w:tc>
        <w:tc>
          <w:tcPr>
            <w:tcW w:w="1179"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二</w:t>
            </w:r>
          </w:p>
        </w:tc>
        <w:tc>
          <w:tcPr>
            <w:tcW w:w="1179" w:type="pct"/>
            <w:shd w:val="clear" w:color="auto" w:fill="BEBEBE"/>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w:t>
            </w:r>
          </w:p>
        </w:tc>
        <w:tc>
          <w:tcPr>
            <w:tcW w:w="1178"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w:t>
            </w:r>
          </w:p>
        </w:tc>
      </w:tr>
    </w:tbl>
    <w:p>
      <w:pPr>
        <w:autoSpaceDE w:val="0"/>
        <w:autoSpaceDN w:val="0"/>
        <w:adjustRightInd w:val="0"/>
        <w:jc w:val="left"/>
        <w:rPr>
          <w:rFonts w:ascii="Times New Roman" w:hAnsi="Times New Roman" w:cs="Times New Roman" w:eastAsiaTheme="minorEastAsia"/>
          <w:caps w:val="0"/>
          <w:smallCaps w:val="0"/>
          <w:kern w:val="0"/>
          <w:sz w:val="24"/>
          <w:szCs w:val="24"/>
          <w:u w:val="single"/>
        </w:rPr>
      </w:pPr>
    </w:p>
    <w:p>
      <w:pPr>
        <w:pStyle w:val="7"/>
        <w:rPr>
          <w:rFonts w:ascii="Times New Roman" w:hAnsi="Times New Roman" w:cs="Times New Roman" w:eastAsiaTheme="minorEastAsia"/>
          <w:caps w:val="0"/>
          <w:smallCaps w:val="0"/>
          <w:color w:val="000000" w:themeColor="text1"/>
          <w:u w:val="single"/>
          <w14:textFill>
            <w14:solidFill>
              <w14:schemeClr w14:val="tx1"/>
            </w14:solidFill>
          </w14:textFill>
        </w:rPr>
      </w:pPr>
      <w:r>
        <w:rPr>
          <w:rFonts w:ascii="Times New Roman" w:hAnsi="Times New Roman" w:cs="Times New Roman" w:eastAsiaTheme="minorEastAsia"/>
          <w:caps w:val="0"/>
          <w:smallCaps w:val="0"/>
          <w:color w:val="000000" w:themeColor="text1"/>
          <w:u w:val="single"/>
          <w14:textFill>
            <w14:solidFill>
              <w14:schemeClr w14:val="tx1"/>
            </w14:solidFill>
          </w14:textFill>
        </w:rPr>
        <w:t>大气环境评价等级</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根据《环境影响评价技术导则大气环境》（HJ2.2-2018），分别计算项目排放主要污染物的最大地面空气质量浓度占标率P</w:t>
      </w:r>
      <w:r>
        <w:rPr>
          <w:rFonts w:ascii="Times New Roman" w:hAnsi="Times New Roman" w:cs="Times New Roman" w:eastAsiaTheme="minorEastAsia"/>
          <w:caps w:val="0"/>
          <w:smallCaps w:val="0"/>
          <w:color w:val="000000" w:themeColor="text1"/>
          <w:sz w:val="24"/>
          <w:szCs w:val="24"/>
          <w:u w:val="single"/>
          <w:vertAlign w:val="subscript"/>
          <w14:textFill>
            <w14:solidFill>
              <w14:schemeClr w14:val="tx1"/>
            </w14:solidFill>
          </w14:textFill>
        </w:rPr>
        <w:t>i</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（第i个污染物，简称“最大浓度占标率”），及第i个污染物的地面空气质量浓度达到标准值的10%时所对应的最远距离D</w:t>
      </w:r>
      <w:r>
        <w:rPr>
          <w:rFonts w:ascii="Times New Roman" w:hAnsi="Times New Roman" w:cs="Times New Roman" w:eastAsiaTheme="minorEastAsia"/>
          <w:caps w:val="0"/>
          <w:smallCaps w:val="0"/>
          <w:color w:val="000000" w:themeColor="text1"/>
          <w:sz w:val="24"/>
          <w:szCs w:val="24"/>
          <w:u w:val="single"/>
          <w:vertAlign w:val="subscript"/>
          <w14:textFill>
            <w14:solidFill>
              <w14:schemeClr w14:val="tx1"/>
            </w14:solidFill>
          </w14:textFill>
        </w:rPr>
        <w:t>10%</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。其中P</w:t>
      </w:r>
      <w:r>
        <w:rPr>
          <w:rFonts w:ascii="Times New Roman" w:hAnsi="Times New Roman" w:cs="Times New Roman" w:eastAsiaTheme="minorEastAsia"/>
          <w:caps w:val="0"/>
          <w:smallCaps w:val="0"/>
          <w:color w:val="000000" w:themeColor="text1"/>
          <w:sz w:val="24"/>
          <w:szCs w:val="24"/>
          <w:u w:val="single"/>
          <w:vertAlign w:val="subscript"/>
          <w14:textFill>
            <w14:solidFill>
              <w14:schemeClr w14:val="tx1"/>
            </w14:solidFill>
          </w14:textFill>
        </w:rPr>
        <w:t>i</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定义为：</w:t>
      </w:r>
    </w:p>
    <w:p>
      <w:pPr>
        <w:adjustRightInd w:val="0"/>
        <w:snapToGrid w:val="0"/>
        <w:spacing w:line="360" w:lineRule="auto"/>
        <w:jc w:val="cente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themeColor="text1"/>
          <w:u w:val="single"/>
          <w14:textFill>
            <w14:solidFill>
              <w14:schemeClr w14:val="tx1"/>
            </w14:solidFill>
          </w14:textFill>
        </w:rPr>
        <w:drawing>
          <wp:inline distT="0" distB="0" distL="0" distR="0">
            <wp:extent cx="1009650" cy="4114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a:stretch>
                      <a:fillRect/>
                    </a:stretch>
                  </pic:blipFill>
                  <pic:spPr>
                    <a:xfrm>
                      <a:off x="0" y="0"/>
                      <a:ext cx="1032411" cy="420796"/>
                    </a:xfrm>
                    <a:prstGeom prst="rect">
                      <a:avLst/>
                    </a:prstGeom>
                  </pic:spPr>
                </pic:pic>
              </a:graphicData>
            </a:graphic>
          </wp:inline>
        </w:drawing>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式中：P</w:t>
      </w:r>
      <w:r>
        <w:rPr>
          <w:rFonts w:ascii="Times New Roman" w:hAnsi="Times New Roman" w:cs="Times New Roman" w:eastAsiaTheme="minorEastAsia"/>
          <w:caps w:val="0"/>
          <w:smallCaps w:val="0"/>
          <w:color w:val="000000" w:themeColor="text1"/>
          <w:sz w:val="24"/>
          <w:szCs w:val="24"/>
          <w:u w:val="single"/>
          <w:vertAlign w:val="subscript"/>
          <w14:textFill>
            <w14:solidFill>
              <w14:schemeClr w14:val="tx1"/>
            </w14:solidFill>
          </w14:textFill>
        </w:rPr>
        <w:t>i</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—第i个污染物的最大地面空气质量浓度占标率，%；</w:t>
      </w:r>
    </w:p>
    <w:p>
      <w:pPr>
        <w:adjustRightInd w:val="0"/>
        <w:snapToGrid w:val="0"/>
        <w:spacing w:line="360" w:lineRule="auto"/>
        <w:ind w:firstLine="1200" w:firstLineChars="5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C</w:t>
      </w:r>
      <w:r>
        <w:rPr>
          <w:rFonts w:ascii="Times New Roman" w:hAnsi="Times New Roman" w:cs="Times New Roman" w:eastAsiaTheme="minorEastAsia"/>
          <w:caps w:val="0"/>
          <w:smallCaps w:val="0"/>
          <w:color w:val="000000" w:themeColor="text1"/>
          <w:sz w:val="24"/>
          <w:szCs w:val="24"/>
          <w:u w:val="single"/>
          <w:vertAlign w:val="subscript"/>
          <w14:textFill>
            <w14:solidFill>
              <w14:schemeClr w14:val="tx1"/>
            </w14:solidFill>
          </w14:textFill>
        </w:rPr>
        <w:t>i</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—采用估算模式计算出的第i个污染物的最大1h地面空气质量浓度，μg/m</w:t>
      </w:r>
      <w:r>
        <w:rPr>
          <w:rFonts w:ascii="Times New Roman" w:hAnsi="Times New Roman" w:cs="Times New Roman" w:eastAsiaTheme="minorEastAsia"/>
          <w:caps w:val="0"/>
          <w:smallCaps w:val="0"/>
          <w:color w:val="000000" w:themeColor="text1"/>
          <w:sz w:val="24"/>
          <w:szCs w:val="24"/>
          <w:u w:val="single"/>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w:t>
      </w:r>
    </w:p>
    <w:p>
      <w:pPr>
        <w:adjustRightInd w:val="0"/>
        <w:snapToGrid w:val="0"/>
        <w:spacing w:line="360" w:lineRule="auto"/>
        <w:ind w:firstLine="1200" w:firstLineChars="5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C</w:t>
      </w:r>
      <w:r>
        <w:rPr>
          <w:rFonts w:ascii="Times New Roman" w:hAnsi="Times New Roman" w:cs="Times New Roman" w:eastAsiaTheme="minorEastAsia"/>
          <w:caps w:val="0"/>
          <w:smallCaps w:val="0"/>
          <w:color w:val="000000" w:themeColor="text1"/>
          <w:sz w:val="24"/>
          <w:szCs w:val="24"/>
          <w:u w:val="single"/>
          <w:vertAlign w:val="subscript"/>
          <w14:textFill>
            <w14:solidFill>
              <w14:schemeClr w14:val="tx1"/>
            </w14:solidFill>
          </w14:textFill>
        </w:rPr>
        <w:t>oi</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—第i个污染物的环境空气质量标准，μg/m</w:t>
      </w:r>
      <w:r>
        <w:rPr>
          <w:rFonts w:ascii="Times New Roman" w:hAnsi="Times New Roman" w:cs="Times New Roman" w:eastAsiaTheme="minorEastAsia"/>
          <w:caps w:val="0"/>
          <w:smallCaps w:val="0"/>
          <w:color w:val="000000" w:themeColor="text1"/>
          <w:sz w:val="24"/>
          <w:szCs w:val="24"/>
          <w:u w:val="single"/>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w:t>
      </w:r>
    </w:p>
    <w:p>
      <w:pPr>
        <w:adjustRightInd w:val="0"/>
        <w:snapToGrid w:val="0"/>
        <w:spacing w:line="360" w:lineRule="auto"/>
        <w:ind w:firstLine="1200" w:firstLineChars="5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C</w:t>
      </w:r>
      <w:r>
        <w:rPr>
          <w:rFonts w:ascii="Times New Roman" w:hAnsi="Times New Roman" w:cs="Times New Roman" w:eastAsiaTheme="minorEastAsia"/>
          <w:caps w:val="0"/>
          <w:smallCaps w:val="0"/>
          <w:color w:val="000000" w:themeColor="text1"/>
          <w:sz w:val="24"/>
          <w:szCs w:val="24"/>
          <w:u w:val="single"/>
          <w:vertAlign w:val="subscript"/>
          <w14:textFill>
            <w14:solidFill>
              <w14:schemeClr w14:val="tx1"/>
            </w14:solidFill>
          </w14:textFill>
        </w:rPr>
        <w:t>oi</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一般选用《环境空气质量标准》（GB3095-2012）中1小时平均取样时间的二级标准的浓度限值；如项目位于一类环境空气功能区，应选择相应的一级浓度限值；对该标准中未包含的污染物，可参照附录D附录中的浓度限值。对上述标准中都未包含的污染物，可参照选用其他国家、国际组织发布的环境质量浓度限值或基准值，但应作出说明，经生态环境主管部门同意后执行。</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根据《环境影响评价技术导则大气环境》（HJ2.2-2018）中规定的大气评价等级及推荐的估算模式计算P</w:t>
      </w:r>
      <w:r>
        <w:rPr>
          <w:rFonts w:ascii="Times New Roman" w:hAnsi="Times New Roman" w:cs="Times New Roman" w:eastAsiaTheme="minorEastAsia"/>
          <w:caps w:val="0"/>
          <w:smallCaps w:val="0"/>
          <w:color w:val="000000" w:themeColor="text1"/>
          <w:sz w:val="24"/>
          <w:szCs w:val="24"/>
          <w:u w:val="single"/>
          <w:vertAlign w:val="subscript"/>
          <w14:textFill>
            <w14:solidFill>
              <w14:schemeClr w14:val="tx1"/>
            </w14:solidFill>
          </w14:textFill>
        </w:rPr>
        <w:t>i</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，其计算依据见表2.</w:t>
      </w:r>
      <w:r>
        <w:rPr>
          <w:rFonts w:hint="eastAsia" w:cs="Times New Roman" w:eastAsiaTheme="minorEastAsia"/>
          <w:caps w:val="0"/>
          <w:smallCaps w:val="0"/>
          <w:color w:val="000000" w:themeColor="text1"/>
          <w:sz w:val="24"/>
          <w:szCs w:val="24"/>
          <w:u w:val="single"/>
          <w:lang w:val="en-US" w:eastAsia="zh-CN"/>
          <w14:textFill>
            <w14:solidFill>
              <w14:schemeClr w14:val="tx1"/>
            </w14:solidFill>
          </w14:textFill>
        </w:rPr>
        <w:t>4</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-6，相关污染物排放参数及计算结果见下表2.</w:t>
      </w:r>
      <w:r>
        <w:rPr>
          <w:rFonts w:hint="eastAsia" w:cs="Times New Roman" w:eastAsiaTheme="minorEastAsia"/>
          <w:caps w:val="0"/>
          <w:smallCaps w:val="0"/>
          <w:color w:val="000000" w:themeColor="text1"/>
          <w:sz w:val="24"/>
          <w:szCs w:val="24"/>
          <w:u w:val="single"/>
          <w:lang w:val="en-US" w:eastAsia="zh-CN"/>
          <w14:textFill>
            <w14:solidFill>
              <w14:schemeClr w14:val="tx1"/>
            </w14:solidFill>
          </w14:textFill>
        </w:rPr>
        <w:t>4</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-7、表2.</w:t>
      </w:r>
      <w:r>
        <w:rPr>
          <w:rFonts w:hint="eastAsia" w:cs="Times New Roman" w:eastAsiaTheme="minorEastAsia"/>
          <w:caps w:val="0"/>
          <w:smallCaps w:val="0"/>
          <w:color w:val="000000" w:themeColor="text1"/>
          <w:sz w:val="24"/>
          <w:szCs w:val="24"/>
          <w:u w:val="single"/>
          <w:lang w:val="en-US" w:eastAsia="zh-CN"/>
          <w14:textFill>
            <w14:solidFill>
              <w14:schemeClr w14:val="tx1"/>
            </w14:solidFill>
          </w14:textFill>
        </w:rPr>
        <w:t>4</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-8。</w:t>
      </w:r>
    </w:p>
    <w:p>
      <w:pPr>
        <w:tabs>
          <w:tab w:val="left" w:pos="900"/>
        </w:tabs>
        <w:snapToGrid w:val="0"/>
        <w:spacing w:line="276" w:lineRule="auto"/>
        <w:jc w:val="cente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t>表2.</w:t>
      </w:r>
      <w:r>
        <w:rPr>
          <w:rFonts w:hint="eastAsia" w:cs="Times New Roman" w:eastAsiaTheme="minorEastAsia"/>
          <w:b/>
          <w:caps w:val="0"/>
          <w:smallCaps w:val="0"/>
          <w:color w:val="000000" w:themeColor="text1"/>
          <w:sz w:val="24"/>
          <w:szCs w:val="24"/>
          <w:u w:val="single"/>
          <w:lang w:val="en-US" w:eastAsia="zh-CN"/>
          <w14:textFill>
            <w14:solidFill>
              <w14:schemeClr w14:val="tx1"/>
            </w14:solidFill>
          </w14:textFill>
        </w:rPr>
        <w:t>4</w:t>
      </w:r>
      <w: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t>-6环境空气评价工作等级判据</w:t>
      </w:r>
    </w:p>
    <w:tbl>
      <w:tblPr>
        <w:tblStyle w:val="72"/>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4550"/>
        <w:gridCol w:w="455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50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评价工作等级</w:t>
            </w:r>
          </w:p>
        </w:tc>
        <w:tc>
          <w:tcPr>
            <w:tcW w:w="250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评价工作等级判据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50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一级</w:t>
            </w:r>
          </w:p>
        </w:tc>
        <w:tc>
          <w:tcPr>
            <w:tcW w:w="250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Pmax≥10%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50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二级</w:t>
            </w:r>
          </w:p>
        </w:tc>
        <w:tc>
          <w:tcPr>
            <w:tcW w:w="250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1%≤Pmax＜10%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50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三级</w:t>
            </w:r>
          </w:p>
        </w:tc>
        <w:tc>
          <w:tcPr>
            <w:tcW w:w="250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Pmax&lt;1%</w:t>
            </w:r>
          </w:p>
        </w:tc>
      </w:tr>
    </w:tbl>
    <w:p>
      <w:pPr>
        <w:tabs>
          <w:tab w:val="left" w:pos="900"/>
        </w:tabs>
        <w:snapToGrid w:val="0"/>
        <w:spacing w:line="276" w:lineRule="auto"/>
        <w:jc w:val="cente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t>表2.</w:t>
      </w:r>
      <w:r>
        <w:rPr>
          <w:rFonts w:hint="eastAsia" w:cs="Times New Roman" w:eastAsiaTheme="minorEastAsia"/>
          <w:b/>
          <w:caps w:val="0"/>
          <w:smallCaps w:val="0"/>
          <w:color w:val="000000" w:themeColor="text1"/>
          <w:sz w:val="24"/>
          <w:szCs w:val="24"/>
          <w:u w:val="single"/>
          <w:lang w:val="en-US" w:eastAsia="zh-CN"/>
          <w14:textFill>
            <w14:solidFill>
              <w14:schemeClr w14:val="tx1"/>
            </w14:solidFill>
          </w14:textFill>
        </w:rPr>
        <w:t>4</w:t>
      </w:r>
      <w: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t>-7估算模型参数表</w:t>
      </w:r>
    </w:p>
    <w:tbl>
      <w:tblPr>
        <w:tblStyle w:val="71"/>
        <w:tblW w:w="499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2704"/>
        <w:gridCol w:w="1689"/>
        <w:gridCol w:w="1804"/>
        <w:gridCol w:w="290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blHeader/>
        </w:trPr>
        <w:tc>
          <w:tcPr>
            <w:tcW w:w="2414"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参数</w:t>
            </w:r>
          </w:p>
        </w:tc>
        <w:tc>
          <w:tcPr>
            <w:tcW w:w="2585"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取值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486" w:type="pct"/>
            <w:vMerge w:val="restar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城市/农村选项</w:t>
            </w:r>
          </w:p>
        </w:tc>
        <w:tc>
          <w:tcPr>
            <w:tcW w:w="1919"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城市/农村</w:t>
            </w:r>
          </w:p>
        </w:tc>
        <w:tc>
          <w:tcPr>
            <w:tcW w:w="1594"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农村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486" w:type="pct"/>
            <w:vMerge w:val="continue"/>
            <w:tcBorders>
              <w:tl2br w:val="nil"/>
              <w:tr2bl w:val="nil"/>
            </w:tcBorders>
            <w:vAlign w:val="center"/>
          </w:tcPr>
          <w:p>
            <w:pPr>
              <w:pStyle w:val="117"/>
              <w:bidi w:val="0"/>
              <w:rPr>
                <w:rFonts w:ascii="Times New Roman" w:hAnsi="Times New Roman" w:cs="Times New Roman"/>
                <w:caps w:val="0"/>
                <w:smallCaps w:val="0"/>
                <w:u w:val="single"/>
              </w:rPr>
            </w:pPr>
          </w:p>
        </w:tc>
        <w:tc>
          <w:tcPr>
            <w:tcW w:w="1919"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人口数</w:t>
            </w:r>
            <w:r>
              <w:rPr>
                <w:rFonts w:hint="eastAsia" w:ascii="Times New Roman" w:hAnsi="Times New Roman" w:cs="Times New Roman"/>
                <w:caps w:val="0"/>
                <w:smallCaps w:val="0"/>
                <w:u w:val="single"/>
              </w:rPr>
              <w:t>（</w:t>
            </w:r>
            <w:r>
              <w:rPr>
                <w:rFonts w:ascii="Times New Roman" w:hAnsi="Times New Roman" w:cs="Times New Roman"/>
                <w:caps w:val="0"/>
                <w:smallCaps w:val="0"/>
                <w:u w:val="single"/>
              </w:rPr>
              <w:t>城市人口数</w:t>
            </w:r>
            <w:r>
              <w:rPr>
                <w:rFonts w:hint="eastAsia" w:ascii="Times New Roman" w:hAnsi="Times New Roman" w:cs="Times New Roman"/>
                <w:caps w:val="0"/>
                <w:smallCaps w:val="0"/>
                <w:u w:val="single"/>
              </w:rPr>
              <w:t>）</w:t>
            </w:r>
          </w:p>
        </w:tc>
        <w:tc>
          <w:tcPr>
            <w:tcW w:w="1594"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2414"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最高环境温度</w:t>
            </w:r>
          </w:p>
        </w:tc>
        <w:tc>
          <w:tcPr>
            <w:tcW w:w="2585"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40.0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2414"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最低环境温度</w:t>
            </w:r>
          </w:p>
        </w:tc>
        <w:tc>
          <w:tcPr>
            <w:tcW w:w="2585"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2414"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土地利用类型</w:t>
            </w:r>
          </w:p>
        </w:tc>
        <w:tc>
          <w:tcPr>
            <w:tcW w:w="2585"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农田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414"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区域湿度条件</w:t>
            </w:r>
          </w:p>
        </w:tc>
        <w:tc>
          <w:tcPr>
            <w:tcW w:w="2585" w:type="pct"/>
            <w:gridSpan w:val="2"/>
            <w:tcBorders>
              <w:tl2br w:val="nil"/>
              <w:tr2bl w:val="nil"/>
            </w:tcBorders>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潮湿</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486" w:type="pct"/>
            <w:vMerge w:val="restar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是否考虑地形</w:t>
            </w:r>
          </w:p>
        </w:tc>
        <w:tc>
          <w:tcPr>
            <w:tcW w:w="1919"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考虑地形</w:t>
            </w:r>
          </w:p>
        </w:tc>
        <w:tc>
          <w:tcPr>
            <w:tcW w:w="1594"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486" w:type="pct"/>
            <w:vMerge w:val="continue"/>
            <w:tcBorders>
              <w:tl2br w:val="nil"/>
              <w:tr2bl w:val="nil"/>
            </w:tcBorders>
            <w:vAlign w:val="center"/>
          </w:tcPr>
          <w:p>
            <w:pPr>
              <w:pStyle w:val="117"/>
              <w:bidi w:val="0"/>
              <w:rPr>
                <w:rFonts w:ascii="Times New Roman" w:hAnsi="Times New Roman" w:cs="Times New Roman"/>
                <w:caps w:val="0"/>
                <w:smallCaps w:val="0"/>
                <w:u w:val="single"/>
              </w:rPr>
            </w:pPr>
          </w:p>
        </w:tc>
        <w:tc>
          <w:tcPr>
            <w:tcW w:w="1919"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地形数据分辨率(m)</w:t>
            </w:r>
          </w:p>
        </w:tc>
        <w:tc>
          <w:tcPr>
            <w:tcW w:w="1594"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486" w:type="pct"/>
            <w:vMerge w:val="restar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是否考虑岸线熏烟</w:t>
            </w:r>
          </w:p>
        </w:tc>
        <w:tc>
          <w:tcPr>
            <w:tcW w:w="1919"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考虑岸线熏烟</w:t>
            </w:r>
          </w:p>
        </w:tc>
        <w:tc>
          <w:tcPr>
            <w:tcW w:w="1594"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486" w:type="pct"/>
            <w:vMerge w:val="continue"/>
            <w:tcBorders>
              <w:tl2br w:val="nil"/>
              <w:tr2bl w:val="nil"/>
            </w:tcBorders>
            <w:vAlign w:val="center"/>
          </w:tcPr>
          <w:p>
            <w:pPr>
              <w:pStyle w:val="117"/>
              <w:bidi w:val="0"/>
              <w:rPr>
                <w:rFonts w:ascii="Times New Roman" w:hAnsi="Times New Roman" w:cs="Times New Roman"/>
                <w:caps w:val="0"/>
                <w:smallCaps w:val="0"/>
                <w:u w:val="single"/>
              </w:rPr>
            </w:pPr>
          </w:p>
        </w:tc>
        <w:tc>
          <w:tcPr>
            <w:tcW w:w="1919"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岸线距离/m</w:t>
            </w:r>
          </w:p>
        </w:tc>
        <w:tc>
          <w:tcPr>
            <w:tcW w:w="1594"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486" w:type="pct"/>
            <w:vMerge w:val="continue"/>
            <w:tcBorders>
              <w:tl2br w:val="nil"/>
              <w:tr2bl w:val="nil"/>
            </w:tcBorders>
            <w:vAlign w:val="center"/>
          </w:tcPr>
          <w:p>
            <w:pPr>
              <w:pStyle w:val="117"/>
              <w:bidi w:val="0"/>
              <w:rPr>
                <w:rFonts w:ascii="Times New Roman" w:hAnsi="Times New Roman" w:cs="Times New Roman"/>
                <w:caps w:val="0"/>
                <w:smallCaps w:val="0"/>
                <w:u w:val="single"/>
              </w:rPr>
            </w:pPr>
          </w:p>
        </w:tc>
        <w:tc>
          <w:tcPr>
            <w:tcW w:w="1919" w:type="pct"/>
            <w:gridSpan w:val="2"/>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岸线方向/°</w:t>
            </w:r>
          </w:p>
        </w:tc>
        <w:tc>
          <w:tcPr>
            <w:tcW w:w="1594"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经过采用估算模式计算，所得的计算结果如下表2.</w:t>
      </w:r>
      <w:r>
        <w:rPr>
          <w:rFonts w:hint="eastAsia" w:cs="Times New Roman" w:eastAsiaTheme="minorEastAsia"/>
          <w:caps w:val="0"/>
          <w:smallCaps w:val="0"/>
          <w:color w:val="000000" w:themeColor="text1"/>
          <w:sz w:val="24"/>
          <w:szCs w:val="24"/>
          <w:u w:val="single"/>
          <w:lang w:val="en-US" w:eastAsia="zh-CN"/>
          <w14:textFill>
            <w14:solidFill>
              <w14:schemeClr w14:val="tx1"/>
            </w14:solidFill>
          </w14:textFill>
        </w:rPr>
        <w:t>4</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-8。</w:t>
      </w:r>
    </w:p>
    <w:p>
      <w:pPr>
        <w:tabs>
          <w:tab w:val="left" w:pos="900"/>
        </w:tabs>
        <w:snapToGrid w:val="0"/>
        <w:spacing w:line="276" w:lineRule="auto"/>
        <w:jc w:val="cente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pPr>
    </w:p>
    <w:p>
      <w:pPr>
        <w:tabs>
          <w:tab w:val="left" w:pos="900"/>
        </w:tabs>
        <w:snapToGrid w:val="0"/>
        <w:spacing w:line="276" w:lineRule="auto"/>
        <w:jc w:val="cente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pPr>
    </w:p>
    <w:p>
      <w:pPr>
        <w:tabs>
          <w:tab w:val="left" w:pos="900"/>
        </w:tabs>
        <w:snapToGrid w:val="0"/>
        <w:spacing w:line="276" w:lineRule="auto"/>
        <w:jc w:val="cente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t>表2.</w:t>
      </w:r>
      <w:r>
        <w:rPr>
          <w:rFonts w:hint="eastAsia" w:cs="Times New Roman" w:eastAsiaTheme="minorEastAsia"/>
          <w:b/>
          <w:caps w:val="0"/>
          <w:smallCaps w:val="0"/>
          <w:color w:val="000000" w:themeColor="text1"/>
          <w:sz w:val="24"/>
          <w:szCs w:val="24"/>
          <w:u w:val="single"/>
          <w:lang w:val="en-US" w:eastAsia="zh-CN"/>
          <w14:textFill>
            <w14:solidFill>
              <w14:schemeClr w14:val="tx1"/>
            </w14:solidFill>
          </w14:textFill>
        </w:rPr>
        <w:t>4</w:t>
      </w:r>
      <w: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t>-8项目废气排放估算模式参数取值一览表</w:t>
      </w:r>
    </w:p>
    <w:tbl>
      <w:tblPr>
        <w:tblStyle w:val="71"/>
        <w:tblW w:w="5062"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436"/>
        <w:gridCol w:w="1211"/>
        <w:gridCol w:w="1824"/>
        <w:gridCol w:w="1580"/>
        <w:gridCol w:w="1580"/>
        <w:gridCol w:w="158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61" w:hRule="atLeast"/>
        </w:trPr>
        <w:tc>
          <w:tcPr>
            <w:tcW w:w="779"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污染源名称</w:t>
            </w:r>
          </w:p>
        </w:tc>
        <w:tc>
          <w:tcPr>
            <w:tcW w:w="657"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评价因子</w:t>
            </w:r>
          </w:p>
        </w:tc>
        <w:tc>
          <w:tcPr>
            <w:tcW w:w="989"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评价标准(μg/m³)</w:t>
            </w:r>
          </w:p>
        </w:tc>
        <w:tc>
          <w:tcPr>
            <w:tcW w:w="857"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Cmax(μg/m³)</w:t>
            </w:r>
          </w:p>
        </w:tc>
        <w:tc>
          <w:tcPr>
            <w:tcW w:w="857"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Pmax(%)</w:t>
            </w:r>
          </w:p>
        </w:tc>
        <w:tc>
          <w:tcPr>
            <w:tcW w:w="858"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D10%(m)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9" w:hRule="atLeast"/>
        </w:trPr>
        <w:tc>
          <w:tcPr>
            <w:tcW w:w="779"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矩形面源</w:t>
            </w:r>
          </w:p>
        </w:tc>
        <w:tc>
          <w:tcPr>
            <w:tcW w:w="657" w:type="pct"/>
            <w:tcBorders>
              <w:tl2br w:val="nil"/>
              <w:tr2bl w:val="nil"/>
            </w:tcBorders>
            <w:vAlign w:val="center"/>
          </w:tcPr>
          <w:p>
            <w:pPr>
              <w:pStyle w:val="117"/>
              <w:bidi w:val="0"/>
              <w:rPr>
                <w:rFonts w:hint="eastAsia" w:ascii="Times New Roman" w:hAnsi="Times New Roman" w:eastAsia="宋体" w:cs="Times New Roman"/>
                <w:caps w:val="0"/>
                <w:smallCaps w:val="0"/>
                <w:u w:val="single"/>
                <w:lang w:eastAsia="zh-CN"/>
              </w:rPr>
            </w:pPr>
            <w:r>
              <w:rPr>
                <w:rFonts w:ascii="Times New Roman" w:hAnsi="Times New Roman" w:cs="Times New Roman"/>
                <w:caps w:val="0"/>
                <w:smallCaps w:val="0"/>
                <w:u w:val="single"/>
              </w:rPr>
              <w:t>VOCs</w:t>
            </w:r>
            <w:r>
              <w:rPr>
                <w:rFonts w:hint="eastAsia" w:ascii="Times New Roman" w:hAnsi="Times New Roman" w:cs="Times New Roman"/>
                <w:caps w:val="0"/>
                <w:smallCaps w:val="0"/>
                <w:u w:val="single"/>
                <w:lang w:eastAsia="zh-CN"/>
              </w:rPr>
              <w:t>（非甲烷总烃）</w:t>
            </w:r>
          </w:p>
        </w:tc>
        <w:tc>
          <w:tcPr>
            <w:tcW w:w="989"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1200.0</w:t>
            </w:r>
          </w:p>
        </w:tc>
        <w:tc>
          <w:tcPr>
            <w:tcW w:w="857" w:type="pct"/>
            <w:tcBorders>
              <w:tl2br w:val="nil"/>
              <w:tr2bl w:val="nil"/>
            </w:tcBorders>
            <w:vAlign w:val="center"/>
          </w:tcPr>
          <w:p>
            <w:pPr>
              <w:pStyle w:val="117"/>
              <w:bidi w:val="0"/>
              <w:rPr>
                <w:rFonts w:hint="default"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6.91</w:t>
            </w:r>
          </w:p>
        </w:tc>
        <w:tc>
          <w:tcPr>
            <w:tcW w:w="857" w:type="pct"/>
            <w:tcBorders>
              <w:tl2br w:val="nil"/>
              <w:tr2bl w:val="nil"/>
            </w:tcBorders>
            <w:vAlign w:val="center"/>
          </w:tcPr>
          <w:p>
            <w:pPr>
              <w:pStyle w:val="117"/>
              <w:bidi w:val="0"/>
              <w:rPr>
                <w:rFonts w:hint="default" w:ascii="Times New Roman" w:hAnsi="Times New Roman" w:cs="Times New Roman"/>
                <w:caps w:val="0"/>
                <w:smallCaps w:val="0"/>
                <w:u w:val="single"/>
                <w:lang w:val="en-US" w:eastAsia="zh-CN"/>
              </w:rPr>
            </w:pPr>
            <w:r>
              <w:rPr>
                <w:rFonts w:ascii="Times New Roman" w:hAnsi="Times New Roman" w:cs="Times New Roman"/>
                <w:caps w:val="0"/>
                <w:smallCaps w:val="0"/>
                <w:u w:val="single"/>
              </w:rPr>
              <w:t>0.</w:t>
            </w:r>
            <w:r>
              <w:rPr>
                <w:rFonts w:hint="eastAsia" w:ascii="Times New Roman" w:hAnsi="Times New Roman" w:cs="Times New Roman"/>
                <w:caps w:val="0"/>
                <w:smallCaps w:val="0"/>
                <w:u w:val="single"/>
                <w:lang w:val="en-US" w:eastAsia="zh-CN"/>
              </w:rPr>
              <w:t>58</w:t>
            </w:r>
          </w:p>
        </w:tc>
        <w:tc>
          <w:tcPr>
            <w:tcW w:w="858" w:type="pct"/>
            <w:tcBorders>
              <w:tl2br w:val="nil"/>
              <w:tr2bl w:val="nil"/>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caps w:val="0"/>
          <w:smallCaps w:val="0"/>
          <w:color w:val="000000" w:themeColor="text1"/>
          <w:sz w:val="24"/>
          <w:szCs w:val="24"/>
          <w:u w:val="single"/>
          <w14:textFill>
            <w14:solidFill>
              <w14:schemeClr w14:val="tx1"/>
            </w14:solidFill>
          </w14:textFill>
        </w:rPr>
        <w:t>本项目P</w:t>
      </w:r>
      <w:r>
        <w:rPr>
          <w:rFonts w:ascii="Times New Roman" w:hAnsi="Times New Roman" w:cs="Times New Roman"/>
          <w:caps w:val="0"/>
          <w:smallCaps w:val="0"/>
          <w:color w:val="000000" w:themeColor="text1"/>
          <w:sz w:val="24"/>
          <w:szCs w:val="24"/>
          <w:u w:val="single"/>
          <w:vertAlign w:val="subscript"/>
          <w14:textFill>
            <w14:solidFill>
              <w14:schemeClr w14:val="tx1"/>
            </w14:solidFill>
          </w14:textFill>
        </w:rPr>
        <w:t>max</w:t>
      </w:r>
      <w:r>
        <w:rPr>
          <w:rFonts w:ascii="Times New Roman" w:hAnsi="Times New Roman" w:cs="Times New Roman"/>
          <w:caps w:val="0"/>
          <w:smallCaps w:val="0"/>
          <w:color w:val="000000" w:themeColor="text1"/>
          <w:sz w:val="24"/>
          <w:szCs w:val="24"/>
          <w:u w:val="single"/>
          <w14:textFill>
            <w14:solidFill>
              <w14:schemeClr w14:val="tx1"/>
            </w14:solidFill>
          </w14:textFill>
        </w:rPr>
        <w:t>最大值出现为</w:t>
      </w:r>
      <w:r>
        <w:rPr>
          <w:rFonts w:ascii="Times New Roman" w:hAnsi="Times New Roman" w:cs="Times New Roman"/>
          <w:caps w:val="0"/>
          <w:smallCaps w:val="0"/>
          <w:color w:val="000000" w:themeColor="text1"/>
          <w:sz w:val="24"/>
          <w:u w:val="single"/>
          <w14:textFill>
            <w14:solidFill>
              <w14:schemeClr w14:val="tx1"/>
            </w14:solidFill>
          </w14:textFill>
        </w:rPr>
        <w:t>点源排放的VOCsP</w:t>
      </w:r>
      <w:r>
        <w:rPr>
          <w:rFonts w:ascii="Times New Roman" w:hAnsi="Times New Roman" w:cs="Times New Roman"/>
          <w:caps w:val="0"/>
          <w:smallCaps w:val="0"/>
          <w:color w:val="000000" w:themeColor="text1"/>
          <w:sz w:val="24"/>
          <w:u w:val="single"/>
          <w:vertAlign w:val="subscript"/>
          <w14:textFill>
            <w14:solidFill>
              <w14:schemeClr w14:val="tx1"/>
            </w14:solidFill>
          </w14:textFill>
        </w:rPr>
        <w:t>max</w:t>
      </w:r>
      <w:r>
        <w:rPr>
          <w:rFonts w:ascii="Times New Roman" w:hAnsi="Times New Roman" w:cs="Times New Roman"/>
          <w:caps w:val="0"/>
          <w:smallCaps w:val="0"/>
          <w:color w:val="000000" w:themeColor="text1"/>
          <w:sz w:val="24"/>
          <w:u w:val="single"/>
          <w14:textFill>
            <w14:solidFill>
              <w14:schemeClr w14:val="tx1"/>
            </w14:solidFill>
          </w14:textFill>
        </w:rPr>
        <w:t>值为</w:t>
      </w:r>
      <w:r>
        <w:rPr>
          <w:rFonts w:hint="eastAsia" w:ascii="Times New Roman" w:hAnsi="Times New Roman" w:cs="Times New Roman"/>
          <w:caps w:val="0"/>
          <w:smallCaps w:val="0"/>
          <w:color w:val="000000" w:themeColor="text1"/>
          <w:sz w:val="24"/>
          <w:u w:val="single"/>
          <w:lang w:val="en-US" w:eastAsia="zh-CN"/>
          <w14:textFill>
            <w14:solidFill>
              <w14:schemeClr w14:val="tx1"/>
            </w14:solidFill>
          </w14:textFill>
        </w:rPr>
        <w:t>0.58</w:t>
      </w:r>
      <w:r>
        <w:rPr>
          <w:rFonts w:ascii="Times New Roman" w:hAnsi="Times New Roman" w:cs="Times New Roman"/>
          <w:caps w:val="0"/>
          <w:smallCaps w:val="0"/>
          <w:color w:val="000000" w:themeColor="text1"/>
          <w:sz w:val="24"/>
          <w:u w:val="single"/>
          <w14:textFill>
            <w14:solidFill>
              <w14:schemeClr w14:val="tx1"/>
            </w14:solidFill>
          </w14:textFill>
        </w:rPr>
        <w:t>%</w:t>
      </w:r>
      <w:r>
        <w:rPr>
          <w:rFonts w:hint="eastAsia" w:ascii="Times New Roman" w:hAnsi="Times New Roman" w:cs="Times New Roman"/>
          <w:caps w:val="0"/>
          <w:smallCaps w:val="0"/>
          <w:color w:val="000000" w:themeColor="text1"/>
          <w:sz w:val="24"/>
          <w:u w:val="single"/>
          <w14:textFill>
            <w14:solidFill>
              <w14:schemeClr w14:val="tx1"/>
            </w14:solidFill>
          </w14:textFill>
        </w:rPr>
        <w:t>，</w:t>
      </w:r>
      <w:r>
        <w:rPr>
          <w:rFonts w:ascii="Times New Roman" w:hAnsi="Times New Roman" w:cs="Times New Roman"/>
          <w:caps w:val="0"/>
          <w:smallCaps w:val="0"/>
          <w:color w:val="000000" w:themeColor="text1"/>
          <w:sz w:val="24"/>
          <w:u w:val="single"/>
          <w14:textFill>
            <w14:solidFill>
              <w14:schemeClr w14:val="tx1"/>
            </w14:solidFill>
          </w14:textFill>
        </w:rPr>
        <w:t>C</w:t>
      </w:r>
      <w:r>
        <w:rPr>
          <w:rFonts w:ascii="Times New Roman" w:hAnsi="Times New Roman" w:cs="Times New Roman"/>
          <w:caps w:val="0"/>
          <w:smallCaps w:val="0"/>
          <w:color w:val="000000" w:themeColor="text1"/>
          <w:sz w:val="24"/>
          <w:u w:val="single"/>
          <w:vertAlign w:val="subscript"/>
          <w14:textFill>
            <w14:solidFill>
              <w14:schemeClr w14:val="tx1"/>
            </w14:solidFill>
          </w14:textFill>
        </w:rPr>
        <w:t>max</w:t>
      </w:r>
      <w:r>
        <w:rPr>
          <w:rFonts w:ascii="Times New Roman" w:hAnsi="Times New Roman" w:cs="Times New Roman"/>
          <w:caps w:val="0"/>
          <w:smallCaps w:val="0"/>
          <w:color w:val="000000" w:themeColor="text1"/>
          <w:sz w:val="24"/>
          <w:u w:val="single"/>
          <w14:textFill>
            <w14:solidFill>
              <w14:schemeClr w14:val="tx1"/>
            </w14:solidFill>
          </w14:textFill>
        </w:rPr>
        <w:t>为</w:t>
      </w:r>
      <w:r>
        <w:rPr>
          <w:rFonts w:hint="eastAsia" w:ascii="Times New Roman" w:hAnsi="Times New Roman" w:cs="Times New Roman"/>
          <w:caps w:val="0"/>
          <w:smallCaps w:val="0"/>
          <w:color w:val="000000" w:themeColor="text1"/>
          <w:sz w:val="24"/>
          <w:u w:val="single"/>
          <w:lang w:val="en-US" w:eastAsia="zh-CN"/>
          <w14:textFill>
            <w14:solidFill>
              <w14:schemeClr w14:val="tx1"/>
            </w14:solidFill>
          </w14:textFill>
        </w:rPr>
        <w:t>6.91</w:t>
      </w:r>
      <w:r>
        <w:rPr>
          <w:rFonts w:ascii="Times New Roman" w:hAnsi="Times New Roman" w:cs="Times New Roman"/>
          <w:caps w:val="0"/>
          <w:smallCaps w:val="0"/>
          <w:color w:val="000000" w:themeColor="text1"/>
          <w:sz w:val="24"/>
          <w:u w:val="single"/>
          <w14:textFill>
            <w14:solidFill>
              <w14:schemeClr w14:val="tx1"/>
            </w14:solidFill>
          </w14:textFill>
        </w:rPr>
        <w:t>μg/m³，</w:t>
      </w:r>
      <w:r>
        <w:rPr>
          <w:rFonts w:ascii="Times New Roman" w:hAnsi="Times New Roman" w:cs="Times New Roman"/>
          <w:caps w:val="0"/>
          <w:smallCaps w:val="0"/>
          <w:color w:val="000000" w:themeColor="text1"/>
          <w:sz w:val="24"/>
          <w:szCs w:val="24"/>
          <w:u w:val="single"/>
          <w14:textFill>
            <w14:solidFill>
              <w14:schemeClr w14:val="tx1"/>
            </w14:solidFill>
          </w14:textFill>
        </w:rPr>
        <w:t>根据《环境影响评价技术导则大气环境》（HJ2.2-2018）</w:t>
      </w:r>
      <w:r>
        <w:rPr>
          <w:rFonts w:hint="eastAsia" w:ascii="Times New Roman" w:hAnsi="Times New Roman" w:cs="Times New Roman"/>
          <w:caps w:val="0"/>
          <w:smallCaps w:val="0"/>
          <w:color w:val="000000" w:themeColor="text1"/>
          <w:sz w:val="24"/>
          <w:szCs w:val="24"/>
          <w:u w:val="single"/>
          <w:lang w:val="en-US" w:eastAsia="zh-CN"/>
          <w14:textFill>
            <w14:solidFill>
              <w14:schemeClr w14:val="tx1"/>
            </w14:solidFill>
          </w14:textFill>
        </w:rPr>
        <w:t>及根据《水运工程建设项目环境影响评价指南》（</w:t>
      </w:r>
      <w:r>
        <w:rPr>
          <w:rFonts w:hint="default" w:ascii="Times New Roman" w:hAnsi="Times New Roman" w:cs="Times New Roman"/>
          <w:caps w:val="0"/>
          <w:smallCaps w:val="0"/>
          <w:color w:val="000000" w:themeColor="text1"/>
          <w:sz w:val="24"/>
          <w:szCs w:val="24"/>
          <w:u w:val="single"/>
          <w:lang w:val="en-US" w:eastAsia="zh-CN"/>
          <w14:textFill>
            <w14:solidFill>
              <w14:schemeClr w14:val="tx1"/>
            </w14:solidFill>
          </w14:textFill>
        </w:rPr>
        <w:t>JTS-T 105-2021</w:t>
      </w:r>
      <w:r>
        <w:rPr>
          <w:rFonts w:hint="eastAsia" w:ascii="Times New Roman" w:hAnsi="Times New Roman" w:cs="Times New Roman"/>
          <w:caps w:val="0"/>
          <w:smallCaps w:val="0"/>
          <w:color w:val="000000" w:themeColor="text1"/>
          <w:sz w:val="24"/>
          <w:szCs w:val="24"/>
          <w:u w:val="single"/>
          <w:lang w:val="en-US" w:eastAsia="zh-CN"/>
          <w14:textFill>
            <w14:solidFill>
              <w14:schemeClr w14:val="tx1"/>
            </w14:solidFill>
          </w14:textFill>
        </w:rPr>
        <w:t>）分级判据</w:t>
      </w:r>
      <w:r>
        <w:rPr>
          <w:rFonts w:ascii="Times New Roman" w:hAnsi="Times New Roman" w:cs="Times New Roman"/>
          <w:caps w:val="0"/>
          <w:smallCaps w:val="0"/>
          <w:color w:val="000000" w:themeColor="text1"/>
          <w:sz w:val="24"/>
          <w:szCs w:val="24"/>
          <w:u w:val="single"/>
          <w14:textFill>
            <w14:solidFill>
              <w14:schemeClr w14:val="tx1"/>
            </w14:solidFill>
          </w14:textFill>
        </w:rPr>
        <w:t>，确定本项目大气环境影响评价工作等级为</w:t>
      </w:r>
      <w:r>
        <w:rPr>
          <w:rFonts w:hint="eastAsia" w:ascii="Times New Roman" w:hAnsi="Times New Roman" w:cs="Times New Roman"/>
          <w:caps w:val="0"/>
          <w:smallCaps w:val="0"/>
          <w:color w:val="000000" w:themeColor="text1"/>
          <w:sz w:val="24"/>
          <w:szCs w:val="24"/>
          <w:u w:val="single"/>
          <w:lang w:val="en-US" w:eastAsia="zh-CN"/>
          <w14:textFill>
            <w14:solidFill>
              <w14:schemeClr w14:val="tx1"/>
            </w14:solidFill>
          </w14:textFill>
        </w:rPr>
        <w:t>三</w:t>
      </w:r>
      <w:r>
        <w:rPr>
          <w:rFonts w:ascii="Times New Roman" w:hAnsi="Times New Roman" w:cs="Times New Roman"/>
          <w:caps w:val="0"/>
          <w:smallCaps w:val="0"/>
          <w:color w:val="000000" w:themeColor="text1"/>
          <w:sz w:val="24"/>
          <w:szCs w:val="24"/>
          <w:u w:val="single"/>
          <w14:textFill>
            <w14:solidFill>
              <w14:schemeClr w14:val="tx1"/>
            </w14:solidFill>
          </w14:textFill>
        </w:rPr>
        <w:t>级</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w:t>
      </w:r>
    </w:p>
    <w:p>
      <w:pPr>
        <w:pStyle w:val="7"/>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声环境评价等级</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u w:val="single"/>
          <w14:textFill>
            <w14:solidFill>
              <w14:schemeClr w14:val="tx1"/>
            </w14:solidFill>
          </w14:textFill>
        </w:rPr>
      </w:pPr>
      <w:r>
        <w:rPr>
          <w:rFonts w:ascii="Times New Roman" w:hAnsi="Times New Roman" w:cs="Times New Roman"/>
          <w:caps w:val="0"/>
          <w:smallCaps w:val="0"/>
          <w:color w:val="000000" w:themeColor="text1"/>
          <w:sz w:val="24"/>
          <w:szCs w:val="24"/>
          <w:u w:val="single"/>
          <w14:textFill>
            <w14:solidFill>
              <w14:schemeClr w14:val="tx1"/>
            </w14:solidFill>
          </w14:textFill>
        </w:rPr>
        <w:t>本项目码头水域工程位于岳阳市</w:t>
      </w:r>
      <w:r>
        <w:rPr>
          <w:rFonts w:hint="eastAsia" w:ascii="Times New Roman" w:hAnsi="Times New Roman" w:cs="Times New Roman"/>
          <w:caps w:val="0"/>
          <w:smallCaps w:val="0"/>
          <w:color w:val="000000" w:themeColor="text1"/>
          <w:sz w:val="24"/>
          <w:szCs w:val="24"/>
          <w:u w:val="single"/>
          <w14:textFill>
            <w14:solidFill>
              <w14:schemeClr w14:val="tx1"/>
            </w14:solidFill>
          </w14:textFill>
        </w:rPr>
        <w:t>汨罗港区推山咀作业区</w:t>
      </w:r>
      <w:r>
        <w:rPr>
          <w:rFonts w:ascii="Times New Roman" w:hAnsi="Times New Roman" w:cs="Times New Roman"/>
          <w:caps w:val="0"/>
          <w:smallCaps w:val="0"/>
          <w:color w:val="000000" w:themeColor="text1"/>
          <w:sz w:val="24"/>
          <w:szCs w:val="24"/>
          <w:u w:val="single"/>
          <w14:textFill>
            <w14:solidFill>
              <w14:schemeClr w14:val="tx1"/>
            </w14:solidFill>
          </w14:textFill>
        </w:rPr>
        <w:t>岸线，陆域工程紧靠码头。航道两侧35m红线范围内声环境功能要求为4a类，码头其他区域及管线区域声环境功能要求为2类。</w:t>
      </w:r>
      <w:r>
        <w:rPr>
          <w:rFonts w:hint="eastAsia" w:ascii="Times New Roman" w:hAnsi="Times New Roman" w:cs="Times New Roman"/>
          <w:caps w:val="0"/>
          <w:smallCaps w:val="0"/>
          <w:color w:val="000000" w:themeColor="text1"/>
          <w:sz w:val="24"/>
          <w:szCs w:val="24"/>
          <w:u w:val="single"/>
          <w14:textFill>
            <w14:solidFill>
              <w14:schemeClr w14:val="tx1"/>
            </w14:solidFill>
          </w14:textFill>
        </w:rPr>
        <w:t>本次提质改造后最终设置</w:t>
      </w:r>
      <w:r>
        <w:rPr>
          <w:rFonts w:ascii="Times New Roman" w:hAnsi="Times New Roman" w:cs="Times New Roman"/>
          <w:caps w:val="0"/>
          <w:smallCaps w:val="0"/>
          <w:color w:val="000000" w:themeColor="text1"/>
          <w:sz w:val="24"/>
          <w:szCs w:val="24"/>
          <w:u w:val="single"/>
          <w14:textFill>
            <w14:solidFill>
              <w14:schemeClr w14:val="tx1"/>
            </w14:solidFill>
          </w14:textFill>
        </w:rPr>
        <w:t>1</w:t>
      </w:r>
      <w:r>
        <w:rPr>
          <w:rFonts w:hint="eastAsia" w:ascii="Times New Roman" w:hAnsi="Times New Roman" w:cs="Times New Roman"/>
          <w:caps w:val="0"/>
          <w:smallCaps w:val="0"/>
          <w:color w:val="000000" w:themeColor="text1"/>
          <w:sz w:val="24"/>
          <w:szCs w:val="24"/>
          <w:u w:val="single"/>
          <w14:textFill>
            <w14:solidFill>
              <w14:schemeClr w14:val="tx1"/>
            </w14:solidFill>
          </w14:textFill>
        </w:rPr>
        <w:t>个</w:t>
      </w:r>
      <w:r>
        <w:rPr>
          <w:rFonts w:ascii="Times New Roman" w:hAnsi="Times New Roman" w:cs="Times New Roman"/>
          <w:caps w:val="0"/>
          <w:smallCaps w:val="0"/>
          <w:color w:val="000000" w:themeColor="text1"/>
          <w:sz w:val="24"/>
          <w:szCs w:val="24"/>
          <w:u w:val="single"/>
          <w14:textFill>
            <w14:solidFill>
              <w14:schemeClr w14:val="tx1"/>
            </w14:solidFill>
          </w14:textFill>
        </w:rPr>
        <w:t>2000</w:t>
      </w:r>
      <w:r>
        <w:rPr>
          <w:rFonts w:hint="eastAsia" w:ascii="Times New Roman" w:hAnsi="Times New Roman" w:cs="Times New Roman"/>
          <w:caps w:val="0"/>
          <w:smallCaps w:val="0"/>
          <w:color w:val="000000" w:themeColor="text1"/>
          <w:sz w:val="24"/>
          <w:szCs w:val="24"/>
          <w:u w:val="single"/>
          <w14:textFill>
            <w14:solidFill>
              <w14:schemeClr w14:val="tx1"/>
            </w14:solidFill>
          </w14:textFill>
        </w:rPr>
        <w:t>吨级泊位，提质改造前后运行泊位数量没有增加，建设前后噪声声压级增高量小于3dB（A），且</w:t>
      </w:r>
      <w:r>
        <w:rPr>
          <w:rFonts w:ascii="Times New Roman" w:hAnsi="Times New Roman" w:cs="Times New Roman"/>
          <w:caps w:val="0"/>
          <w:smallCaps w:val="0"/>
          <w:color w:val="000000" w:themeColor="text1"/>
          <w:sz w:val="24"/>
          <w:szCs w:val="24"/>
          <w:u w:val="single"/>
          <w14:textFill>
            <w14:solidFill>
              <w14:schemeClr w14:val="tx1"/>
            </w14:solidFill>
          </w14:textFill>
        </w:rPr>
        <w:t>受噪声影响人口没有变化</w:t>
      </w:r>
      <w:r>
        <w:rPr>
          <w:rFonts w:hint="eastAsia" w:ascii="Times New Roman" w:hAnsi="Times New Roman" w:cs="Times New Roman"/>
          <w:caps w:val="0"/>
          <w:smallCaps w:val="0"/>
          <w:color w:val="000000" w:themeColor="text1"/>
          <w:sz w:val="24"/>
          <w:szCs w:val="24"/>
          <w:u w:val="single"/>
          <w14:textFill>
            <w14:solidFill>
              <w14:schemeClr w14:val="tx1"/>
            </w14:solidFill>
          </w14:textFill>
        </w:rPr>
        <w:t>，根据《环境影响评价技术导则</w:t>
      </w:r>
      <w:r>
        <w:rPr>
          <w:rFonts w:ascii="Times New Roman" w:hAnsi="Times New Roman" w:cs="Times New Roman"/>
          <w:caps w:val="0"/>
          <w:smallCaps w:val="0"/>
          <w:color w:val="000000" w:themeColor="text1"/>
          <w:sz w:val="24"/>
          <w:szCs w:val="24"/>
          <w:u w:val="single"/>
          <w14:textFill>
            <w14:solidFill>
              <w14:schemeClr w14:val="tx1"/>
            </w14:solidFill>
          </w14:textFill>
        </w:rPr>
        <w:t>·</w:t>
      </w:r>
      <w:r>
        <w:rPr>
          <w:rFonts w:hint="eastAsia" w:ascii="Times New Roman" w:hAnsi="Times New Roman" w:cs="Times New Roman"/>
          <w:caps w:val="0"/>
          <w:smallCaps w:val="0"/>
          <w:color w:val="000000" w:themeColor="text1"/>
          <w:sz w:val="24"/>
          <w:szCs w:val="24"/>
          <w:u w:val="single"/>
          <w14:textFill>
            <w14:solidFill>
              <w14:schemeClr w14:val="tx1"/>
            </w14:solidFill>
          </w14:textFill>
        </w:rPr>
        <w:t>声环境》（</w:t>
      </w:r>
      <w:r>
        <w:rPr>
          <w:rFonts w:ascii="Times New Roman" w:hAnsi="Times New Roman" w:cs="Times New Roman"/>
          <w:caps w:val="0"/>
          <w:smallCaps w:val="0"/>
          <w:color w:val="000000" w:themeColor="text1"/>
          <w:sz w:val="24"/>
          <w:szCs w:val="24"/>
          <w:u w:val="single"/>
          <w14:textFill>
            <w14:solidFill>
              <w14:schemeClr w14:val="tx1"/>
            </w14:solidFill>
          </w14:textFill>
        </w:rPr>
        <w:t>HJ2.4-2009</w:t>
      </w:r>
      <w:r>
        <w:rPr>
          <w:rFonts w:hint="eastAsia" w:ascii="Times New Roman" w:hAnsi="Times New Roman" w:cs="Times New Roman"/>
          <w:caps w:val="0"/>
          <w:smallCaps w:val="0"/>
          <w:color w:val="000000" w:themeColor="text1"/>
          <w:sz w:val="24"/>
          <w:szCs w:val="24"/>
          <w:u w:val="single"/>
          <w14:textFill>
            <w14:solidFill>
              <w14:schemeClr w14:val="tx1"/>
            </w14:solidFill>
          </w14:textFill>
        </w:rPr>
        <w:t>）中</w:t>
      </w:r>
      <w:r>
        <w:rPr>
          <w:rFonts w:ascii="Times New Roman" w:hAnsi="Times New Roman" w:cs="Times New Roman"/>
          <w:caps w:val="0"/>
          <w:smallCaps w:val="0"/>
          <w:color w:val="000000" w:themeColor="text1"/>
          <w:sz w:val="24"/>
          <w:szCs w:val="24"/>
          <w:u w:val="single"/>
          <w14:textFill>
            <w14:solidFill>
              <w14:schemeClr w14:val="tx1"/>
            </w14:solidFill>
          </w14:textFill>
        </w:rPr>
        <w:t>5.2.4</w:t>
      </w:r>
      <w:r>
        <w:rPr>
          <w:rFonts w:hint="eastAsia" w:ascii="Times New Roman" w:hAnsi="Times New Roman" w:cs="Times New Roman"/>
          <w:caps w:val="0"/>
          <w:smallCaps w:val="0"/>
          <w:color w:val="000000" w:themeColor="text1"/>
          <w:sz w:val="24"/>
          <w:szCs w:val="24"/>
          <w:u w:val="single"/>
          <w14:textFill>
            <w14:solidFill>
              <w14:schemeClr w14:val="tx1"/>
            </w14:solidFill>
          </w14:textFill>
        </w:rPr>
        <w:t>，本次评价对声环境影响评价定为</w:t>
      </w:r>
      <w:r>
        <w:rPr>
          <w:rFonts w:hint="eastAsia" w:cs="Times New Roman"/>
          <w:caps w:val="0"/>
          <w:smallCaps w:val="0"/>
          <w:color w:val="000000" w:themeColor="text1"/>
          <w:sz w:val="24"/>
          <w:szCs w:val="24"/>
          <w:u w:val="single"/>
          <w:lang w:eastAsia="zh-CN"/>
          <w14:textFill>
            <w14:solidFill>
              <w14:schemeClr w14:val="tx1"/>
            </w14:solidFill>
          </w14:textFill>
        </w:rPr>
        <w:t>二</w:t>
      </w:r>
      <w:r>
        <w:rPr>
          <w:rFonts w:hint="eastAsia" w:ascii="Times New Roman" w:hAnsi="Times New Roman" w:cs="Times New Roman"/>
          <w:caps w:val="0"/>
          <w:smallCaps w:val="0"/>
          <w:color w:val="000000" w:themeColor="text1"/>
          <w:sz w:val="24"/>
          <w:szCs w:val="24"/>
          <w:u w:val="single"/>
          <w14:textFill>
            <w14:solidFill>
              <w14:schemeClr w14:val="tx1"/>
            </w14:solidFill>
          </w14:textFill>
        </w:rPr>
        <w:t>级。</w:t>
      </w:r>
    </w:p>
    <w:p>
      <w:pPr>
        <w:pStyle w:val="7"/>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生态环境评价等级</w:t>
      </w:r>
    </w:p>
    <w:p>
      <w:pPr>
        <w:keepNext w:val="0"/>
        <w:keepLines w:val="0"/>
        <w:widowControl/>
        <w:suppressLineNumbers w:val="0"/>
        <w:jc w:val="left"/>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依据《环境影响评价技术导则生态影响》（HJ19-2011），根据现场踏勘，项目码头工程位于</w:t>
      </w:r>
      <w:r>
        <w:rPr>
          <w:rFonts w:hint="eastAsia" w:ascii="Times New Roman" w:hAnsi="Times New Roman" w:cs="Times New Roman" w:eastAsiaTheme="minorEastAsia"/>
          <w:caps w:val="0"/>
          <w:smallCaps w:val="0"/>
          <w:color w:val="000000"/>
          <w:sz w:val="24"/>
          <w:szCs w:val="24"/>
          <w:u w:val="single"/>
        </w:rPr>
        <w:t>湘江屈原</w:t>
      </w:r>
      <w:r>
        <w:rPr>
          <w:rFonts w:ascii="Times New Roman" w:hAnsi="Times New Roman" w:cs="Times New Roman" w:eastAsiaTheme="minorEastAsia"/>
          <w:caps w:val="0"/>
          <w:smallCaps w:val="0"/>
          <w:color w:val="000000"/>
          <w:sz w:val="24"/>
          <w:szCs w:val="24"/>
          <w:u w:val="single"/>
        </w:rPr>
        <w:t>段</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右岸</w:t>
      </w:r>
      <w:r>
        <w:rPr>
          <w:rFonts w:ascii="Times New Roman" w:hAnsi="Times New Roman" w:cs="Times New Roman" w:eastAsiaTheme="minorEastAsia"/>
          <w:caps w:val="0"/>
          <w:smallCaps w:val="0"/>
          <w:color w:val="000000"/>
          <w:sz w:val="24"/>
          <w:szCs w:val="24"/>
          <w:u w:val="single"/>
        </w:rPr>
        <w:t>，位于</w:t>
      </w:r>
      <w:r>
        <w:rPr>
          <w:rFonts w:hint="eastAsia" w:ascii="Times New Roman" w:hAnsi="Times New Roman" w:cs="Times New Roman" w:eastAsiaTheme="minorEastAsia"/>
          <w:caps w:val="0"/>
          <w:smallCaps w:val="0"/>
          <w:color w:val="000000" w:themeColor="text1"/>
          <w:kern w:val="0"/>
          <w:sz w:val="24"/>
          <w:szCs w:val="24"/>
          <w:u w:val="single"/>
          <w14:textFill>
            <w14:solidFill>
              <w14:schemeClr w14:val="tx1"/>
            </w14:solidFill>
          </w14:textFill>
        </w:rPr>
        <w:t>岳阳市东洞庭湖江豚自然保护区</w:t>
      </w:r>
      <w:r>
        <w:rPr>
          <w:rFonts w:ascii="Times New Roman" w:hAnsi="Times New Roman" w:cs="Times New Roman" w:eastAsiaTheme="minorEastAsia"/>
          <w:caps w:val="0"/>
          <w:smallCaps w:val="0"/>
          <w:color w:val="000000" w:themeColor="text1"/>
          <w:kern w:val="0"/>
          <w:sz w:val="24"/>
          <w:szCs w:val="24"/>
          <w:u w:val="single"/>
          <w14:textFill>
            <w14:solidFill>
              <w14:schemeClr w14:val="tx1"/>
            </w14:solidFill>
          </w14:textFill>
        </w:rPr>
        <w:t>的实验区</w:t>
      </w:r>
      <w:r>
        <w:rPr>
          <w:rFonts w:ascii="Times New Roman" w:hAnsi="Times New Roman" w:cs="Times New Roman" w:eastAsiaTheme="minorEastAsia"/>
          <w:caps w:val="0"/>
          <w:smallCaps w:val="0"/>
          <w:color w:val="000000"/>
          <w:sz w:val="24"/>
          <w:szCs w:val="24"/>
          <w:u w:val="single"/>
        </w:rPr>
        <w:t>，</w:t>
      </w:r>
      <w:r>
        <w:rPr>
          <w:rFonts w:ascii="Times New Roman" w:hAnsi="Times New Roman" w:cs="Times New Roman"/>
          <w:caps w:val="0"/>
          <w:smallCaps w:val="0"/>
          <w:u w:val="single"/>
        </w:rPr>
        <w:t>特殊生态敏感区</w:t>
      </w:r>
      <w:r>
        <w:rPr>
          <w:rFonts w:hint="eastAsia" w:ascii="Times New Roman" w:hAnsi="Times New Roman" w:cs="Times New Roman"/>
          <w:caps w:val="0"/>
          <w:smallCaps w:val="0"/>
          <w:u w:val="single"/>
          <w:lang w:eastAsia="zh-CN"/>
        </w:rPr>
        <w:t>，生态影响评价工作等级为一级；同时根据</w:t>
      </w:r>
      <w:r>
        <w:rPr>
          <w:rFonts w:hint="eastAsia" w:ascii="Times New Roman" w:hAnsi="Times New Roman" w:eastAsia="宋体" w:cs="Times New Roman"/>
          <w:caps w:val="0"/>
          <w:smallCaps w:val="0"/>
          <w:color w:val="000000"/>
          <w:kern w:val="0"/>
          <w:sz w:val="24"/>
          <w:szCs w:val="24"/>
          <w:u w:val="single"/>
          <w:lang w:val="en-US" w:eastAsia="zh-CN" w:bidi="ar"/>
        </w:rPr>
        <w:t>《水运工程建设项目环境影响评价指南》（</w:t>
      </w:r>
      <w:r>
        <w:rPr>
          <w:rFonts w:hint="default" w:ascii="Times New Roman" w:hAnsi="Times New Roman" w:eastAsia="宋体" w:cs="Times New Roman"/>
          <w:caps w:val="0"/>
          <w:smallCaps w:val="0"/>
          <w:color w:val="000000"/>
          <w:kern w:val="0"/>
          <w:sz w:val="24"/>
          <w:szCs w:val="24"/>
          <w:u w:val="single"/>
          <w:lang w:val="en-US" w:eastAsia="zh-CN" w:bidi="ar"/>
        </w:rPr>
        <w:t>JTS-T 105-2021</w:t>
      </w:r>
      <w:r>
        <w:rPr>
          <w:rFonts w:hint="eastAsia" w:ascii="Times New Roman" w:hAnsi="Times New Roman" w:eastAsia="宋体" w:cs="Times New Roman"/>
          <w:caps w:val="0"/>
          <w:smallCaps w:val="0"/>
          <w:color w:val="000000"/>
          <w:kern w:val="0"/>
          <w:sz w:val="24"/>
          <w:szCs w:val="24"/>
          <w:u w:val="single"/>
          <w:lang w:val="en-US" w:eastAsia="zh-CN" w:bidi="ar"/>
        </w:rPr>
        <w:t>）规定，现有港区涉及自然保护地的油气化工码头等工程生态影响评价等级为一级</w:t>
      </w:r>
      <w:r>
        <w:rPr>
          <w:rFonts w:ascii="Times New Roman" w:hAnsi="Times New Roman" w:cs="Times New Roman" w:eastAsiaTheme="minorEastAsia"/>
          <w:caps w:val="0"/>
          <w:smallCaps w:val="0"/>
          <w:color w:val="000000"/>
          <w:sz w:val="24"/>
          <w:szCs w:val="24"/>
          <w:u w:val="single"/>
        </w:rPr>
        <w: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因此，确定该项目生态环境影响评价工作等级为</w:t>
      </w:r>
      <w:r>
        <w:rPr>
          <w:rFonts w:hint="eastAsia" w:ascii="Times New Roman" w:hAnsi="Times New Roman" w:cs="Times New Roman" w:eastAsiaTheme="minorEastAsia"/>
          <w:caps w:val="0"/>
          <w:smallCaps w:val="0"/>
          <w:color w:val="000000"/>
          <w:sz w:val="24"/>
          <w:szCs w:val="24"/>
          <w:u w:val="single"/>
        </w:rPr>
        <w:t>一</w:t>
      </w:r>
      <w:r>
        <w:rPr>
          <w:rFonts w:ascii="Times New Roman" w:hAnsi="Times New Roman" w:cs="Times New Roman" w:eastAsiaTheme="minorEastAsia"/>
          <w:caps w:val="0"/>
          <w:smallCaps w:val="0"/>
          <w:color w:val="000000"/>
          <w:sz w:val="24"/>
          <w:szCs w:val="24"/>
          <w:u w:val="single"/>
        </w:rPr>
        <w:t>级。</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表2.</w:t>
      </w:r>
      <w:r>
        <w:rPr>
          <w:rFonts w:hint="eastAsia" w:cs="Times New Roman" w:eastAsiaTheme="minorEastAsia"/>
          <w:b/>
          <w:caps w:val="0"/>
          <w:smallCaps w:val="0"/>
          <w:color w:val="000000"/>
          <w:sz w:val="24"/>
          <w:szCs w:val="24"/>
          <w:u w:val="single"/>
          <w:lang w:val="en-US" w:eastAsia="zh-CN"/>
        </w:rPr>
        <w:t>4</w:t>
      </w:r>
      <w:r>
        <w:rPr>
          <w:rFonts w:ascii="Times New Roman" w:hAnsi="Times New Roman" w:cs="Times New Roman" w:eastAsiaTheme="minorEastAsia"/>
          <w:b/>
          <w:caps w:val="0"/>
          <w:smallCaps w:val="0"/>
          <w:color w:val="000000"/>
          <w:sz w:val="24"/>
          <w:szCs w:val="24"/>
          <w:u w:val="single"/>
        </w:rPr>
        <w:t>-9生态影响评价工作等级划分表</w:t>
      </w:r>
    </w:p>
    <w:tbl>
      <w:tblPr>
        <w:tblStyle w:val="71"/>
        <w:tblW w:w="5000"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971"/>
        <w:gridCol w:w="2153"/>
        <w:gridCol w:w="2985"/>
        <w:gridCol w:w="1991"/>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blHeader/>
        </w:trPr>
        <w:tc>
          <w:tcPr>
            <w:tcW w:w="1083" w:type="pct"/>
            <w:vMerge w:val="restar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影响区域生态敏感性</w:t>
            </w:r>
          </w:p>
        </w:tc>
        <w:tc>
          <w:tcPr>
            <w:tcW w:w="3917" w:type="pct"/>
            <w:gridSpan w:val="3"/>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工程占地（水域）范围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blHeader/>
        </w:trPr>
        <w:tc>
          <w:tcPr>
            <w:tcW w:w="1083" w:type="pct"/>
            <w:vMerge w:val="continue"/>
            <w:vAlign w:val="center"/>
          </w:tcPr>
          <w:p>
            <w:pPr>
              <w:pStyle w:val="117"/>
              <w:bidi w:val="0"/>
              <w:rPr>
                <w:rFonts w:ascii="Times New Roman" w:hAnsi="Times New Roman" w:cs="Times New Roman"/>
                <w:caps w:val="0"/>
                <w:smallCaps w:val="0"/>
                <w:u w:val="single"/>
              </w:rPr>
            </w:pPr>
          </w:p>
        </w:tc>
        <w:tc>
          <w:tcPr>
            <w:tcW w:w="118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面积≥20km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或长度≥100km</w:t>
            </w:r>
          </w:p>
        </w:tc>
        <w:tc>
          <w:tcPr>
            <w:tcW w:w="164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面积2km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~20km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或长度50km~100km</w:t>
            </w:r>
          </w:p>
        </w:tc>
        <w:tc>
          <w:tcPr>
            <w:tcW w:w="109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面积≤2km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或长度≤50km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108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特殊生态敏感区</w:t>
            </w:r>
          </w:p>
        </w:tc>
        <w:tc>
          <w:tcPr>
            <w:tcW w:w="118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一级</w:t>
            </w:r>
          </w:p>
        </w:tc>
        <w:tc>
          <w:tcPr>
            <w:tcW w:w="1640" w:type="pct"/>
            <w:shd w:val="clear" w:color="auto" w:fill="auto"/>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一级</w:t>
            </w:r>
          </w:p>
        </w:tc>
        <w:tc>
          <w:tcPr>
            <w:tcW w:w="1093" w:type="pct"/>
            <w:shd w:val="clear" w:color="auto" w:fill="BEBEBE" w:themeFill="background1" w:themeFillShade="BF"/>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108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重要生态敏感区</w:t>
            </w:r>
          </w:p>
        </w:tc>
        <w:tc>
          <w:tcPr>
            <w:tcW w:w="118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一级</w:t>
            </w:r>
          </w:p>
        </w:tc>
        <w:tc>
          <w:tcPr>
            <w:tcW w:w="1640" w:type="pct"/>
            <w:shd w:val="clear" w:color="auto" w:fill="auto"/>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二级</w:t>
            </w:r>
          </w:p>
        </w:tc>
        <w:tc>
          <w:tcPr>
            <w:tcW w:w="1093" w:type="pct"/>
            <w:shd w:val="clear" w:color="auto" w:fill="auto"/>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108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一般区域</w:t>
            </w:r>
          </w:p>
        </w:tc>
        <w:tc>
          <w:tcPr>
            <w:tcW w:w="118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二级</w:t>
            </w:r>
          </w:p>
        </w:tc>
        <w:tc>
          <w:tcPr>
            <w:tcW w:w="164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三级</w:t>
            </w:r>
          </w:p>
        </w:tc>
        <w:tc>
          <w:tcPr>
            <w:tcW w:w="109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三级</w:t>
            </w:r>
          </w:p>
        </w:tc>
      </w:tr>
    </w:tbl>
    <w:p>
      <w:pPr>
        <w:autoSpaceDE w:val="0"/>
        <w:autoSpaceDN w:val="0"/>
        <w:adjustRightInd w:val="0"/>
        <w:snapToGrid w:val="0"/>
        <w:ind w:firstLine="480" w:firstLineChars="200"/>
        <w:jc w:val="left"/>
        <w:rPr>
          <w:rFonts w:ascii="Times New Roman" w:hAnsi="Times New Roman" w:cs="Times New Roman" w:eastAsiaTheme="minorEastAsia"/>
          <w:caps w:val="0"/>
          <w:smallCaps w:val="0"/>
          <w:kern w:val="0"/>
          <w:sz w:val="24"/>
          <w:szCs w:val="24"/>
          <w:u w:val="single"/>
        </w:rPr>
      </w:pPr>
    </w:p>
    <w:p>
      <w:pPr>
        <w:pStyle w:val="7"/>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环境风险评价等级</w:t>
      </w:r>
    </w:p>
    <w:p>
      <w:pPr>
        <w:adjustRightInd w:val="0"/>
        <w:snapToGrid w:val="0"/>
        <w:spacing w:line="360" w:lineRule="auto"/>
        <w:ind w:firstLine="480" w:firstLineChars="200"/>
        <w:rPr>
          <w:rFonts w:ascii="Times New Roman" w:hAnsi="Times New Roman" w:cs="Times New Roman" w:eastAsiaTheme="minorEastAsia"/>
          <w:caps w:val="0"/>
          <w:smallCaps w:val="0"/>
          <w:color w:val="auto"/>
          <w:sz w:val="24"/>
          <w:szCs w:val="24"/>
          <w:u w:val="single"/>
        </w:rPr>
      </w:pPr>
      <w:r>
        <w:rPr>
          <w:rFonts w:ascii="Times New Roman" w:hAnsi="Times New Roman" w:cs="Times New Roman" w:eastAsiaTheme="minorEastAsia"/>
          <w:caps w:val="0"/>
          <w:smallCaps w:val="0"/>
          <w:color w:val="auto"/>
          <w:sz w:val="24"/>
          <w:szCs w:val="24"/>
          <w:u w:val="single"/>
        </w:rPr>
        <w:t>根据《建设项目环境风险评价技术导则》（HJ169-2018）的规定，根据建设项目涉及的物质及工艺系统危险性和所在地的环境敏感性确定环境风险潜势，将环境风险评价工作划分为一、二、三级及简单分析</w:t>
      </w:r>
      <w:r>
        <w:rPr>
          <w:rFonts w:hint="eastAsia" w:ascii="Times New Roman" w:hAnsi="Times New Roman" w:cs="Times New Roman" w:eastAsiaTheme="minorEastAsia"/>
          <w:caps w:val="0"/>
          <w:smallCaps w:val="0"/>
          <w:color w:val="auto"/>
          <w:sz w:val="24"/>
          <w:szCs w:val="24"/>
          <w:u w:val="single"/>
        </w:rPr>
        <w:t>。本项目</w:t>
      </w:r>
      <w:r>
        <w:rPr>
          <w:rFonts w:ascii="Times New Roman" w:hAnsi="Times New Roman" w:cs="Times New Roman"/>
          <w:caps w:val="0"/>
          <w:smallCaps w:val="0"/>
          <w:color w:val="auto"/>
          <w:sz w:val="24"/>
          <w:szCs w:val="24"/>
          <w:u w:val="single"/>
        </w:rPr>
        <w:t>主要</w:t>
      </w:r>
      <w:r>
        <w:rPr>
          <w:rFonts w:hint="eastAsia" w:ascii="Times New Roman" w:hAnsi="Times New Roman" w:cs="Times New Roman"/>
          <w:caps w:val="0"/>
          <w:smallCaps w:val="0"/>
          <w:color w:val="auto"/>
          <w:sz w:val="24"/>
          <w:szCs w:val="24"/>
          <w:u w:val="single"/>
        </w:rPr>
        <w:t>输入沥青，</w:t>
      </w:r>
      <w:r>
        <w:rPr>
          <w:rFonts w:ascii="Times New Roman" w:hAnsi="Times New Roman" w:cs="Times New Roman"/>
          <w:caps w:val="0"/>
          <w:smallCaps w:val="0"/>
          <w:color w:val="auto"/>
          <w:sz w:val="24"/>
          <w:szCs w:val="24"/>
          <w:u w:val="single"/>
        </w:rPr>
        <w:t>涉及</w:t>
      </w:r>
      <w:r>
        <w:rPr>
          <w:rFonts w:hint="eastAsia" w:ascii="Times New Roman" w:hAnsi="Times New Roman" w:cs="Times New Roman"/>
          <w:caps w:val="0"/>
          <w:smallCaps w:val="0"/>
          <w:color w:val="auto"/>
          <w:sz w:val="24"/>
          <w:szCs w:val="24"/>
          <w:u w:val="single"/>
        </w:rPr>
        <w:t>沥青转运</w:t>
      </w:r>
      <w:r>
        <w:rPr>
          <w:rFonts w:ascii="Times New Roman" w:hAnsi="Times New Roman" w:cs="Times New Roman"/>
          <w:caps w:val="0"/>
          <w:smallCaps w:val="0"/>
          <w:color w:val="auto"/>
          <w:sz w:val="24"/>
          <w:szCs w:val="24"/>
          <w:u w:val="single"/>
        </w:rPr>
        <w:t>，不涉及</w:t>
      </w:r>
      <w:r>
        <w:rPr>
          <w:rFonts w:hint="eastAsia" w:ascii="Times New Roman" w:hAnsi="Times New Roman" w:cs="Times New Roman"/>
          <w:caps w:val="0"/>
          <w:smallCaps w:val="0"/>
          <w:color w:val="auto"/>
          <w:sz w:val="24"/>
          <w:szCs w:val="24"/>
          <w:u w:val="single"/>
        </w:rPr>
        <w:t>沥青</w:t>
      </w:r>
      <w:r>
        <w:rPr>
          <w:rFonts w:ascii="Times New Roman" w:hAnsi="Times New Roman" w:cs="Times New Roman"/>
          <w:caps w:val="0"/>
          <w:smallCaps w:val="0"/>
          <w:color w:val="auto"/>
          <w:sz w:val="24"/>
          <w:szCs w:val="24"/>
          <w:u w:val="single"/>
        </w:rPr>
        <w:t>的存储环节</w:t>
      </w:r>
      <w:r>
        <w:rPr>
          <w:rFonts w:hint="eastAsia" w:ascii="Times New Roman" w:hAnsi="Times New Roman" w:cs="Times New Roman"/>
          <w:caps w:val="0"/>
          <w:smallCaps w:val="0"/>
          <w:color w:val="auto"/>
          <w:sz w:val="24"/>
          <w:szCs w:val="24"/>
          <w:u w:val="single"/>
        </w:rPr>
        <w:t>，</w:t>
      </w:r>
      <w:r>
        <w:rPr>
          <w:rFonts w:hint="eastAsia" w:ascii="Times New Roman" w:hAnsi="Times New Roman" w:cs="Times New Roman"/>
          <w:caps w:val="0"/>
          <w:smallCaps w:val="0"/>
          <w:color w:val="auto"/>
          <w:sz w:val="24"/>
          <w:szCs w:val="24"/>
          <w:u w:val="single"/>
          <w:lang w:eastAsia="zh-CN"/>
        </w:rPr>
        <w:t>根据后面环境风险评价的分析，</w:t>
      </w:r>
      <w:r>
        <w:rPr>
          <w:rFonts w:hint="eastAsia" w:ascii="Times New Roman" w:hAnsi="Times New Roman" w:cs="Times New Roman"/>
          <w:caps w:val="0"/>
          <w:smallCaps w:val="0"/>
          <w:color w:val="auto"/>
          <w:sz w:val="24"/>
          <w:szCs w:val="24"/>
          <w:u w:val="single"/>
          <w:lang w:val="en-US" w:eastAsia="zh-CN"/>
        </w:rPr>
        <w:t>q值为0.0040</w:t>
      </w:r>
      <w:r>
        <w:rPr>
          <w:rFonts w:hint="eastAsia" w:cs="Times New Roman"/>
          <w:caps w:val="0"/>
          <w:smallCaps w:val="0"/>
          <w:color w:val="auto"/>
          <w:sz w:val="24"/>
          <w:szCs w:val="24"/>
          <w:u w:val="single"/>
          <w:lang w:val="en-US" w:eastAsia="zh-CN"/>
        </w:rPr>
        <w:t>8</w:t>
      </w:r>
      <w:r>
        <w:rPr>
          <w:rFonts w:hint="eastAsia" w:ascii="Times New Roman" w:hAnsi="Times New Roman" w:cs="Times New Roman"/>
          <w:caps w:val="0"/>
          <w:smallCaps w:val="0"/>
          <w:color w:val="auto"/>
          <w:sz w:val="24"/>
          <w:szCs w:val="24"/>
          <w:u w:val="single"/>
          <w:lang w:val="en-US" w:eastAsia="zh-CN"/>
        </w:rPr>
        <w:t>。</w:t>
      </w:r>
      <w:r>
        <w:rPr>
          <w:rFonts w:hint="eastAsia" w:ascii="Times New Roman" w:hAnsi="Times New Roman" w:cs="Times New Roman" w:eastAsiaTheme="minorEastAsia"/>
          <w:caps w:val="0"/>
          <w:smallCaps w:val="0"/>
          <w:color w:val="auto"/>
          <w:sz w:val="24"/>
          <w:szCs w:val="24"/>
          <w:u w:val="single"/>
        </w:rPr>
        <w:t>风险潜势为I级，因此本工程环境风险评价等级均为简单分析。</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《建设项目环境风险评价技术导则》（HJ 169-2018）评价等级划分见下表：</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表2.</w:t>
      </w:r>
      <w:r>
        <w:rPr>
          <w:rFonts w:hint="eastAsia" w:cs="Times New Roman" w:eastAsiaTheme="minorEastAsia"/>
          <w:b/>
          <w:caps w:val="0"/>
          <w:smallCaps w:val="0"/>
          <w:color w:val="000000"/>
          <w:sz w:val="24"/>
          <w:szCs w:val="24"/>
          <w:u w:val="single"/>
          <w:lang w:val="en-US" w:eastAsia="zh-CN"/>
        </w:rPr>
        <w:t>4</w:t>
      </w:r>
      <w:r>
        <w:rPr>
          <w:rFonts w:ascii="Times New Roman" w:hAnsi="Times New Roman" w:cs="Times New Roman" w:eastAsiaTheme="minorEastAsia"/>
          <w:b/>
          <w:caps w:val="0"/>
          <w:smallCaps w:val="0"/>
          <w:color w:val="000000"/>
          <w:sz w:val="24"/>
          <w:szCs w:val="24"/>
          <w:u w:val="single"/>
        </w:rPr>
        <w:t>-10风险评价工作等级判定表</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2530"/>
        <w:gridCol w:w="1822"/>
        <w:gridCol w:w="1571"/>
        <w:gridCol w:w="1632"/>
        <w:gridCol w:w="1731"/>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35" w:hRule="atLeast"/>
          <w:jc w:val="center"/>
        </w:trPr>
        <w:tc>
          <w:tcPr>
            <w:tcW w:w="1362"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环境风险潜势</w:t>
            </w:r>
          </w:p>
        </w:tc>
        <w:tc>
          <w:tcPr>
            <w:tcW w:w="981"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Ⅳ</w:t>
            </w:r>
            <w:r>
              <w:rPr>
                <w:rFonts w:ascii="Times New Roman" w:hAnsi="Times New Roman" w:cs="Times New Roman"/>
                <w:caps w:val="0"/>
                <w:smallCaps w:val="0"/>
                <w:u w:val="single"/>
              </w:rPr>
              <w:t>、</w:t>
            </w:r>
            <w:r>
              <w:rPr>
                <w:rFonts w:hint="eastAsia" w:ascii="Times New Roman" w:hAnsi="Times New Roman" w:cs="Times New Roman"/>
                <w:caps w:val="0"/>
                <w:smallCaps w:val="0"/>
                <w:u w:val="single"/>
              </w:rPr>
              <w:t>Ⅳ</w:t>
            </w:r>
            <w:r>
              <w:rPr>
                <w:rFonts w:ascii="Times New Roman" w:hAnsi="Times New Roman" w:cs="Times New Roman"/>
                <w:caps w:val="0"/>
                <w:smallCaps w:val="0"/>
                <w:u w:val="single"/>
              </w:rPr>
              <w:t>+</w:t>
            </w:r>
          </w:p>
        </w:tc>
        <w:tc>
          <w:tcPr>
            <w:tcW w:w="846"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Ⅲ</w:t>
            </w:r>
          </w:p>
        </w:tc>
        <w:tc>
          <w:tcPr>
            <w:tcW w:w="879"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Ⅱ</w:t>
            </w:r>
          </w:p>
        </w:tc>
        <w:tc>
          <w:tcPr>
            <w:tcW w:w="931"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35" w:hRule="atLeast"/>
          <w:jc w:val="center"/>
        </w:trPr>
        <w:tc>
          <w:tcPr>
            <w:tcW w:w="1362"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评价工作等级</w:t>
            </w:r>
          </w:p>
        </w:tc>
        <w:tc>
          <w:tcPr>
            <w:tcW w:w="981"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一</w:t>
            </w:r>
          </w:p>
        </w:tc>
        <w:tc>
          <w:tcPr>
            <w:tcW w:w="846" w:type="pct"/>
            <w:shd w:val="clear" w:color="auto" w:fill="FFFFFF" w:themeFill="background1"/>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二</w:t>
            </w:r>
          </w:p>
        </w:tc>
        <w:tc>
          <w:tcPr>
            <w:tcW w:w="879" w:type="pct"/>
            <w:shd w:val="clear" w:color="auto" w:fill="auto"/>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w:t>
            </w:r>
          </w:p>
        </w:tc>
        <w:tc>
          <w:tcPr>
            <w:tcW w:w="931" w:type="pct"/>
            <w:shd w:val="clear" w:color="auto" w:fill="AEAAAA" w:themeFill="background2" w:themeFillShade="BF"/>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简单分析</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35" w:hRule="atLeast"/>
          <w:jc w:val="center"/>
        </w:trPr>
        <w:tc>
          <w:tcPr>
            <w:tcW w:w="5000" w:type="pct"/>
            <w:gridSpan w:val="5"/>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a是相对于详细评价评价工作内容而言，在描述危险物质、环境影响途经、环境危害后果、风险防范措施等方面给出定型的说明。见附录A。</w:t>
            </w:r>
          </w:p>
        </w:tc>
      </w:tr>
    </w:tbl>
    <w:p>
      <w:pPr>
        <w:pStyle w:val="321"/>
        <w:snapToGrid w:val="0"/>
        <w:spacing w:after="0" w:line="360" w:lineRule="auto"/>
        <w:jc w:val="both"/>
        <w:rPr>
          <w:rFonts w:ascii="Times New Roman" w:hAnsi="Times New Roman" w:cs="Times New Roman" w:eastAsiaTheme="minorEastAsia"/>
          <w:caps w:val="0"/>
          <w:smallCaps w:val="0"/>
          <w:color w:val="000000"/>
        </w:rPr>
      </w:pPr>
    </w:p>
    <w:p>
      <w:pPr>
        <w:pStyle w:val="7"/>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土壤环境评价等级</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本项目工程内容包括码头和</w:t>
      </w:r>
      <w:r>
        <w:rPr>
          <w:rFonts w:hint="eastAsia" w:ascii="Times New Roman" w:hAnsi="Times New Roman" w:cs="Times New Roman" w:eastAsiaTheme="minorEastAsia"/>
          <w:caps w:val="0"/>
          <w:smallCaps w:val="0"/>
          <w:color w:val="000000"/>
          <w:sz w:val="24"/>
          <w:szCs w:val="24"/>
          <w:u w:val="single"/>
        </w:rPr>
        <w:t>引桥</w:t>
      </w:r>
      <w:r>
        <w:rPr>
          <w:rFonts w:ascii="Times New Roman" w:hAnsi="Times New Roman" w:cs="Times New Roman" w:eastAsiaTheme="minorEastAsia"/>
          <w:caps w:val="0"/>
          <w:smallCaps w:val="0"/>
          <w:color w:val="000000"/>
          <w:sz w:val="24"/>
          <w:szCs w:val="24"/>
          <w:u w:val="single"/>
        </w:rPr>
        <w:t>两部分，码头区域设置</w:t>
      </w:r>
      <w:r>
        <w:rPr>
          <w:rFonts w:hint="eastAsia" w:ascii="Times New Roman" w:hAnsi="Times New Roman" w:cs="Times New Roman" w:eastAsiaTheme="minorEastAsia"/>
          <w:caps w:val="0"/>
          <w:smallCaps w:val="0"/>
          <w:color w:val="000000"/>
          <w:sz w:val="24"/>
          <w:szCs w:val="24"/>
          <w:u w:val="single"/>
        </w:rPr>
        <w:t>驳船一台，钢引桥一个</w:t>
      </w:r>
      <w:r>
        <w:rPr>
          <w:rFonts w:ascii="Times New Roman" w:hAnsi="Times New Roman" w:cs="Times New Roman" w:eastAsiaTheme="minorEastAsia"/>
          <w:caps w:val="0"/>
          <w:smallCaps w:val="0"/>
          <w:color w:val="000000"/>
          <w:sz w:val="24"/>
          <w:szCs w:val="24"/>
          <w:u w:val="single"/>
        </w:rPr>
        <w:t>，因此本次评价按码头区域的占地情况来确定土壤评价等级。</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根据导则，建设项目土壤环境影响评价工作等级的划分应依据建设项目行业分类和土壤环境敏感程度分级进行判定：</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hint="eastAsia" w:ascii="Times New Roman" w:hAnsi="Times New Roman" w:cs="Times New Roman"/>
          <w:caps w:val="0"/>
          <w:smallCaps w:val="0"/>
          <w:color w:val="000000"/>
          <w:sz w:val="24"/>
          <w:szCs w:val="24"/>
          <w:u w:val="single"/>
        </w:rPr>
        <w:t>⑴</w:t>
      </w:r>
      <w:r>
        <w:rPr>
          <w:rFonts w:ascii="Times New Roman" w:hAnsi="Times New Roman" w:cs="Times New Roman" w:eastAsiaTheme="minorEastAsia"/>
          <w:caps w:val="0"/>
          <w:smallCaps w:val="0"/>
          <w:color w:val="000000"/>
          <w:sz w:val="24"/>
          <w:szCs w:val="24"/>
          <w:u w:val="single"/>
        </w:rPr>
        <w:t>建设项目行业分类：对照《环境影响评价技术导则土壤环境》（HJ964-2018）附录A，拟建工程属于“交通运输仓储邮政类”中“</w:t>
      </w:r>
      <w:r>
        <w:rPr>
          <w:rFonts w:hint="eastAsia" w:ascii="Times New Roman" w:hAnsi="Times New Roman" w:cs="Times New Roman" w:eastAsiaTheme="minorEastAsia"/>
          <w:caps w:val="0"/>
          <w:smallCaps w:val="0"/>
          <w:color w:val="000000"/>
          <w:sz w:val="24"/>
          <w:szCs w:val="24"/>
          <w:u w:val="single"/>
        </w:rPr>
        <w:t>涉及危险品、化学品、石油、成品油罐区的码头及仓储</w:t>
      </w:r>
      <w:r>
        <w:rPr>
          <w:rFonts w:ascii="Times New Roman" w:hAnsi="Times New Roman" w:cs="Times New Roman" w:eastAsiaTheme="minorEastAsia"/>
          <w:caps w:val="0"/>
          <w:smallCaps w:val="0"/>
          <w:color w:val="000000"/>
          <w:sz w:val="24"/>
          <w:szCs w:val="24"/>
          <w:u w:val="single"/>
        </w:rPr>
        <w:t>”类，按土壤环境影响评价项目类别划分为</w:t>
      </w:r>
      <w:r>
        <w:rPr>
          <w:rFonts w:hint="eastAsia" w:ascii="Times New Roman" w:hAnsi="Times New Roman" w:cs="Times New Roman" w:eastAsiaTheme="minorEastAsia"/>
          <w:caps w:val="0"/>
          <w:smallCaps w:val="0"/>
          <w:color w:val="000000"/>
          <w:sz w:val="24"/>
          <w:szCs w:val="24"/>
          <w:u w:val="single"/>
        </w:rPr>
        <w:t>II类</w:t>
      </w:r>
      <w:r>
        <w:rPr>
          <w:rFonts w:ascii="Times New Roman" w:hAnsi="Times New Roman" w:cs="Times New Roman" w:eastAsiaTheme="minorEastAsia"/>
          <w:caps w:val="0"/>
          <w:smallCaps w:val="0"/>
          <w:color w:val="000000"/>
          <w:sz w:val="24"/>
          <w:szCs w:val="24"/>
          <w:u w:val="single"/>
        </w:rPr>
        <w: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hint="eastAsia" w:ascii="Times New Roman" w:hAnsi="Times New Roman" w:cs="Times New Roman"/>
          <w:caps w:val="0"/>
          <w:smallCaps w:val="0"/>
          <w:color w:val="000000"/>
          <w:sz w:val="24"/>
          <w:szCs w:val="24"/>
          <w:u w:val="single"/>
        </w:rPr>
        <w:t>⑵</w:t>
      </w:r>
      <w:r>
        <w:rPr>
          <w:rFonts w:ascii="Times New Roman" w:hAnsi="Times New Roman" w:cs="Times New Roman" w:eastAsiaTheme="minorEastAsia"/>
          <w:caps w:val="0"/>
          <w:smallCaps w:val="0"/>
          <w:color w:val="000000"/>
          <w:sz w:val="24"/>
          <w:szCs w:val="24"/>
          <w:u w:val="single"/>
        </w:rPr>
        <w:t>土壤环境敏感程度分级：码头及</w:t>
      </w:r>
      <w:r>
        <w:rPr>
          <w:rFonts w:hint="eastAsia" w:ascii="Times New Roman" w:hAnsi="Times New Roman" w:cs="Times New Roman" w:eastAsiaTheme="minorEastAsia"/>
          <w:caps w:val="0"/>
          <w:smallCaps w:val="0"/>
          <w:color w:val="000000"/>
          <w:sz w:val="24"/>
          <w:szCs w:val="24"/>
          <w:u w:val="single"/>
        </w:rPr>
        <w:t>引桥均</w:t>
      </w:r>
      <w:r>
        <w:rPr>
          <w:rFonts w:ascii="Times New Roman" w:hAnsi="Times New Roman" w:cs="Times New Roman" w:eastAsiaTheme="minorEastAsia"/>
          <w:caps w:val="0"/>
          <w:smallCaps w:val="0"/>
          <w:color w:val="000000"/>
          <w:sz w:val="24"/>
          <w:szCs w:val="24"/>
          <w:u w:val="single"/>
        </w:rPr>
        <w:t>于大堤外，工程周边200m范围</w:t>
      </w:r>
      <w:r>
        <w:rPr>
          <w:rFonts w:hint="eastAsia" w:ascii="Times New Roman" w:hAnsi="Times New Roman" w:cs="Times New Roman" w:eastAsiaTheme="minorEastAsia"/>
          <w:caps w:val="0"/>
          <w:smallCaps w:val="0"/>
          <w:color w:val="000000"/>
          <w:sz w:val="24"/>
          <w:szCs w:val="24"/>
          <w:u w:val="single"/>
        </w:rPr>
        <w:t>不</w:t>
      </w:r>
      <w:r>
        <w:rPr>
          <w:rFonts w:ascii="Times New Roman" w:hAnsi="Times New Roman" w:cs="Times New Roman" w:eastAsiaTheme="minorEastAsia"/>
          <w:caps w:val="0"/>
          <w:smallCaps w:val="0"/>
          <w:color w:val="000000"/>
          <w:sz w:val="24"/>
          <w:szCs w:val="24"/>
          <w:u w:val="single"/>
        </w:rPr>
        <w:t>存在</w:t>
      </w:r>
      <w:r>
        <w:rPr>
          <w:rFonts w:hint="eastAsia" w:ascii="Times New Roman" w:hAnsi="Times New Roman" w:cs="Times New Roman" w:eastAsiaTheme="minorEastAsia"/>
          <w:caps w:val="0"/>
          <w:smallCaps w:val="0"/>
          <w:color w:val="000000"/>
          <w:sz w:val="24"/>
          <w:szCs w:val="24"/>
          <w:u w:val="single"/>
        </w:rPr>
        <w:t>耕地、园地、牧草地、饮用水源地或居民区、学校、医院、疗养院、养老院等</w:t>
      </w:r>
      <w:r>
        <w:rPr>
          <w:rFonts w:ascii="Times New Roman" w:hAnsi="Times New Roman" w:cs="Times New Roman" w:eastAsiaTheme="minorEastAsia"/>
          <w:caps w:val="0"/>
          <w:smallCaps w:val="0"/>
          <w:color w:val="000000"/>
          <w:sz w:val="24"/>
          <w:szCs w:val="24"/>
          <w:u w:val="single"/>
        </w:rPr>
        <w:t>土壤敏感目标。</w:t>
      </w:r>
      <w:r>
        <w:rPr>
          <w:rFonts w:hint="eastAsia" w:ascii="Times New Roman" w:hAnsi="Times New Roman" w:cs="Times New Roman" w:eastAsiaTheme="minorEastAsia"/>
          <w:caps w:val="0"/>
          <w:smallCaps w:val="0"/>
          <w:color w:val="000000"/>
          <w:sz w:val="24"/>
          <w:szCs w:val="24"/>
          <w:u w:val="single"/>
        </w:rPr>
        <w:t>但项目位于市级江豚自然保护区，建设项目周边存在其他土壤环境敏感目标，</w:t>
      </w:r>
      <w:r>
        <w:rPr>
          <w:rFonts w:ascii="Times New Roman" w:hAnsi="Times New Roman" w:cs="Times New Roman" w:eastAsiaTheme="minorEastAsia"/>
          <w:caps w:val="0"/>
          <w:smallCaps w:val="0"/>
          <w:color w:val="000000"/>
          <w:sz w:val="24"/>
          <w:szCs w:val="24"/>
          <w:u w:val="single"/>
        </w:rPr>
        <w:t>因此，土壤敏感程度为</w:t>
      </w:r>
      <w:r>
        <w:rPr>
          <w:rFonts w:hint="eastAsia" w:ascii="Times New Roman" w:hAnsi="Times New Roman" w:cs="Times New Roman" w:eastAsiaTheme="minorEastAsia"/>
          <w:caps w:val="0"/>
          <w:smallCaps w:val="0"/>
          <w:color w:val="000000"/>
          <w:sz w:val="24"/>
          <w:szCs w:val="24"/>
          <w:u w:val="single"/>
        </w:rPr>
        <w:t>较</w:t>
      </w:r>
      <w:r>
        <w:rPr>
          <w:rFonts w:ascii="Times New Roman" w:hAnsi="Times New Roman" w:cs="Times New Roman" w:eastAsiaTheme="minorEastAsia"/>
          <w:caps w:val="0"/>
          <w:smallCaps w:val="0"/>
          <w:color w:val="000000"/>
          <w:sz w:val="24"/>
          <w:szCs w:val="24"/>
          <w:u w:val="single"/>
        </w:rPr>
        <w:t>敏感。</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hint="eastAsia" w:ascii="Times New Roman" w:hAnsi="Times New Roman" w:cs="Times New Roman"/>
          <w:caps w:val="0"/>
          <w:smallCaps w:val="0"/>
          <w:color w:val="000000"/>
          <w:sz w:val="24"/>
          <w:szCs w:val="24"/>
          <w:u w:val="single"/>
        </w:rPr>
        <w:t>⑶</w:t>
      </w:r>
      <w:r>
        <w:rPr>
          <w:rFonts w:ascii="Times New Roman" w:hAnsi="Times New Roman" w:cs="Times New Roman" w:eastAsiaTheme="minorEastAsia"/>
          <w:caps w:val="0"/>
          <w:smallCaps w:val="0"/>
          <w:color w:val="000000"/>
          <w:sz w:val="24"/>
          <w:szCs w:val="24"/>
          <w:u w:val="single"/>
        </w:rPr>
        <w:t>建设项目占地规模分级：码头及</w:t>
      </w:r>
      <w:r>
        <w:rPr>
          <w:rFonts w:hint="eastAsia" w:ascii="Times New Roman" w:hAnsi="Times New Roman" w:cs="Times New Roman" w:eastAsiaTheme="minorEastAsia"/>
          <w:caps w:val="0"/>
          <w:smallCaps w:val="0"/>
          <w:color w:val="000000"/>
          <w:sz w:val="24"/>
          <w:szCs w:val="24"/>
          <w:u w:val="single"/>
        </w:rPr>
        <w:t>引桥</w:t>
      </w:r>
      <w:r>
        <w:rPr>
          <w:rFonts w:ascii="Times New Roman" w:hAnsi="Times New Roman" w:cs="Times New Roman" w:eastAsiaTheme="minorEastAsia"/>
          <w:caps w:val="0"/>
          <w:smallCaps w:val="0"/>
          <w:color w:val="000000"/>
          <w:sz w:val="24"/>
          <w:szCs w:val="24"/>
          <w:u w:val="single"/>
        </w:rPr>
        <w:t>占地规模小于5hm</w:t>
      </w:r>
      <w:r>
        <w:rPr>
          <w:rFonts w:ascii="Times New Roman" w:hAnsi="Times New Roman" w:cs="Times New Roman" w:eastAsiaTheme="minorEastAsia"/>
          <w:caps w:val="0"/>
          <w:smallCaps w:val="0"/>
          <w:color w:val="000000"/>
          <w:sz w:val="24"/>
          <w:szCs w:val="24"/>
          <w:u w:val="single"/>
          <w:vertAlign w:val="superscript"/>
        </w:rPr>
        <w:t>2</w:t>
      </w:r>
      <w:r>
        <w:rPr>
          <w:rFonts w:ascii="Times New Roman" w:hAnsi="Times New Roman" w:cs="Times New Roman" w:eastAsiaTheme="minorEastAsia"/>
          <w:caps w:val="0"/>
          <w:smallCaps w:val="0"/>
          <w:color w:val="000000"/>
          <w:sz w:val="24"/>
          <w:szCs w:val="24"/>
          <w:u w:val="single"/>
        </w:rPr>
        <w:t>，占地规模为小型。</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具体等级划分见表2.</w:t>
      </w:r>
      <w:r>
        <w:rPr>
          <w:rFonts w:hint="eastAsia" w:cs="Times New Roman" w:eastAsiaTheme="minorEastAsia"/>
          <w:caps w:val="0"/>
          <w:smallCaps w:val="0"/>
          <w:color w:val="000000"/>
          <w:sz w:val="24"/>
          <w:szCs w:val="24"/>
          <w:u w:val="single"/>
          <w:lang w:val="en-US" w:eastAsia="zh-CN"/>
        </w:rPr>
        <w:t>4</w:t>
      </w:r>
      <w:r>
        <w:rPr>
          <w:rFonts w:ascii="Times New Roman" w:hAnsi="Times New Roman" w:cs="Times New Roman" w:eastAsiaTheme="minorEastAsia"/>
          <w:caps w:val="0"/>
          <w:smallCaps w:val="0"/>
          <w:color w:val="000000"/>
          <w:sz w:val="24"/>
          <w:szCs w:val="24"/>
          <w:u w:val="single"/>
        </w:rPr>
        <w:t>-11。</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表2.</w:t>
      </w:r>
      <w:r>
        <w:rPr>
          <w:rFonts w:hint="eastAsia" w:cs="Times New Roman" w:eastAsiaTheme="minorEastAsia"/>
          <w:b/>
          <w:caps w:val="0"/>
          <w:smallCaps w:val="0"/>
          <w:color w:val="000000"/>
          <w:sz w:val="24"/>
          <w:szCs w:val="24"/>
          <w:u w:val="single"/>
          <w:lang w:val="en-US" w:eastAsia="zh-CN"/>
        </w:rPr>
        <w:t>4</w:t>
      </w:r>
      <w:r>
        <w:rPr>
          <w:rFonts w:ascii="Times New Roman" w:hAnsi="Times New Roman" w:cs="Times New Roman" w:eastAsiaTheme="minorEastAsia"/>
          <w:b/>
          <w:caps w:val="0"/>
          <w:smallCaps w:val="0"/>
          <w:color w:val="000000"/>
          <w:sz w:val="24"/>
          <w:szCs w:val="24"/>
          <w:u w:val="single"/>
        </w:rPr>
        <w:t>-11各环境要素环境影响评价等级一览表</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984"/>
        <w:gridCol w:w="5935"/>
        <w:gridCol w:w="1181"/>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blHeader/>
          <w:jc w:val="center"/>
        </w:trPr>
        <w:tc>
          <w:tcPr>
            <w:tcW w:w="109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等级划分指标</w:t>
            </w:r>
          </w:p>
        </w:tc>
        <w:tc>
          <w:tcPr>
            <w:tcW w:w="3261"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建设项目情况</w:t>
            </w:r>
          </w:p>
        </w:tc>
        <w:tc>
          <w:tcPr>
            <w:tcW w:w="65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分级情况</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建设项目行业分类</w:t>
            </w:r>
          </w:p>
        </w:tc>
        <w:tc>
          <w:tcPr>
            <w:tcW w:w="3261"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对照《环境影响评价技术导则土壤环境》（HJ964-2018）附录A，本项目属于“交通运输仓储邮政类”中“</w:t>
            </w:r>
            <w:r>
              <w:rPr>
                <w:rFonts w:hint="eastAsia" w:ascii="Times New Roman" w:hAnsi="Times New Roman" w:cs="Times New Roman"/>
                <w:caps w:val="0"/>
                <w:smallCaps w:val="0"/>
                <w:u w:val="single"/>
              </w:rPr>
              <w:t>涉及危险品、化学品、石油、成品油罐区的码头及仓储</w:t>
            </w:r>
            <w:r>
              <w:rPr>
                <w:rFonts w:ascii="Times New Roman" w:hAnsi="Times New Roman" w:cs="Times New Roman"/>
                <w:caps w:val="0"/>
                <w:smallCaps w:val="0"/>
                <w:u w:val="single"/>
              </w:rPr>
              <w:t>”类，土壤环境影响评价项目类别划分为</w:t>
            </w:r>
            <w:r>
              <w:rPr>
                <w:rFonts w:hint="eastAsia" w:ascii="Times New Roman" w:hAnsi="Times New Roman" w:cs="Times New Roman"/>
                <w:caps w:val="0"/>
                <w:smallCaps w:val="0"/>
                <w:u w:val="single"/>
                <w:lang w:eastAsia="ja-JP"/>
              </w:rPr>
              <w:t>Ⅱ</w:t>
            </w:r>
            <w:r>
              <w:rPr>
                <w:rFonts w:ascii="Times New Roman" w:hAnsi="Times New Roman" w:cs="Times New Roman"/>
                <w:caps w:val="0"/>
                <w:smallCaps w:val="0"/>
                <w:u w:val="single"/>
              </w:rPr>
              <w:t>类。</w:t>
            </w:r>
          </w:p>
        </w:tc>
        <w:tc>
          <w:tcPr>
            <w:tcW w:w="650"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eastAsia="ja-JP"/>
              </w:rPr>
              <w:t>Ⅱ</w:t>
            </w:r>
            <w:r>
              <w:rPr>
                <w:rFonts w:ascii="Times New Roman" w:hAnsi="Times New Roman" w:cs="Times New Roman"/>
                <w:caps w:val="0"/>
                <w:smallCaps w:val="0"/>
                <w:u w:val="single"/>
              </w:rPr>
              <w:t>类</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土壤环境敏感程度</w:t>
            </w:r>
          </w:p>
        </w:tc>
        <w:tc>
          <w:tcPr>
            <w:tcW w:w="3261"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建设项目周边存在其他突然环境敏感目标</w:t>
            </w:r>
          </w:p>
        </w:tc>
        <w:tc>
          <w:tcPr>
            <w:tcW w:w="650"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较</w:t>
            </w:r>
            <w:r>
              <w:rPr>
                <w:rFonts w:ascii="Times New Roman" w:hAnsi="Times New Roman" w:cs="Times New Roman"/>
                <w:caps w:val="0"/>
                <w:smallCaps w:val="0"/>
                <w:u w:val="single"/>
              </w:rPr>
              <w:t>敏感</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占地规模</w:t>
            </w:r>
          </w:p>
        </w:tc>
        <w:tc>
          <w:tcPr>
            <w:tcW w:w="3261"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≤5hm</w:t>
            </w:r>
            <w:r>
              <w:rPr>
                <w:rFonts w:ascii="Times New Roman" w:hAnsi="Times New Roman" w:cs="Times New Roman"/>
                <w:caps w:val="0"/>
                <w:smallCaps w:val="0"/>
                <w:u w:val="single"/>
                <w:vertAlign w:val="superscript"/>
              </w:rPr>
              <w:t>2</w:t>
            </w:r>
          </w:p>
        </w:tc>
        <w:tc>
          <w:tcPr>
            <w:tcW w:w="65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小</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9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工作等级划分</w:t>
            </w:r>
          </w:p>
        </w:tc>
        <w:tc>
          <w:tcPr>
            <w:tcW w:w="3261"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w:t>
            </w:r>
          </w:p>
        </w:tc>
        <w:tc>
          <w:tcPr>
            <w:tcW w:w="650"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三</w:t>
            </w:r>
            <w:r>
              <w:rPr>
                <w:rFonts w:ascii="Times New Roman" w:hAnsi="Times New Roman" w:cs="Times New Roman"/>
                <w:caps w:val="0"/>
                <w:smallCaps w:val="0"/>
                <w:u w:val="single"/>
              </w:rPr>
              <w:t>级</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经以上分析，根据《环境影响评价技术导则土壤环境》（HJ964-2018）中相关规定，本项目为污染影响型的</w:t>
      </w:r>
      <w:r>
        <w:rPr>
          <w:rFonts w:hint="eastAsia" w:ascii="Times New Roman" w:hAnsi="Times New Roman" w:cs="Times New Roman" w:eastAsiaTheme="minorEastAsia"/>
          <w:caps w:val="0"/>
          <w:smallCaps w:val="0"/>
          <w:color w:val="000000"/>
          <w:sz w:val="24"/>
          <w:szCs w:val="24"/>
          <w:u w:val="single"/>
        </w:rPr>
        <w:t>三</w:t>
      </w:r>
      <w:r>
        <w:rPr>
          <w:rFonts w:ascii="Times New Roman" w:hAnsi="Times New Roman" w:cs="Times New Roman" w:eastAsiaTheme="minorEastAsia"/>
          <w:caps w:val="0"/>
          <w:smallCaps w:val="0"/>
          <w:color w:val="000000"/>
          <w:sz w:val="24"/>
          <w:szCs w:val="24"/>
          <w:u w:val="single"/>
        </w:rPr>
        <w:t>级土壤评价。</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ascii="Times New Roman" w:hAnsi="Times New Roman" w:cs="Times New Roman" w:eastAsiaTheme="minorEastAsia"/>
          <w:caps w:val="0"/>
          <w:smallCaps w:val="0"/>
          <w:color w:val="000000"/>
          <w:sz w:val="24"/>
          <w:szCs w:val="24"/>
          <w:u w:val="single"/>
        </w:rPr>
        <w:t>本项目环境评价工作等级汇总见下表。</w:t>
      </w:r>
    </w:p>
    <w:p>
      <w:pPr>
        <w:tabs>
          <w:tab w:val="left" w:pos="900"/>
        </w:tabs>
        <w:snapToGrid w:val="0"/>
        <w:spacing w:line="276" w:lineRule="auto"/>
        <w:jc w:val="cente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t>表2.</w:t>
      </w:r>
      <w:r>
        <w:rPr>
          <w:rFonts w:hint="eastAsia" w:cs="Times New Roman" w:eastAsiaTheme="minorEastAsia"/>
          <w:b/>
          <w:caps w:val="0"/>
          <w:smallCaps w:val="0"/>
          <w:color w:val="000000" w:themeColor="text1"/>
          <w:sz w:val="24"/>
          <w:szCs w:val="24"/>
          <w:u w:val="single"/>
          <w:lang w:val="en-US" w:eastAsia="zh-CN"/>
          <w14:textFill>
            <w14:solidFill>
              <w14:schemeClr w14:val="tx1"/>
            </w14:solidFill>
          </w14:textFill>
        </w:rPr>
        <w:t>4</w:t>
      </w:r>
      <w:r>
        <w:rPr>
          <w:rFonts w:ascii="Times New Roman" w:hAnsi="Times New Roman" w:cs="Times New Roman" w:eastAsiaTheme="minorEastAsia"/>
          <w:b/>
          <w:caps w:val="0"/>
          <w:smallCaps w:val="0"/>
          <w:color w:val="000000" w:themeColor="text1"/>
          <w:sz w:val="24"/>
          <w:szCs w:val="24"/>
          <w:u w:val="single"/>
          <w14:textFill>
            <w14:solidFill>
              <w14:schemeClr w14:val="tx1"/>
            </w14:solidFill>
          </w14:textFill>
        </w:rPr>
        <w:t>-12本项目环境评价工作级汇总表</w:t>
      </w:r>
    </w:p>
    <w:tbl>
      <w:tblPr>
        <w:tblStyle w:val="71"/>
        <w:tblW w:w="5016"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102"/>
        <w:gridCol w:w="2006"/>
        <w:gridCol w:w="2674"/>
        <w:gridCol w:w="2338"/>
        <w:gridCol w:w="100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60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序号</w:t>
            </w:r>
          </w:p>
        </w:tc>
        <w:tc>
          <w:tcPr>
            <w:tcW w:w="2562" w:type="pct"/>
            <w:gridSpan w:val="2"/>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评价内容</w:t>
            </w:r>
          </w:p>
        </w:tc>
        <w:tc>
          <w:tcPr>
            <w:tcW w:w="128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评价工作等级</w:t>
            </w:r>
          </w:p>
        </w:tc>
        <w:tc>
          <w:tcPr>
            <w:tcW w:w="552"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备注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603" w:type="pct"/>
            <w:vMerge w:val="restar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w:t>
            </w:r>
          </w:p>
        </w:tc>
        <w:tc>
          <w:tcPr>
            <w:tcW w:w="1098" w:type="pct"/>
            <w:vMerge w:val="restar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地表水环境</w:t>
            </w:r>
          </w:p>
        </w:tc>
        <w:tc>
          <w:tcPr>
            <w:tcW w:w="146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水污染影响型</w:t>
            </w:r>
          </w:p>
        </w:tc>
        <w:tc>
          <w:tcPr>
            <w:tcW w:w="128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三级B</w:t>
            </w:r>
          </w:p>
        </w:tc>
        <w:tc>
          <w:tcPr>
            <w:tcW w:w="552" w:type="pct"/>
            <w:vMerge w:val="restart"/>
            <w:vAlign w:val="center"/>
          </w:tcPr>
          <w:p>
            <w:pPr>
              <w:pStyle w:val="117"/>
              <w:bidi w:val="0"/>
              <w:rPr>
                <w:rFonts w:hint="default"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lang w:val="en-US" w:eastAsia="zh-CN"/>
              </w:rPr>
              <w:t>二级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603" w:type="pct"/>
            <w:vMerge w:val="continue"/>
            <w:vAlign w:val="center"/>
          </w:tcPr>
          <w:p>
            <w:pPr>
              <w:pStyle w:val="117"/>
              <w:bidi w:val="0"/>
              <w:rPr>
                <w:rFonts w:ascii="Times New Roman" w:hAnsi="Times New Roman" w:cs="Times New Roman"/>
                <w:caps w:val="0"/>
                <w:smallCaps w:val="0"/>
                <w:u w:val="single"/>
              </w:rPr>
            </w:pPr>
          </w:p>
        </w:tc>
        <w:tc>
          <w:tcPr>
            <w:tcW w:w="1098" w:type="pct"/>
            <w:vMerge w:val="continue"/>
            <w:vAlign w:val="center"/>
          </w:tcPr>
          <w:p>
            <w:pPr>
              <w:pStyle w:val="117"/>
              <w:bidi w:val="0"/>
              <w:rPr>
                <w:rFonts w:ascii="Times New Roman" w:hAnsi="Times New Roman" w:cs="Times New Roman"/>
                <w:caps w:val="0"/>
                <w:smallCaps w:val="0"/>
                <w:u w:val="single"/>
              </w:rPr>
            </w:pPr>
          </w:p>
        </w:tc>
        <w:tc>
          <w:tcPr>
            <w:tcW w:w="146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水文要素影响型</w:t>
            </w:r>
          </w:p>
        </w:tc>
        <w:tc>
          <w:tcPr>
            <w:tcW w:w="1280"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二</w:t>
            </w:r>
            <w:r>
              <w:rPr>
                <w:rFonts w:ascii="Times New Roman" w:hAnsi="Times New Roman" w:cs="Times New Roman"/>
                <w:caps w:val="0"/>
                <w:smallCaps w:val="0"/>
                <w:u w:val="single"/>
              </w:rPr>
              <w:t>级</w:t>
            </w:r>
          </w:p>
        </w:tc>
        <w:tc>
          <w:tcPr>
            <w:tcW w:w="552" w:type="pct"/>
            <w:vMerge w:val="continue"/>
            <w:vAlign w:val="center"/>
          </w:tcPr>
          <w:p>
            <w:pPr>
              <w:pStyle w:val="117"/>
              <w:bidi w:val="0"/>
              <w:rPr>
                <w:rFonts w:ascii="Times New Roman" w:hAnsi="Times New Roman" w:cs="Times New Roman"/>
                <w:caps w:val="0"/>
                <w:smallCaps w:val="0"/>
                <w:u w:val="singl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60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2</w:t>
            </w:r>
          </w:p>
        </w:tc>
        <w:tc>
          <w:tcPr>
            <w:tcW w:w="2562" w:type="pct"/>
            <w:gridSpan w:val="2"/>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环境空气</w:t>
            </w:r>
          </w:p>
        </w:tc>
        <w:tc>
          <w:tcPr>
            <w:tcW w:w="1280"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val="en-US" w:eastAsia="zh-CN"/>
              </w:rPr>
              <w:t>三</w:t>
            </w:r>
            <w:r>
              <w:rPr>
                <w:rFonts w:ascii="Times New Roman" w:hAnsi="Times New Roman" w:cs="Times New Roman"/>
                <w:caps w:val="0"/>
                <w:smallCaps w:val="0"/>
                <w:u w:val="single"/>
              </w:rPr>
              <w:t>级</w:t>
            </w:r>
          </w:p>
        </w:tc>
        <w:tc>
          <w:tcPr>
            <w:tcW w:w="552" w:type="pct"/>
            <w:vAlign w:val="center"/>
          </w:tcPr>
          <w:p>
            <w:pPr>
              <w:pStyle w:val="117"/>
              <w:bidi w:val="0"/>
              <w:rPr>
                <w:rFonts w:ascii="Times New Roman" w:hAnsi="Times New Roman" w:cs="Times New Roman"/>
                <w:caps w:val="0"/>
                <w:smallCaps w:val="0"/>
                <w:u w:val="singl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60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3</w:t>
            </w:r>
          </w:p>
        </w:tc>
        <w:tc>
          <w:tcPr>
            <w:tcW w:w="2562" w:type="pct"/>
            <w:gridSpan w:val="2"/>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声环境</w:t>
            </w:r>
          </w:p>
        </w:tc>
        <w:tc>
          <w:tcPr>
            <w:tcW w:w="1280"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eastAsia="zh-CN"/>
              </w:rPr>
              <w:t>二</w:t>
            </w:r>
            <w:r>
              <w:rPr>
                <w:rFonts w:ascii="Times New Roman" w:hAnsi="Times New Roman" w:cs="Times New Roman"/>
                <w:caps w:val="0"/>
                <w:smallCaps w:val="0"/>
                <w:u w:val="single"/>
              </w:rPr>
              <w:t>级</w:t>
            </w:r>
          </w:p>
        </w:tc>
        <w:tc>
          <w:tcPr>
            <w:tcW w:w="552" w:type="pct"/>
            <w:vAlign w:val="center"/>
          </w:tcPr>
          <w:p>
            <w:pPr>
              <w:pStyle w:val="117"/>
              <w:bidi w:val="0"/>
              <w:rPr>
                <w:rFonts w:ascii="Times New Roman" w:hAnsi="Times New Roman" w:cs="Times New Roman"/>
                <w:caps w:val="0"/>
                <w:smallCaps w:val="0"/>
                <w:u w:val="singl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60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4</w:t>
            </w:r>
          </w:p>
        </w:tc>
        <w:tc>
          <w:tcPr>
            <w:tcW w:w="2562" w:type="pct"/>
            <w:gridSpan w:val="2"/>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地下水环境</w:t>
            </w:r>
          </w:p>
        </w:tc>
        <w:tc>
          <w:tcPr>
            <w:tcW w:w="1280"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三级</w:t>
            </w:r>
          </w:p>
        </w:tc>
        <w:tc>
          <w:tcPr>
            <w:tcW w:w="552" w:type="pct"/>
            <w:vAlign w:val="center"/>
          </w:tcPr>
          <w:p>
            <w:pPr>
              <w:pStyle w:val="117"/>
              <w:bidi w:val="0"/>
              <w:rPr>
                <w:rFonts w:ascii="Times New Roman" w:hAnsi="Times New Roman" w:cs="Times New Roman"/>
                <w:caps w:val="0"/>
                <w:smallCaps w:val="0"/>
                <w:u w:val="singl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60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5</w:t>
            </w:r>
          </w:p>
        </w:tc>
        <w:tc>
          <w:tcPr>
            <w:tcW w:w="2562" w:type="pct"/>
            <w:gridSpan w:val="2"/>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生态环境</w:t>
            </w:r>
          </w:p>
        </w:tc>
        <w:tc>
          <w:tcPr>
            <w:tcW w:w="1280"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一</w:t>
            </w:r>
            <w:r>
              <w:rPr>
                <w:rFonts w:ascii="Times New Roman" w:hAnsi="Times New Roman" w:cs="Times New Roman"/>
                <w:caps w:val="0"/>
                <w:smallCaps w:val="0"/>
                <w:u w:val="single"/>
              </w:rPr>
              <w:t>级</w:t>
            </w:r>
          </w:p>
        </w:tc>
        <w:tc>
          <w:tcPr>
            <w:tcW w:w="552" w:type="pct"/>
            <w:vAlign w:val="center"/>
          </w:tcPr>
          <w:p>
            <w:pPr>
              <w:pStyle w:val="117"/>
              <w:bidi w:val="0"/>
              <w:rPr>
                <w:rFonts w:ascii="Times New Roman" w:hAnsi="Times New Roman" w:cs="Times New Roman"/>
                <w:caps w:val="0"/>
                <w:smallCaps w:val="0"/>
                <w:u w:val="singl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60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6</w:t>
            </w:r>
          </w:p>
        </w:tc>
        <w:tc>
          <w:tcPr>
            <w:tcW w:w="2562" w:type="pct"/>
            <w:gridSpan w:val="2"/>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环境风险</w:t>
            </w:r>
          </w:p>
        </w:tc>
        <w:tc>
          <w:tcPr>
            <w:tcW w:w="1280"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简单分析</w:t>
            </w:r>
          </w:p>
        </w:tc>
        <w:tc>
          <w:tcPr>
            <w:tcW w:w="552" w:type="pct"/>
            <w:vAlign w:val="center"/>
          </w:tcPr>
          <w:p>
            <w:pPr>
              <w:pStyle w:val="117"/>
              <w:bidi w:val="0"/>
              <w:rPr>
                <w:rFonts w:ascii="Times New Roman" w:hAnsi="Times New Roman" w:cs="Times New Roman"/>
                <w:caps w:val="0"/>
                <w:smallCaps w:val="0"/>
                <w:u w:val="singl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rPr>
        <w:tc>
          <w:tcPr>
            <w:tcW w:w="603"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7</w:t>
            </w:r>
          </w:p>
        </w:tc>
        <w:tc>
          <w:tcPr>
            <w:tcW w:w="2562" w:type="pct"/>
            <w:gridSpan w:val="2"/>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土壤环境</w:t>
            </w:r>
          </w:p>
        </w:tc>
        <w:tc>
          <w:tcPr>
            <w:tcW w:w="1280"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三</w:t>
            </w:r>
            <w:r>
              <w:rPr>
                <w:rFonts w:ascii="Times New Roman" w:hAnsi="Times New Roman" w:cs="Times New Roman"/>
                <w:caps w:val="0"/>
                <w:smallCaps w:val="0"/>
                <w:u w:val="single"/>
              </w:rPr>
              <w:t>级</w:t>
            </w:r>
          </w:p>
        </w:tc>
        <w:tc>
          <w:tcPr>
            <w:tcW w:w="552" w:type="pct"/>
            <w:vAlign w:val="center"/>
          </w:tcPr>
          <w:p>
            <w:pPr>
              <w:pStyle w:val="117"/>
              <w:bidi w:val="0"/>
              <w:rPr>
                <w:rFonts w:ascii="Times New Roman" w:hAnsi="Times New Roman" w:cs="Times New Roman"/>
                <w:caps w:val="0"/>
                <w:smallCaps w:val="0"/>
                <w:u w:val="single"/>
              </w:rPr>
            </w:pPr>
          </w:p>
        </w:tc>
      </w:tr>
    </w:tbl>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评价范围</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本项目包括码头及</w:t>
      </w:r>
      <w:r>
        <w:rPr>
          <w:rFonts w:hint="eastAsia" w:ascii="Times New Roman" w:hAnsi="Times New Roman" w:cs="Times New Roman" w:eastAsiaTheme="minorEastAsia"/>
          <w:caps w:val="0"/>
          <w:smallCaps w:val="0"/>
          <w:color w:val="000000"/>
          <w:sz w:val="24"/>
          <w:szCs w:val="24"/>
        </w:rPr>
        <w:t>引桥</w:t>
      </w:r>
      <w:r>
        <w:rPr>
          <w:rFonts w:ascii="Times New Roman" w:hAnsi="Times New Roman" w:cs="Times New Roman" w:eastAsiaTheme="minorEastAsia"/>
          <w:caps w:val="0"/>
          <w:smallCaps w:val="0"/>
          <w:color w:val="000000"/>
          <w:sz w:val="24"/>
          <w:szCs w:val="24"/>
        </w:rPr>
        <w:t>部分，</w:t>
      </w:r>
      <w:r>
        <w:rPr>
          <w:rFonts w:hint="eastAsia" w:ascii="Times New Roman" w:hAnsi="Times New Roman" w:cs="Times New Roman" w:eastAsiaTheme="minorEastAsia"/>
          <w:caps w:val="0"/>
          <w:smallCaps w:val="0"/>
          <w:color w:val="000000"/>
          <w:sz w:val="24"/>
          <w:szCs w:val="24"/>
        </w:rPr>
        <w:t>引桥</w:t>
      </w:r>
      <w:r>
        <w:rPr>
          <w:rFonts w:ascii="Times New Roman" w:hAnsi="Times New Roman" w:cs="Times New Roman" w:eastAsiaTheme="minorEastAsia"/>
          <w:caps w:val="0"/>
          <w:smallCaps w:val="0"/>
          <w:color w:val="000000"/>
          <w:sz w:val="24"/>
          <w:szCs w:val="24"/>
        </w:rPr>
        <w:t>部分为码头至罐区的</w:t>
      </w:r>
      <w:r>
        <w:rPr>
          <w:rFonts w:hint="eastAsia" w:ascii="Times New Roman" w:hAnsi="Times New Roman" w:cs="Times New Roman" w:eastAsiaTheme="minorEastAsia"/>
          <w:caps w:val="0"/>
          <w:smallCaps w:val="0"/>
          <w:color w:val="000000"/>
          <w:sz w:val="24"/>
          <w:szCs w:val="24"/>
        </w:rPr>
        <w:t>连接通道</w:t>
      </w:r>
      <w:r>
        <w:rPr>
          <w:rFonts w:ascii="Times New Roman" w:hAnsi="Times New Roman" w:cs="Times New Roman" w:eastAsiaTheme="minorEastAsia"/>
          <w:caps w:val="0"/>
          <w:smallCaps w:val="0"/>
          <w:color w:val="000000"/>
          <w:sz w:val="24"/>
          <w:szCs w:val="24"/>
        </w:rPr>
        <w:t>，不包括罐区内部储存罐和管线。根据拟建项目评价等级，确定各环境要素的评价范围，具体见表2.</w:t>
      </w:r>
      <w:r>
        <w:rPr>
          <w:rFonts w:hint="eastAsia" w:cs="Times New Roman" w:eastAsiaTheme="minorEastAsia"/>
          <w:caps w:val="0"/>
          <w:smallCaps w:val="0"/>
          <w:color w:val="000000"/>
          <w:sz w:val="24"/>
          <w:szCs w:val="24"/>
          <w:lang w:val="en-US" w:eastAsia="zh-CN"/>
        </w:rPr>
        <w:t>4</w:t>
      </w:r>
      <w:r>
        <w:rPr>
          <w:rFonts w:ascii="Times New Roman" w:hAnsi="Times New Roman" w:cs="Times New Roman" w:eastAsiaTheme="minorEastAsia"/>
          <w:caps w:val="0"/>
          <w:smallCaps w:val="0"/>
          <w:color w:val="000000"/>
          <w:sz w:val="24"/>
          <w:szCs w:val="24"/>
        </w:rPr>
        <w:t>-13。</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4</w:t>
      </w:r>
      <w:r>
        <w:rPr>
          <w:rFonts w:ascii="Times New Roman" w:hAnsi="Times New Roman" w:cs="Times New Roman" w:eastAsiaTheme="minorEastAsia"/>
          <w:b/>
          <w:caps w:val="0"/>
          <w:smallCaps w:val="0"/>
          <w:color w:val="000000"/>
          <w:sz w:val="24"/>
          <w:szCs w:val="24"/>
        </w:rPr>
        <w:t>-13评价范围一览表</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436"/>
        <w:gridCol w:w="7664"/>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tblHeader/>
          <w:jc w:val="center"/>
        </w:trPr>
        <w:tc>
          <w:tcPr>
            <w:tcW w:w="7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评价内容</w:t>
            </w:r>
          </w:p>
        </w:tc>
        <w:tc>
          <w:tcPr>
            <w:tcW w:w="421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评价范围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7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地表水环境</w:t>
            </w:r>
          </w:p>
        </w:tc>
        <w:tc>
          <w:tcPr>
            <w:tcW w:w="421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码头上游1km至下游10km共约11km的</w:t>
            </w:r>
            <w:r>
              <w:rPr>
                <w:rFonts w:hint="eastAsia" w:ascii="Times New Roman" w:hAnsi="Times New Roman" w:cs="Times New Roman"/>
                <w:caps w:val="0"/>
                <w:smallCaps w:val="0"/>
              </w:rPr>
              <w:t>湘江</w:t>
            </w:r>
            <w:r>
              <w:rPr>
                <w:rFonts w:ascii="Times New Roman" w:hAnsi="Times New Roman" w:cs="Times New Roman"/>
                <w:caps w:val="0"/>
                <w:smallCaps w:val="0"/>
              </w:rPr>
              <w:t>水域</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7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地下水环境</w:t>
            </w:r>
          </w:p>
        </w:tc>
        <w:tc>
          <w:tcPr>
            <w:tcW w:w="421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码头所在水文地质单元，周边6km</w:t>
            </w:r>
            <w:r>
              <w:rPr>
                <w:rFonts w:ascii="Times New Roman" w:hAnsi="Times New Roman" w:cs="Times New Roman"/>
                <w:caps w:val="0"/>
                <w:smallCaps w:val="0"/>
                <w:vertAlign w:val="superscript"/>
              </w:rPr>
              <w:t>2</w:t>
            </w:r>
            <w:r>
              <w:rPr>
                <w:rFonts w:ascii="Times New Roman" w:hAnsi="Times New Roman" w:cs="Times New Roman"/>
                <w:caps w:val="0"/>
                <w:smallCaps w:val="0"/>
              </w:rPr>
              <w:t>的范围内，</w:t>
            </w:r>
            <w:r>
              <w:rPr>
                <w:rFonts w:hint="eastAsia" w:ascii="Times New Roman" w:hAnsi="Times New Roman" w:cs="Times New Roman"/>
                <w:caps w:val="0"/>
                <w:smallCaps w:val="0"/>
              </w:rPr>
              <w:t>引桥</w:t>
            </w:r>
            <w:r>
              <w:rPr>
                <w:rFonts w:ascii="Times New Roman" w:hAnsi="Times New Roman" w:cs="Times New Roman"/>
                <w:caps w:val="0"/>
                <w:smallCaps w:val="0"/>
              </w:rPr>
              <w:t>工程两侧各200m内区域</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7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大气环境</w:t>
            </w:r>
          </w:p>
        </w:tc>
        <w:tc>
          <w:tcPr>
            <w:tcW w:w="4211" w:type="pct"/>
            <w:vAlign w:val="center"/>
          </w:tcPr>
          <w:p>
            <w:pPr>
              <w:pStyle w:val="117"/>
              <w:bidi w:val="0"/>
              <w:rPr>
                <w:rFonts w:hint="eastAsia"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三级评价，不设置评价范围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7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声环境</w:t>
            </w:r>
          </w:p>
        </w:tc>
        <w:tc>
          <w:tcPr>
            <w:tcW w:w="421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码头四周场界200m范围内，</w:t>
            </w:r>
            <w:r>
              <w:rPr>
                <w:rFonts w:hint="eastAsia" w:ascii="Times New Roman" w:hAnsi="Times New Roman" w:cs="Times New Roman"/>
                <w:caps w:val="0"/>
                <w:smallCaps w:val="0"/>
              </w:rPr>
              <w:t>引桥</w:t>
            </w:r>
            <w:r>
              <w:rPr>
                <w:rFonts w:ascii="Times New Roman" w:hAnsi="Times New Roman" w:cs="Times New Roman"/>
                <w:caps w:val="0"/>
                <w:smallCaps w:val="0"/>
              </w:rPr>
              <w:t>工程两侧各200m内区域</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3" w:hRule="atLeast"/>
          <w:jc w:val="center"/>
        </w:trPr>
        <w:tc>
          <w:tcPr>
            <w:tcW w:w="7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土壤环境</w:t>
            </w:r>
          </w:p>
        </w:tc>
        <w:tc>
          <w:tcPr>
            <w:tcW w:w="421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码头及</w:t>
            </w:r>
            <w:r>
              <w:rPr>
                <w:rFonts w:hint="eastAsia" w:ascii="Times New Roman" w:hAnsi="Times New Roman" w:cs="Times New Roman"/>
                <w:caps w:val="0"/>
                <w:smallCaps w:val="0"/>
              </w:rPr>
              <w:t>引桥</w:t>
            </w:r>
            <w:r>
              <w:rPr>
                <w:rFonts w:ascii="Times New Roman" w:hAnsi="Times New Roman" w:cs="Times New Roman"/>
                <w:caps w:val="0"/>
                <w:smallCaps w:val="0"/>
              </w:rPr>
              <w:t>两侧各</w:t>
            </w:r>
            <w:r>
              <w:rPr>
                <w:rFonts w:hint="eastAsia" w:ascii="Times New Roman" w:hAnsi="Times New Roman" w:cs="Times New Roman"/>
                <w:caps w:val="0"/>
                <w:smallCaps w:val="0"/>
              </w:rPr>
              <w:t>50</w:t>
            </w:r>
            <w:r>
              <w:rPr>
                <w:rFonts w:ascii="Times New Roman" w:hAnsi="Times New Roman" w:cs="Times New Roman"/>
                <w:caps w:val="0"/>
                <w:smallCaps w:val="0"/>
              </w:rPr>
              <w:t>m内区域</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7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生态环境</w:t>
            </w:r>
          </w:p>
        </w:tc>
        <w:tc>
          <w:tcPr>
            <w:tcW w:w="421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码头上游1km至下游10km共约11km的</w:t>
            </w:r>
            <w:r>
              <w:rPr>
                <w:rFonts w:hint="eastAsia" w:ascii="Times New Roman" w:hAnsi="Times New Roman" w:cs="Times New Roman"/>
                <w:caps w:val="0"/>
                <w:smallCaps w:val="0"/>
              </w:rPr>
              <w:t>湘江</w:t>
            </w:r>
            <w:r>
              <w:rPr>
                <w:rFonts w:ascii="Times New Roman" w:hAnsi="Times New Roman" w:cs="Times New Roman"/>
                <w:caps w:val="0"/>
                <w:smallCaps w:val="0"/>
              </w:rPr>
              <w:t>水域</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7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环境风险</w:t>
            </w:r>
          </w:p>
        </w:tc>
        <w:tc>
          <w:tcPr>
            <w:tcW w:w="4211"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距离本项目边界</w:t>
            </w:r>
            <w:r>
              <w:rPr>
                <w:rFonts w:ascii="Times New Roman" w:hAnsi="Times New Roman" w:cs="Times New Roman"/>
                <w:caps w:val="0"/>
                <w:smallCaps w:val="0"/>
              </w:rPr>
              <w:t>3km</w:t>
            </w:r>
            <w:r>
              <w:rPr>
                <w:rFonts w:hint="eastAsia" w:ascii="Times New Roman" w:hAnsi="Times New Roman" w:cs="Times New Roman"/>
                <w:caps w:val="0"/>
                <w:smallCaps w:val="0"/>
              </w:rPr>
              <w:t>范围内的区域</w:t>
            </w:r>
          </w:p>
        </w:tc>
      </w:tr>
    </w:tbl>
    <w:p>
      <w:pPr>
        <w:pStyle w:val="5"/>
        <w:rPr>
          <w:rFonts w:ascii="Times New Roman" w:hAnsi="Times New Roman" w:cs="Times New Roman" w:eastAsiaTheme="minorEastAsia"/>
          <w:b/>
          <w:caps w:val="0"/>
          <w:smallCaps w:val="0"/>
          <w:color w:val="000000"/>
          <w:szCs w:val="24"/>
        </w:rPr>
      </w:pPr>
      <w:bookmarkStart w:id="19" w:name="_Toc7581"/>
      <w:r>
        <w:rPr>
          <w:rFonts w:ascii="Times New Roman" w:hAnsi="Times New Roman" w:cs="Times New Roman" w:eastAsiaTheme="minorEastAsia"/>
          <w:b/>
          <w:caps w:val="0"/>
          <w:smallCaps w:val="0"/>
        </w:rPr>
        <w:t>环境功能区划与评价标准</w:t>
      </w:r>
      <w:bookmarkEnd w:id="19"/>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环境功能区划</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1、地表水</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本项目地表水体为</w:t>
      </w:r>
      <w:r>
        <w:rPr>
          <w:rFonts w:hint="eastAsia" w:ascii="Times New Roman" w:hAnsi="Times New Roman" w:cs="Times New Roman" w:eastAsiaTheme="minorEastAsia"/>
          <w:caps w:val="0"/>
          <w:smallCaps w:val="0"/>
          <w:color w:val="000000"/>
          <w:sz w:val="24"/>
          <w:szCs w:val="24"/>
        </w:rPr>
        <w:t>湘江</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洋沙湖下游</w:t>
      </w:r>
      <w:r>
        <w:rPr>
          <w:rFonts w:ascii="Times New Roman" w:hAnsi="Times New Roman" w:cs="Times New Roman" w:eastAsiaTheme="minorEastAsia"/>
          <w:caps w:val="0"/>
          <w:smallCaps w:val="0"/>
          <w:color w:val="000000"/>
          <w:sz w:val="24"/>
          <w:szCs w:val="24"/>
        </w:rPr>
        <w:t>200米至磊石（东支</w:t>
      </w:r>
      <w:r>
        <w:rPr>
          <w:rFonts w:hint="eastAsia" w:ascii="Times New Roman" w:hAnsi="Times New Roman" w:cs="Times New Roman" w:eastAsiaTheme="minorEastAsia"/>
          <w:caps w:val="0"/>
          <w:smallCaps w:val="0"/>
          <w:color w:val="000000"/>
          <w:sz w:val="24"/>
          <w:szCs w:val="24"/>
        </w:rPr>
        <w:t>）</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段，</w:t>
      </w:r>
      <w:r>
        <w:rPr>
          <w:rFonts w:ascii="Times New Roman" w:hAnsi="Times New Roman" w:cs="Times New Roman" w:eastAsiaTheme="minorEastAsia"/>
          <w:caps w:val="0"/>
          <w:smallCaps w:val="0"/>
          <w:color w:val="000000"/>
          <w:sz w:val="24"/>
          <w:szCs w:val="24"/>
        </w:rPr>
        <w:t>属渔业用水区</w:t>
      </w:r>
      <w:r>
        <w:rPr>
          <w:rFonts w:hint="eastAsia" w:ascii="Times New Roman" w:hAnsi="Times New Roman" w:cs="Times New Roman" w:eastAsiaTheme="minorEastAsia"/>
          <w:caps w:val="0"/>
          <w:smallCaps w:val="0"/>
          <w:color w:val="000000"/>
          <w:sz w:val="24"/>
          <w:szCs w:val="24"/>
        </w:rPr>
        <w:t>，</w:t>
      </w:r>
      <w:r>
        <w:rPr>
          <w:rFonts w:ascii="Times New Roman" w:hAnsi="Times New Roman" w:cs="Times New Roman" w:eastAsiaTheme="minorEastAsia"/>
          <w:caps w:val="0"/>
          <w:smallCaps w:val="0"/>
          <w:color w:val="000000"/>
          <w:sz w:val="24"/>
          <w:szCs w:val="24"/>
        </w:rPr>
        <w:t>属于《地表水环境质量标准》（GB3838-2002）中</w:t>
      </w:r>
      <w:r>
        <w:rPr>
          <w:rFonts w:hint="eastAsia" w:ascii="Times New Roman" w:hAnsi="Times New Roman" w:cs="Times New Roman"/>
          <w:caps w:val="0"/>
          <w:smallCaps w:val="0"/>
          <w:color w:val="000000"/>
          <w:sz w:val="24"/>
          <w:szCs w:val="24"/>
        </w:rPr>
        <w:t>Ⅲ</w:t>
      </w:r>
      <w:r>
        <w:rPr>
          <w:rFonts w:ascii="Times New Roman" w:hAnsi="Times New Roman" w:cs="Times New Roman" w:eastAsiaTheme="minorEastAsia"/>
          <w:caps w:val="0"/>
          <w:smallCaps w:val="0"/>
          <w:color w:val="000000"/>
          <w:sz w:val="24"/>
          <w:szCs w:val="24"/>
        </w:rPr>
        <w:t>类水体。</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2、地下水</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本项目所在地地下水执行《地下水质量标准》（GB/T14848-2017）</w:t>
      </w:r>
      <w:r>
        <w:rPr>
          <w:rFonts w:hint="eastAsia" w:ascii="Times New Roman" w:hAnsi="Times New Roman" w:cs="Times New Roman"/>
          <w:caps w:val="0"/>
          <w:smallCaps w:val="0"/>
          <w:color w:val="000000"/>
          <w:sz w:val="24"/>
          <w:szCs w:val="24"/>
        </w:rPr>
        <w:t>Ⅲ</w:t>
      </w:r>
      <w:r>
        <w:rPr>
          <w:rFonts w:ascii="Times New Roman" w:hAnsi="Times New Roman" w:cs="Times New Roman" w:eastAsiaTheme="minorEastAsia"/>
          <w:caps w:val="0"/>
          <w:smallCaps w:val="0"/>
          <w:color w:val="000000"/>
          <w:sz w:val="24"/>
          <w:szCs w:val="24"/>
        </w:rPr>
        <w:t>类标准。</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3、环境空气</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本项目所在区域属于《环境空气质量标准》（GB3095-2012）二类功能区，执行环境空气质量标准》（GB3095-2012）二级标准。</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4、声环境</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本项目航道两侧35m红线范围内声环境质量执行《声环境质量标准》（GB3096-2008）4a类标准，码头其他区域及</w:t>
      </w:r>
      <w:r>
        <w:rPr>
          <w:rFonts w:hint="eastAsia" w:ascii="Times New Roman" w:hAnsi="Times New Roman" w:cs="Times New Roman" w:eastAsiaTheme="minorEastAsia"/>
          <w:caps w:val="0"/>
          <w:smallCaps w:val="0"/>
          <w:color w:val="000000"/>
          <w:sz w:val="24"/>
          <w:szCs w:val="24"/>
        </w:rPr>
        <w:t>引桥</w:t>
      </w:r>
      <w:r>
        <w:rPr>
          <w:rFonts w:ascii="Times New Roman" w:hAnsi="Times New Roman" w:cs="Times New Roman" w:eastAsiaTheme="minorEastAsia"/>
          <w:caps w:val="0"/>
          <w:smallCaps w:val="0"/>
          <w:color w:val="000000"/>
          <w:sz w:val="24"/>
          <w:szCs w:val="24"/>
        </w:rPr>
        <w:t>区域声环境质量执行《声环境质量标准》（GB3096-2008）2类标准。</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环境质量标准</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1、地表水</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根据环境功能区划，</w:t>
      </w:r>
      <w:r>
        <w:rPr>
          <w:rFonts w:hint="eastAsia" w:ascii="Times New Roman" w:hAnsi="Times New Roman" w:cs="Times New Roman" w:eastAsiaTheme="minorEastAsia"/>
          <w:caps w:val="0"/>
          <w:smallCaps w:val="0"/>
          <w:color w:val="000000"/>
          <w:sz w:val="24"/>
          <w:szCs w:val="24"/>
        </w:rPr>
        <w:t>湘江</w:t>
      </w:r>
      <w:r>
        <w:rPr>
          <w:rFonts w:ascii="Times New Roman" w:hAnsi="Times New Roman" w:cs="Times New Roman" w:eastAsiaTheme="minorEastAsia"/>
          <w:caps w:val="0"/>
          <w:smallCaps w:val="0"/>
          <w:color w:val="000000"/>
          <w:sz w:val="24"/>
          <w:szCs w:val="24"/>
        </w:rPr>
        <w:t>水质执行《地表水环境质量标准》（GB3838-2002）III类标准</w:t>
      </w:r>
      <w:r>
        <w:rPr>
          <w:rFonts w:hint="eastAsia" w:cs="Times New Roman" w:eastAsiaTheme="minorEastAsia"/>
          <w:caps w:val="0"/>
          <w:smallCaps w:val="0"/>
          <w:color w:val="000000"/>
          <w:sz w:val="24"/>
          <w:szCs w:val="24"/>
          <w:lang w:eastAsia="zh-CN"/>
        </w:rPr>
        <w:t>、</w:t>
      </w:r>
      <w:r>
        <w:rPr>
          <w:rFonts w:hint="eastAsia" w:cs="Times New Roman" w:eastAsiaTheme="minorEastAsia"/>
          <w:caps w:val="0"/>
          <w:smallCaps w:val="0"/>
          <w:color w:val="000000"/>
          <w:sz w:val="24"/>
          <w:szCs w:val="24"/>
          <w:u w:val="single"/>
          <w:lang w:val="en-US" w:eastAsia="zh-CN"/>
        </w:rPr>
        <w:t>SS悬浮物参照《渔业水质标准》（GB11607-89）、《地表水资源质量标准》中的相应标准值</w:t>
      </w:r>
      <w:r>
        <w:rPr>
          <w:rFonts w:hint="eastAsia" w:ascii="Times New Roman" w:hAnsi="Times New Roman" w:cs="Times New Roman" w:eastAsiaTheme="minorEastAsia"/>
          <w:caps w:val="0"/>
          <w:smallCaps w:val="0"/>
          <w:sz w:val="24"/>
          <w:szCs w:val="24"/>
          <w:u w:val="single"/>
        </w:rPr>
        <w:t>。</w:t>
      </w:r>
    </w:p>
    <w:p>
      <w:pPr>
        <w:tabs>
          <w:tab w:val="left" w:pos="900"/>
        </w:tabs>
        <w:wordWrap/>
        <w:snapToGrid w:val="0"/>
        <w:spacing w:line="276" w:lineRule="auto"/>
        <w:jc w:val="center"/>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-1地表水环境质量评价标准一览表</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caps w:val="0"/>
          <w:smallCaps w:val="0"/>
          <w:color w:val="000000"/>
          <w:sz w:val="24"/>
          <w:szCs w:val="24"/>
        </w:rPr>
        <w:t>单位：mg/L</w:t>
      </w:r>
    </w:p>
    <w:tbl>
      <w:tblPr>
        <w:tblStyle w:val="71"/>
        <w:tblW w:w="5097"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2607"/>
        <w:gridCol w:w="4391"/>
        <w:gridCol w:w="227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2366"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Ⅲ</w:t>
            </w:r>
            <w:r>
              <w:rPr>
                <w:rFonts w:ascii="Times New Roman" w:hAnsi="Times New Roman" w:cs="Times New Roman"/>
                <w:caps w:val="0"/>
                <w:smallCaps w:val="0"/>
              </w:rPr>
              <w:t>类标准</w:t>
            </w:r>
          </w:p>
        </w:tc>
        <w:tc>
          <w:tcPr>
            <w:tcW w:w="122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执行标准</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pH</w:t>
            </w:r>
            <w:r>
              <w:rPr>
                <w:rFonts w:hint="eastAsia" w:ascii="Times New Roman" w:hAnsi="Times New Roman" w:cs="Times New Roman"/>
                <w:caps w:val="0"/>
                <w:smallCaps w:val="0"/>
              </w:rPr>
              <w:t>值</w:t>
            </w:r>
            <w:r>
              <w:rPr>
                <w:rFonts w:ascii="Times New Roman" w:hAnsi="Times New Roman" w:cs="Times New Roman"/>
                <w:caps w:val="0"/>
                <w:smallCaps w:val="0"/>
              </w:rPr>
              <w:t>（无量纲）</w:t>
            </w:r>
          </w:p>
        </w:tc>
        <w:tc>
          <w:tcPr>
            <w:tcW w:w="236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6~9</w:t>
            </w:r>
          </w:p>
        </w:tc>
        <w:tc>
          <w:tcPr>
            <w:tcW w:w="1228"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《地表水环境质量标准》（GB3838-2002）</w:t>
            </w:r>
            <w:r>
              <w:rPr>
                <w:rFonts w:hint="eastAsia" w:ascii="Times New Roman" w:hAnsi="Times New Roman" w:cs="Times New Roman"/>
                <w:caps w:val="0"/>
                <w:smallCaps w:val="0"/>
                <w:lang w:eastAsia="ja-JP"/>
              </w:rPr>
              <w:t>Ⅲ</w:t>
            </w:r>
            <w:r>
              <w:rPr>
                <w:rFonts w:ascii="Times New Roman" w:hAnsi="Times New Roman" w:cs="Times New Roman"/>
                <w:caps w:val="0"/>
                <w:smallCaps w:val="0"/>
              </w:rPr>
              <w:t>类标准</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溶解氧（DO）</w:t>
            </w:r>
          </w:p>
        </w:tc>
        <w:tc>
          <w:tcPr>
            <w:tcW w:w="236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w:t>
            </w:r>
          </w:p>
        </w:tc>
        <w:tc>
          <w:tcPr>
            <w:tcW w:w="1228" w:type="pct"/>
            <w:vMerge w:val="continue"/>
            <w:vAlign w:val="center"/>
          </w:tcPr>
          <w:p>
            <w:pPr>
              <w:pStyle w:val="117"/>
              <w:bidi w:val="0"/>
              <w:rPr>
                <w:rFonts w:ascii="Times New Roman" w:hAnsi="Times New Roman" w:cs="Times New Roman"/>
                <w:caps w:val="0"/>
                <w:smallCaps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化学需氧量（COD）</w:t>
            </w:r>
          </w:p>
        </w:tc>
        <w:tc>
          <w:tcPr>
            <w:tcW w:w="236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w:t>
            </w:r>
          </w:p>
        </w:tc>
        <w:tc>
          <w:tcPr>
            <w:tcW w:w="1228" w:type="pct"/>
            <w:vMerge w:val="continue"/>
            <w:vAlign w:val="center"/>
          </w:tcPr>
          <w:p>
            <w:pPr>
              <w:pStyle w:val="117"/>
              <w:bidi w:val="0"/>
              <w:rPr>
                <w:rFonts w:ascii="Times New Roman" w:hAnsi="Times New Roman" w:cs="Times New Roman"/>
                <w:caps w:val="0"/>
                <w:smallCaps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五日生化需氧量（BOD</w:t>
            </w:r>
            <w:r>
              <w:rPr>
                <w:rFonts w:ascii="Times New Roman" w:hAnsi="Times New Roman" w:cs="Times New Roman"/>
                <w:caps w:val="0"/>
                <w:smallCaps w:val="0"/>
                <w:vertAlign w:val="subscript"/>
              </w:rPr>
              <w:t>5</w:t>
            </w:r>
            <w:r>
              <w:rPr>
                <w:rFonts w:ascii="Times New Roman" w:hAnsi="Times New Roman" w:cs="Times New Roman"/>
                <w:caps w:val="0"/>
                <w:smallCaps w:val="0"/>
              </w:rPr>
              <w:t>）</w:t>
            </w:r>
          </w:p>
        </w:tc>
        <w:tc>
          <w:tcPr>
            <w:tcW w:w="236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w:t>
            </w:r>
          </w:p>
        </w:tc>
        <w:tc>
          <w:tcPr>
            <w:tcW w:w="1228" w:type="pct"/>
            <w:vMerge w:val="continue"/>
            <w:vAlign w:val="center"/>
          </w:tcPr>
          <w:p>
            <w:pPr>
              <w:pStyle w:val="117"/>
              <w:bidi w:val="0"/>
              <w:rPr>
                <w:rFonts w:ascii="Times New Roman" w:hAnsi="Times New Roman" w:cs="Times New Roman"/>
                <w:caps w:val="0"/>
                <w:smallCaps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氨氮（NH3-N）</w:t>
            </w:r>
          </w:p>
        </w:tc>
        <w:tc>
          <w:tcPr>
            <w:tcW w:w="236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c>
          <w:tcPr>
            <w:tcW w:w="1228" w:type="pct"/>
            <w:vMerge w:val="continue"/>
            <w:vAlign w:val="center"/>
          </w:tcPr>
          <w:p>
            <w:pPr>
              <w:pStyle w:val="117"/>
              <w:bidi w:val="0"/>
              <w:rPr>
                <w:rFonts w:ascii="Times New Roman" w:hAnsi="Times New Roman" w:cs="Times New Roman"/>
                <w:caps w:val="0"/>
                <w:smallCaps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总磷（以P计）</w:t>
            </w:r>
          </w:p>
        </w:tc>
        <w:tc>
          <w:tcPr>
            <w:tcW w:w="236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w:t>
            </w:r>
          </w:p>
        </w:tc>
        <w:tc>
          <w:tcPr>
            <w:tcW w:w="1228" w:type="pct"/>
            <w:vMerge w:val="continue"/>
            <w:vAlign w:val="center"/>
          </w:tcPr>
          <w:p>
            <w:pPr>
              <w:pStyle w:val="117"/>
              <w:bidi w:val="0"/>
              <w:rPr>
                <w:rFonts w:ascii="Times New Roman" w:hAnsi="Times New Roman" w:cs="Times New Roman"/>
                <w:caps w:val="0"/>
                <w:smallCaps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石油类</w:t>
            </w:r>
          </w:p>
        </w:tc>
        <w:tc>
          <w:tcPr>
            <w:tcW w:w="236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w:t>
            </w:r>
          </w:p>
        </w:tc>
        <w:tc>
          <w:tcPr>
            <w:tcW w:w="1228" w:type="pct"/>
            <w:vMerge w:val="continue"/>
            <w:vAlign w:val="center"/>
          </w:tcPr>
          <w:p>
            <w:pPr>
              <w:pStyle w:val="117"/>
              <w:bidi w:val="0"/>
              <w:rPr>
                <w:rFonts w:ascii="Times New Roman" w:hAnsi="Times New Roman" w:cs="Times New Roman"/>
                <w:caps w:val="0"/>
                <w:smallCaps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Merge w:val="restar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悬浮物（SS）</w:t>
            </w:r>
          </w:p>
        </w:tc>
        <w:tc>
          <w:tcPr>
            <w:tcW w:w="2366"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≤30</w:t>
            </w:r>
          </w:p>
        </w:tc>
        <w:tc>
          <w:tcPr>
            <w:tcW w:w="1228"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eastAsiaTheme="minorEastAsia"/>
                <w:caps w:val="0"/>
                <w:smallCaps w:val="0"/>
                <w:sz w:val="21"/>
                <w:szCs w:val="21"/>
                <w:u w:val="single"/>
              </w:rPr>
              <w:t>《地表水资源质量标准》</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405" w:type="pct"/>
            <w:vMerge w:val="continue"/>
            <w:vAlign w:val="center"/>
          </w:tcPr>
          <w:p>
            <w:pPr>
              <w:pStyle w:val="117"/>
              <w:bidi w:val="0"/>
              <w:rPr>
                <w:rFonts w:ascii="Times New Roman" w:hAnsi="Times New Roman" w:cs="Times New Roman"/>
                <w:caps w:val="0"/>
                <w:smallCaps w:val="0"/>
                <w:u w:val="single"/>
              </w:rPr>
            </w:pPr>
          </w:p>
        </w:tc>
        <w:tc>
          <w:tcPr>
            <w:tcW w:w="2366" w:type="pct"/>
            <w:vAlign w:val="center"/>
          </w:tcPr>
          <w:p>
            <w:pPr>
              <w:pStyle w:val="117"/>
              <w:bidi w:val="0"/>
              <w:rPr>
                <w:rFonts w:hint="default"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lang w:eastAsia="zh-CN"/>
              </w:rPr>
              <w:t>人为增加的量不得超过</w:t>
            </w:r>
            <w:r>
              <w:rPr>
                <w:rFonts w:hint="eastAsia" w:ascii="Times New Roman" w:hAnsi="Times New Roman" w:cs="Times New Roman"/>
                <w:caps w:val="0"/>
                <w:smallCaps w:val="0"/>
                <w:u w:val="single"/>
                <w:lang w:val="en-US" w:eastAsia="zh-CN"/>
              </w:rPr>
              <w:t>10，而且悬浮物质沉积于底部后，不得对鱼、虾、贝类产生有害的影响</w:t>
            </w:r>
          </w:p>
        </w:tc>
        <w:tc>
          <w:tcPr>
            <w:tcW w:w="1228" w:type="pct"/>
            <w:vAlign w:val="center"/>
          </w:tcPr>
          <w:p>
            <w:pPr>
              <w:pStyle w:val="117"/>
              <w:bidi w:val="0"/>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lang w:val="en-US" w:eastAsia="zh-CN"/>
              </w:rPr>
              <w:t>《渔业水质标准》（GB11607-89）</w:t>
            </w:r>
          </w:p>
        </w:tc>
      </w:tr>
    </w:tbl>
    <w:p>
      <w:pPr>
        <w:pStyle w:val="337"/>
        <w:snapToGrid w:val="0"/>
        <w:spacing w:line="360" w:lineRule="auto"/>
        <w:ind w:firstLine="482"/>
        <w:rPr>
          <w:rFonts w:ascii="Times New Roman" w:hAnsi="Times New Roman" w:cs="Times New Roman" w:eastAsiaTheme="minorEastAsia"/>
          <w:b/>
          <w:caps w:val="0"/>
          <w:smallCaps w:val="0"/>
          <w:color w:val="000000"/>
        </w:rPr>
      </w:pPr>
    </w:p>
    <w:p>
      <w:pPr>
        <w:pStyle w:val="337"/>
        <w:snapToGrid w:val="0"/>
        <w:spacing w:line="360" w:lineRule="auto"/>
        <w:ind w:firstLine="482"/>
        <w:rPr>
          <w:rFonts w:ascii="Times New Roman" w:hAnsi="Times New Roman" w:cs="Times New Roman" w:eastAsiaTheme="minorEastAsia"/>
          <w:b/>
          <w:caps w:val="0"/>
          <w:smallCaps w:val="0"/>
          <w:color w:val="000000"/>
        </w:rPr>
      </w:pPr>
      <w:r>
        <w:rPr>
          <w:rFonts w:ascii="Times New Roman" w:hAnsi="Times New Roman" w:cs="Times New Roman" w:eastAsiaTheme="minorEastAsia"/>
          <w:b/>
          <w:caps w:val="0"/>
          <w:smallCaps w:val="0"/>
          <w:color w:val="000000"/>
        </w:rPr>
        <w:t>2、地下水</w:t>
      </w:r>
    </w:p>
    <w:p>
      <w:pPr>
        <w:pStyle w:val="337"/>
        <w:snapToGrid w:val="0"/>
        <w:spacing w:line="360" w:lineRule="auto"/>
        <w:ind w:firstLine="482"/>
        <w:rPr>
          <w:rFonts w:ascii="Times New Roman" w:hAnsi="Times New Roman" w:cs="Times New Roman" w:eastAsiaTheme="minorEastAsia"/>
          <w:caps w:val="0"/>
          <w:smallCaps w:val="0"/>
          <w:color w:val="000000"/>
        </w:rPr>
      </w:pPr>
      <w:r>
        <w:rPr>
          <w:rFonts w:ascii="Times New Roman" w:hAnsi="Times New Roman" w:cs="Times New Roman" w:eastAsiaTheme="minorEastAsia"/>
          <w:caps w:val="0"/>
          <w:smallCaps w:val="0"/>
          <w:color w:val="000000"/>
        </w:rPr>
        <w:t>本项目所在地地下水执行《地下水质量标准》（GB/T14848-2017）</w:t>
      </w:r>
      <w:r>
        <w:rPr>
          <w:rFonts w:hint="eastAsia" w:ascii="Times New Roman" w:hAnsi="Times New Roman" w:cs="Times New Roman"/>
          <w:caps w:val="0"/>
          <w:smallCaps w:val="0"/>
          <w:color w:val="000000"/>
        </w:rPr>
        <w:t>Ⅲ</w:t>
      </w:r>
      <w:r>
        <w:rPr>
          <w:rFonts w:ascii="Times New Roman" w:hAnsi="Times New Roman" w:cs="Times New Roman" w:eastAsiaTheme="minorEastAsia"/>
          <w:caps w:val="0"/>
          <w:smallCaps w:val="0"/>
          <w:color w:val="000000"/>
        </w:rPr>
        <w:t>类标准。具体见表2.</w:t>
      </w:r>
      <w:r>
        <w:rPr>
          <w:rFonts w:hint="eastAsia" w:ascii="Times New Roman" w:cs="Times New Roman" w:eastAsiaTheme="minorEastAsia"/>
          <w:caps w:val="0"/>
          <w:smallCaps w:val="0"/>
          <w:color w:val="000000"/>
          <w:lang w:val="en-US" w:eastAsia="zh-CN"/>
        </w:rPr>
        <w:t>5</w:t>
      </w:r>
      <w:r>
        <w:rPr>
          <w:rFonts w:ascii="Times New Roman" w:hAnsi="Times New Roman" w:cs="Times New Roman" w:eastAsiaTheme="minorEastAsia"/>
          <w:caps w:val="0"/>
          <w:smallCaps w:val="0"/>
          <w:color w:val="000000"/>
        </w:rPr>
        <w:t>-2。</w:t>
      </w:r>
    </w:p>
    <w:p>
      <w:pPr>
        <w:tabs>
          <w:tab w:val="left" w:pos="900"/>
        </w:tabs>
        <w:wordWrap/>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-2地下水质量标准一览表</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caps w:val="0"/>
          <w:smallCaps w:val="0"/>
          <w:color w:val="000000"/>
          <w:sz w:val="24"/>
          <w:szCs w:val="24"/>
        </w:rPr>
        <w:t>单位：mg/L（pH无量纲）</w:t>
      </w:r>
    </w:p>
    <w:tbl>
      <w:tblPr>
        <w:tblStyle w:val="71"/>
        <w:tblW w:w="504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684"/>
        <w:gridCol w:w="1622"/>
        <w:gridCol w:w="1349"/>
        <w:gridCol w:w="1227"/>
        <w:gridCol w:w="1442"/>
        <w:gridCol w:w="865"/>
        <w:gridCol w:w="1156"/>
        <w:gridCol w:w="84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72"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88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pH</w:t>
            </w:r>
          </w:p>
        </w:tc>
        <w:tc>
          <w:tcPr>
            <w:tcW w:w="73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氨氮</w:t>
            </w:r>
          </w:p>
        </w:tc>
        <w:tc>
          <w:tcPr>
            <w:tcW w:w="66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总磷</w:t>
            </w:r>
          </w:p>
        </w:tc>
        <w:tc>
          <w:tcPr>
            <w:tcW w:w="785"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总氮</w:t>
            </w:r>
          </w:p>
        </w:tc>
        <w:tc>
          <w:tcPr>
            <w:tcW w:w="471"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石油类</w:t>
            </w:r>
          </w:p>
        </w:tc>
        <w:tc>
          <w:tcPr>
            <w:tcW w:w="629"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悬浮物</w:t>
            </w:r>
          </w:p>
        </w:tc>
        <w:tc>
          <w:tcPr>
            <w:tcW w:w="45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耗氧量</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72"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Ⅲ</w:t>
            </w:r>
            <w:r>
              <w:rPr>
                <w:rFonts w:ascii="Times New Roman" w:hAnsi="Times New Roman" w:cs="Times New Roman"/>
                <w:caps w:val="0"/>
                <w:smallCaps w:val="0"/>
              </w:rPr>
              <w:t>类</w:t>
            </w:r>
          </w:p>
        </w:tc>
        <w:tc>
          <w:tcPr>
            <w:tcW w:w="88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6.5</w:t>
            </w:r>
            <w:r>
              <w:rPr>
                <w:rFonts w:hint="eastAsia" w:ascii="Times New Roman" w:hAnsi="Times New Roman" w:cs="Times New Roman"/>
                <w:caps w:val="0"/>
                <w:smallCaps w:val="0"/>
                <w:lang w:val="en-US" w:eastAsia="zh-CN"/>
              </w:rPr>
              <w:t>-</w:t>
            </w:r>
            <w:r>
              <w:rPr>
                <w:rFonts w:ascii="Times New Roman" w:hAnsi="Times New Roman" w:cs="Times New Roman"/>
                <w:caps w:val="0"/>
                <w:smallCaps w:val="0"/>
              </w:rPr>
              <w:t>8.5</w:t>
            </w:r>
          </w:p>
        </w:tc>
        <w:tc>
          <w:tcPr>
            <w:tcW w:w="73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0.5</w:t>
            </w:r>
          </w:p>
        </w:tc>
        <w:tc>
          <w:tcPr>
            <w:tcW w:w="668" w:type="pct"/>
            <w:vAlign w:val="center"/>
          </w:tcPr>
          <w:p>
            <w:pPr>
              <w:pStyle w:val="117"/>
              <w:bidi w:val="0"/>
              <w:rPr>
                <w:rFonts w:hint="eastAsia"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w:t>
            </w:r>
          </w:p>
        </w:tc>
        <w:tc>
          <w:tcPr>
            <w:tcW w:w="785" w:type="pct"/>
            <w:vAlign w:val="center"/>
          </w:tcPr>
          <w:p>
            <w:pPr>
              <w:pStyle w:val="117"/>
              <w:bidi w:val="0"/>
              <w:rPr>
                <w:rFonts w:hint="eastAsia"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w:t>
            </w:r>
          </w:p>
        </w:tc>
        <w:tc>
          <w:tcPr>
            <w:tcW w:w="471" w:type="pct"/>
            <w:vAlign w:val="center"/>
          </w:tcPr>
          <w:p>
            <w:pPr>
              <w:pStyle w:val="117"/>
              <w:bidi w:val="0"/>
              <w:rPr>
                <w:rFonts w:hint="eastAsia"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w:t>
            </w:r>
          </w:p>
        </w:tc>
        <w:tc>
          <w:tcPr>
            <w:tcW w:w="629" w:type="pct"/>
            <w:vAlign w:val="center"/>
          </w:tcPr>
          <w:p>
            <w:pPr>
              <w:pStyle w:val="117"/>
              <w:bidi w:val="0"/>
              <w:rPr>
                <w:rFonts w:hint="eastAsia"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w:t>
            </w:r>
          </w:p>
        </w:tc>
        <w:tc>
          <w:tcPr>
            <w:tcW w:w="45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w:t>
            </w:r>
          </w:p>
        </w:tc>
      </w:tr>
    </w:tbl>
    <w:p>
      <w:pPr>
        <w:pStyle w:val="337"/>
        <w:snapToGrid w:val="0"/>
        <w:spacing w:line="360" w:lineRule="auto"/>
        <w:ind w:firstLine="482"/>
        <w:rPr>
          <w:rFonts w:ascii="Times New Roman" w:hAnsi="Times New Roman" w:cs="Times New Roman" w:eastAsiaTheme="minorEastAsia"/>
          <w:b/>
          <w:caps w:val="0"/>
          <w:smallCaps w:val="0"/>
          <w:color w:val="000000"/>
        </w:rPr>
      </w:pPr>
      <w:r>
        <w:rPr>
          <w:rFonts w:ascii="Times New Roman" w:hAnsi="Times New Roman" w:cs="Times New Roman" w:eastAsiaTheme="minorEastAsia"/>
          <w:b/>
          <w:caps w:val="0"/>
          <w:smallCaps w:val="0"/>
          <w:color w:val="000000"/>
        </w:rPr>
        <w:t>3、环境空气</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本项目所在区域常规大气污染因子SO</w:t>
      </w:r>
      <w:r>
        <w:rPr>
          <w:rFonts w:ascii="Times New Roman" w:hAnsi="Times New Roman" w:cs="Times New Roman" w:eastAsiaTheme="minorEastAsia"/>
          <w:caps w:val="0"/>
          <w:smallCaps w:val="0"/>
          <w:color w:val="000000"/>
          <w:sz w:val="24"/>
          <w:szCs w:val="24"/>
          <w:vertAlign w:val="subscript"/>
        </w:rPr>
        <w:t>2</w:t>
      </w:r>
      <w:r>
        <w:rPr>
          <w:rFonts w:ascii="Times New Roman" w:hAnsi="Times New Roman" w:cs="Times New Roman" w:eastAsiaTheme="minorEastAsia"/>
          <w:caps w:val="0"/>
          <w:smallCaps w:val="0"/>
          <w:color w:val="000000"/>
          <w:sz w:val="24"/>
          <w:szCs w:val="24"/>
        </w:rPr>
        <w:t>、NO</w:t>
      </w:r>
      <w:r>
        <w:rPr>
          <w:rFonts w:ascii="Times New Roman" w:hAnsi="Times New Roman" w:cs="Times New Roman" w:eastAsiaTheme="minorEastAsia"/>
          <w:caps w:val="0"/>
          <w:smallCaps w:val="0"/>
          <w:color w:val="000000"/>
          <w:sz w:val="24"/>
          <w:szCs w:val="24"/>
          <w:vertAlign w:val="subscript"/>
        </w:rPr>
        <w:t>2</w:t>
      </w:r>
      <w:r>
        <w:rPr>
          <w:rFonts w:ascii="Times New Roman" w:hAnsi="Times New Roman" w:cs="Times New Roman" w:eastAsiaTheme="minorEastAsia"/>
          <w:caps w:val="0"/>
          <w:smallCaps w:val="0"/>
          <w:color w:val="000000"/>
          <w:sz w:val="24"/>
          <w:szCs w:val="24"/>
        </w:rPr>
        <w:t>、PM</w:t>
      </w:r>
      <w:r>
        <w:rPr>
          <w:rFonts w:ascii="Times New Roman" w:hAnsi="Times New Roman" w:cs="Times New Roman" w:eastAsiaTheme="minorEastAsia"/>
          <w:caps w:val="0"/>
          <w:smallCaps w:val="0"/>
          <w:color w:val="000000"/>
          <w:sz w:val="24"/>
          <w:szCs w:val="24"/>
          <w:vertAlign w:val="subscript"/>
        </w:rPr>
        <w:t>10</w:t>
      </w:r>
      <w:r>
        <w:rPr>
          <w:rFonts w:ascii="Times New Roman" w:hAnsi="Times New Roman" w:cs="Times New Roman" w:eastAsiaTheme="minorEastAsia"/>
          <w:caps w:val="0"/>
          <w:smallCaps w:val="0"/>
          <w:color w:val="000000"/>
          <w:sz w:val="24"/>
          <w:szCs w:val="24"/>
        </w:rPr>
        <w:t>、PM</w:t>
      </w:r>
      <w:r>
        <w:rPr>
          <w:rFonts w:ascii="Times New Roman" w:hAnsi="Times New Roman" w:cs="Times New Roman" w:eastAsiaTheme="minorEastAsia"/>
          <w:caps w:val="0"/>
          <w:smallCaps w:val="0"/>
          <w:color w:val="000000"/>
          <w:sz w:val="24"/>
          <w:szCs w:val="24"/>
          <w:vertAlign w:val="subscript"/>
        </w:rPr>
        <w:t>2.5</w:t>
      </w:r>
      <w:r>
        <w:rPr>
          <w:rFonts w:ascii="Times New Roman" w:hAnsi="Times New Roman" w:cs="Times New Roman" w:eastAsiaTheme="minorEastAsia"/>
          <w:caps w:val="0"/>
          <w:smallCaps w:val="0"/>
          <w:color w:val="000000"/>
          <w:sz w:val="24"/>
          <w:szCs w:val="24"/>
        </w:rPr>
        <w:t>、CO</w:t>
      </w:r>
      <w:r>
        <w:rPr>
          <w:rFonts w:hint="eastAsia" w:ascii="Times New Roman" w:hAnsi="Times New Roman" w:cs="Times New Roman" w:eastAsiaTheme="minorEastAsia"/>
          <w:caps w:val="0"/>
          <w:smallCaps w:val="0"/>
          <w:color w:val="000000"/>
          <w:sz w:val="24"/>
          <w:szCs w:val="24"/>
          <w:lang w:eastAsia="zh-CN"/>
        </w:rPr>
        <w:t>、</w:t>
      </w:r>
      <w:r>
        <w:rPr>
          <w:rFonts w:ascii="Times New Roman" w:hAnsi="Times New Roman" w:cs="Times New Roman" w:eastAsiaTheme="minorEastAsia"/>
          <w:caps w:val="0"/>
          <w:smallCaps w:val="0"/>
          <w:color w:val="000000"/>
          <w:sz w:val="24"/>
          <w:szCs w:val="24"/>
        </w:rPr>
        <w:t>O</w:t>
      </w:r>
      <w:r>
        <w:rPr>
          <w:rFonts w:ascii="Times New Roman" w:hAnsi="Times New Roman" w:cs="Times New Roman" w:eastAsiaTheme="minorEastAsia"/>
          <w:caps w:val="0"/>
          <w:smallCaps w:val="0"/>
          <w:color w:val="000000"/>
          <w:sz w:val="24"/>
          <w:szCs w:val="24"/>
          <w:vertAlign w:val="subscript"/>
        </w:rPr>
        <w:t>3</w:t>
      </w:r>
      <w:r>
        <w:rPr>
          <w:rFonts w:hint="eastAsia" w:ascii="Times New Roman" w:hAnsi="Times New Roman" w:cs="Times New Roman" w:eastAsiaTheme="minorEastAsia"/>
          <w:caps w:val="0"/>
          <w:smallCaps w:val="0"/>
          <w:color w:val="000000"/>
          <w:sz w:val="24"/>
          <w:szCs w:val="24"/>
          <w:vertAlign w:val="baseline"/>
          <w:lang w:eastAsia="zh-CN"/>
        </w:rPr>
        <w:t>和特征因子苯并芘</w:t>
      </w:r>
      <w:r>
        <w:rPr>
          <w:rFonts w:ascii="Times New Roman" w:hAnsi="Times New Roman" w:cs="Times New Roman" w:eastAsiaTheme="minorEastAsia"/>
          <w:caps w:val="0"/>
          <w:smallCaps w:val="0"/>
          <w:color w:val="000000"/>
          <w:sz w:val="24"/>
          <w:szCs w:val="24"/>
        </w:rPr>
        <w:t>执行《环境空气质量标准》（GB3095-2012）中二级标准；特征因子</w:t>
      </w:r>
      <w:r>
        <w:rPr>
          <w:rFonts w:hint="eastAsia" w:ascii="Times New Roman" w:hAnsi="Times New Roman" w:cs="Times New Roman" w:eastAsiaTheme="minorEastAsia"/>
          <w:caps w:val="0"/>
          <w:smallCaps w:val="0"/>
          <w:color w:val="000000"/>
          <w:sz w:val="24"/>
          <w:szCs w:val="24"/>
        </w:rPr>
        <w:t>TVOC</w:t>
      </w:r>
      <w:r>
        <w:rPr>
          <w:rFonts w:ascii="Times New Roman" w:hAnsi="Times New Roman" w:cs="Times New Roman" w:eastAsiaTheme="minorEastAsia"/>
          <w:caps w:val="0"/>
          <w:smallCaps w:val="0"/>
          <w:color w:val="000000"/>
          <w:sz w:val="24"/>
          <w:szCs w:val="24"/>
        </w:rPr>
        <w:t>执行</w:t>
      </w:r>
      <w:r>
        <w:rPr>
          <w:rFonts w:hint="eastAsia" w:ascii="Times New Roman" w:hAnsi="Times New Roman" w:cs="Times New Roman" w:eastAsiaTheme="minorEastAsia"/>
          <w:caps w:val="0"/>
          <w:smallCaps w:val="0"/>
          <w:color w:val="000000"/>
          <w:sz w:val="24"/>
          <w:szCs w:val="24"/>
        </w:rPr>
        <w:t>《环境影响评价技术导则大气环境》（HJ2.2-2018）附录D中其他污染物空气质量浓度参考限值</w:t>
      </w:r>
      <w:r>
        <w:rPr>
          <w:rFonts w:ascii="Times New Roman" w:hAnsi="Times New Roman" w:cs="Times New Roman" w:eastAsiaTheme="minorEastAsia"/>
          <w:caps w:val="0"/>
          <w:smallCaps w:val="0"/>
          <w:color w:val="000000"/>
          <w:sz w:val="24"/>
          <w:szCs w:val="24"/>
        </w:rPr>
        <w:t>。详下见表2.</w:t>
      </w:r>
      <w:r>
        <w:rPr>
          <w:rFonts w:hint="eastAsia" w:cs="Times New Roman" w:eastAsiaTheme="minorEastAsia"/>
          <w:caps w:val="0"/>
          <w:smallCaps w:val="0"/>
          <w:color w:val="000000"/>
          <w:sz w:val="24"/>
          <w:szCs w:val="24"/>
          <w:lang w:val="en-US" w:eastAsia="zh-CN"/>
        </w:rPr>
        <w:t>5</w:t>
      </w:r>
      <w:r>
        <w:rPr>
          <w:rFonts w:ascii="Times New Roman" w:hAnsi="Times New Roman" w:cs="Times New Roman" w:eastAsiaTheme="minorEastAsia"/>
          <w:caps w:val="0"/>
          <w:smallCaps w:val="0"/>
          <w:color w:val="000000"/>
          <w:sz w:val="24"/>
          <w:szCs w:val="24"/>
        </w:rPr>
        <w:t>-3。</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-3</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b/>
          <w:caps w:val="0"/>
          <w:smallCaps w:val="0"/>
          <w:color w:val="000000"/>
          <w:sz w:val="24"/>
          <w:szCs w:val="24"/>
        </w:rPr>
        <w:t>评价采用环境质量标准一览表</w:t>
      </w:r>
    </w:p>
    <w:tbl>
      <w:tblPr>
        <w:tblStyle w:val="7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126"/>
        <w:gridCol w:w="2828"/>
        <w:gridCol w:w="991"/>
        <w:gridCol w:w="1273"/>
        <w:gridCol w:w="282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1126"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要素分类</w:t>
            </w:r>
          </w:p>
        </w:tc>
        <w:tc>
          <w:tcPr>
            <w:tcW w:w="282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标准名称</w:t>
            </w:r>
          </w:p>
        </w:tc>
        <w:tc>
          <w:tcPr>
            <w:tcW w:w="991"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适用类别</w:t>
            </w:r>
          </w:p>
        </w:tc>
        <w:tc>
          <w:tcPr>
            <w:tcW w:w="4095" w:type="dxa"/>
            <w:gridSpan w:val="2"/>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标准限值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126" w:type="dxa"/>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环境空气</w:t>
            </w:r>
          </w:p>
        </w:tc>
        <w:tc>
          <w:tcPr>
            <w:tcW w:w="2828" w:type="dxa"/>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《环境空气质量标准》（GB3095-2012）</w:t>
            </w:r>
          </w:p>
        </w:tc>
        <w:tc>
          <w:tcPr>
            <w:tcW w:w="991" w:type="dxa"/>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二级</w:t>
            </w:r>
          </w:p>
        </w:tc>
        <w:tc>
          <w:tcPr>
            <w:tcW w:w="1273"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浓度限值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PM</w:t>
            </w:r>
            <w:r>
              <w:rPr>
                <w:rFonts w:ascii="Times New Roman" w:hAnsi="Times New Roman" w:cs="Times New Roman"/>
                <w:caps w:val="0"/>
                <w:smallCaps w:val="0"/>
                <w:vertAlign w:val="subscript"/>
              </w:rPr>
              <w:t>10</w:t>
            </w: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日平均值150μg/m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年平均值70μg/m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PM</w:t>
            </w:r>
            <w:r>
              <w:rPr>
                <w:rFonts w:ascii="Times New Roman" w:hAnsi="Times New Roman" w:cs="Times New Roman"/>
                <w:caps w:val="0"/>
                <w:smallCaps w:val="0"/>
                <w:vertAlign w:val="subscript"/>
              </w:rPr>
              <w:t>2</w:t>
            </w:r>
            <w:r>
              <w:rPr>
                <w:rFonts w:hint="eastAsia" w:ascii="Times New Roman" w:hAnsi="Times New Roman" w:cs="Times New Roman"/>
                <w:caps w:val="0"/>
                <w:smallCaps w:val="0"/>
                <w:vertAlign w:val="subscript"/>
                <w:lang w:val="en-US" w:eastAsia="zh-CN"/>
              </w:rPr>
              <w:t>.</w:t>
            </w:r>
            <w:r>
              <w:rPr>
                <w:rFonts w:ascii="Times New Roman" w:hAnsi="Times New Roman" w:cs="Times New Roman"/>
                <w:caps w:val="0"/>
                <w:smallCaps w:val="0"/>
                <w:vertAlign w:val="subscript"/>
              </w:rPr>
              <w:t>5</w:t>
            </w: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日平均值75μg/m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年平均值35μg/m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SO</w:t>
            </w:r>
            <w:r>
              <w:rPr>
                <w:rFonts w:ascii="Times New Roman" w:hAnsi="Times New Roman" w:cs="Times New Roman"/>
                <w:caps w:val="0"/>
                <w:smallCaps w:val="0"/>
                <w:vertAlign w:val="subscript"/>
              </w:rPr>
              <w:t>2</w:t>
            </w: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小时平均值500μg/m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日平均值150μg/m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年平均值60μg/m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NO</w:t>
            </w:r>
            <w:r>
              <w:rPr>
                <w:rFonts w:ascii="Times New Roman" w:hAnsi="Times New Roman" w:cs="Times New Roman"/>
                <w:caps w:val="0"/>
                <w:smallCaps w:val="0"/>
                <w:vertAlign w:val="subscript"/>
              </w:rPr>
              <w:t>2</w:t>
            </w: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小时平均值200μg/m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日平均值80μg/m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年平均值40μg/m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w:t>
            </w: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小时平均值10000μg/m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日平均值4000μg/m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O</w:t>
            </w:r>
            <w:r>
              <w:rPr>
                <w:rFonts w:ascii="Times New Roman" w:hAnsi="Times New Roman" w:cs="Times New Roman"/>
                <w:caps w:val="0"/>
                <w:smallCaps w:val="0"/>
                <w:vertAlign w:val="subscript"/>
              </w:rPr>
              <w:t>3</w:t>
            </w: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小时平均值200μg/m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日最大小时平均值160μg/m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restart"/>
            <w:vAlign w:val="center"/>
          </w:tcPr>
          <w:p>
            <w:pPr>
              <w:pStyle w:val="117"/>
              <w:bidi w:val="0"/>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TSP</w:t>
            </w:r>
          </w:p>
        </w:tc>
        <w:tc>
          <w:tcPr>
            <w:tcW w:w="2822" w:type="dxa"/>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日平均值</w:t>
            </w:r>
            <w:r>
              <w:rPr>
                <w:rFonts w:hint="eastAsia" w:ascii="Times New Roman" w:hAnsi="Times New Roman" w:cs="Times New Roman"/>
                <w:caps w:val="0"/>
                <w:smallCaps w:val="0"/>
                <w:lang w:val="en-US" w:eastAsia="zh-CN"/>
              </w:rPr>
              <w:t>300</w:t>
            </w:r>
            <w:r>
              <w:rPr>
                <w:rFonts w:ascii="Times New Roman" w:hAnsi="Times New Roman" w:cs="Times New Roman"/>
                <w:caps w:val="0"/>
                <w:smallCaps w:val="0"/>
              </w:rPr>
              <w:t>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年平均值</w:t>
            </w:r>
            <w:r>
              <w:rPr>
                <w:rFonts w:hint="eastAsia" w:ascii="Times New Roman" w:hAnsi="Times New Roman" w:cs="Times New Roman"/>
                <w:caps w:val="0"/>
                <w:smallCaps w:val="0"/>
                <w:lang w:val="en-US" w:eastAsia="zh-CN"/>
              </w:rPr>
              <w:t>200</w:t>
            </w:r>
            <w:r>
              <w:rPr>
                <w:rFonts w:ascii="Times New Roman" w:hAnsi="Times New Roman" w:cs="Times New Roman"/>
                <w:caps w:val="0"/>
                <w:smallCaps w:val="0"/>
              </w:rPr>
              <w:t>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restart"/>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苯并芘</w:t>
            </w:r>
          </w:p>
        </w:tc>
        <w:tc>
          <w:tcPr>
            <w:tcW w:w="2822" w:type="dxa"/>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日平均值</w:t>
            </w:r>
            <w:r>
              <w:rPr>
                <w:rFonts w:hint="eastAsia" w:ascii="Times New Roman" w:hAnsi="Times New Roman" w:cs="Times New Roman"/>
                <w:caps w:val="0"/>
                <w:smallCaps w:val="0"/>
                <w:lang w:val="en-US" w:eastAsia="zh-CN"/>
              </w:rPr>
              <w:t>0.0025</w:t>
            </w:r>
            <w:r>
              <w:rPr>
                <w:rFonts w:ascii="Times New Roman" w:hAnsi="Times New Roman" w:cs="Times New Roman"/>
                <w:caps w:val="0"/>
                <w:smallCaps w:val="0"/>
              </w:rPr>
              <w:t>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Merge w:val="continue"/>
            <w:vAlign w:val="center"/>
          </w:tcPr>
          <w:p>
            <w:pPr>
              <w:pStyle w:val="117"/>
              <w:bidi w:val="0"/>
              <w:rPr>
                <w:rFonts w:ascii="Times New Roman" w:hAnsi="Times New Roman" w:cs="Times New Roman"/>
                <w:caps w:val="0"/>
                <w:smallCaps w:val="0"/>
              </w:rPr>
            </w:pPr>
          </w:p>
        </w:tc>
        <w:tc>
          <w:tcPr>
            <w:tcW w:w="991" w:type="dxa"/>
            <w:vMerge w:val="continue"/>
            <w:vAlign w:val="center"/>
          </w:tcPr>
          <w:p>
            <w:pPr>
              <w:pStyle w:val="117"/>
              <w:bidi w:val="0"/>
              <w:rPr>
                <w:rFonts w:ascii="Times New Roman" w:hAnsi="Times New Roman" w:cs="Times New Roman"/>
                <w:caps w:val="0"/>
                <w:smallCaps w:val="0"/>
              </w:rPr>
            </w:pPr>
          </w:p>
        </w:tc>
        <w:tc>
          <w:tcPr>
            <w:tcW w:w="1273" w:type="dxa"/>
            <w:vMerge w:val="continue"/>
            <w:vAlign w:val="center"/>
          </w:tcPr>
          <w:p>
            <w:pPr>
              <w:pStyle w:val="117"/>
              <w:bidi w:val="0"/>
              <w:rPr>
                <w:rFonts w:ascii="Times New Roman" w:hAnsi="Times New Roman" w:cs="Times New Roman"/>
                <w:caps w:val="0"/>
                <w:smallCaps w:val="0"/>
              </w:rPr>
            </w:pPr>
          </w:p>
        </w:tc>
        <w:tc>
          <w:tcPr>
            <w:tcW w:w="2822" w:type="dxa"/>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年平均值</w:t>
            </w:r>
            <w:r>
              <w:rPr>
                <w:rFonts w:hint="eastAsia" w:ascii="Times New Roman" w:hAnsi="Times New Roman" w:cs="Times New Roman"/>
                <w:caps w:val="0"/>
                <w:smallCaps w:val="0"/>
                <w:lang w:val="en-US" w:eastAsia="zh-CN"/>
              </w:rPr>
              <w:t>0.001</w:t>
            </w:r>
            <w:r>
              <w:rPr>
                <w:rFonts w:ascii="Times New Roman" w:hAnsi="Times New Roman" w:cs="Times New Roman"/>
                <w:caps w:val="0"/>
                <w:smallCaps w:val="0"/>
              </w:rPr>
              <w:t>μg/m</w:t>
            </w:r>
            <w:r>
              <w:rPr>
                <w:rFonts w:ascii="Times New Roman" w:hAnsi="Times New Roman" w:cs="Times New Roman"/>
                <w:caps w:val="0"/>
                <w:smallCaps w:val="0"/>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126" w:type="dxa"/>
            <w:vMerge w:val="continue"/>
            <w:vAlign w:val="center"/>
          </w:tcPr>
          <w:p>
            <w:pPr>
              <w:pStyle w:val="117"/>
              <w:bidi w:val="0"/>
              <w:rPr>
                <w:rFonts w:ascii="Times New Roman" w:hAnsi="Times New Roman" w:cs="Times New Roman"/>
                <w:caps w:val="0"/>
                <w:smallCaps w:val="0"/>
              </w:rPr>
            </w:pPr>
          </w:p>
        </w:tc>
        <w:tc>
          <w:tcPr>
            <w:tcW w:w="2828"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《环境影响评价技术导则大气环境》（HJ2.2-2018）附录D中其他污染物空气质量浓度参考限值</w:t>
            </w:r>
          </w:p>
        </w:tc>
        <w:tc>
          <w:tcPr>
            <w:tcW w:w="991"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小时值</w:t>
            </w:r>
          </w:p>
        </w:tc>
        <w:tc>
          <w:tcPr>
            <w:tcW w:w="1273"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TVOC</w:t>
            </w:r>
          </w:p>
        </w:tc>
        <w:tc>
          <w:tcPr>
            <w:tcW w:w="28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0.6mg/m</w:t>
            </w:r>
            <w:r>
              <w:rPr>
                <w:rFonts w:ascii="Times New Roman" w:hAnsi="Times New Roman" w:cs="Times New Roman"/>
                <w:caps w:val="0"/>
                <w:smallCaps w:val="0"/>
                <w:vertAlign w:val="superscript"/>
              </w:rPr>
              <w:t>3</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4、声环境</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码头位于岳阳市</w:t>
      </w:r>
      <w:r>
        <w:rPr>
          <w:rFonts w:hint="eastAsia" w:ascii="Times New Roman" w:hAnsi="Times New Roman" w:cs="Times New Roman" w:eastAsiaTheme="minorEastAsia"/>
          <w:caps w:val="0"/>
          <w:smallCaps w:val="0"/>
          <w:color w:val="000000"/>
          <w:sz w:val="24"/>
          <w:szCs w:val="24"/>
        </w:rPr>
        <w:t>汨罗港区推山咀作业区</w:t>
      </w:r>
      <w:r>
        <w:rPr>
          <w:rFonts w:ascii="Times New Roman" w:hAnsi="Times New Roman" w:cs="Times New Roman" w:eastAsiaTheme="minorEastAsia"/>
          <w:caps w:val="0"/>
          <w:smallCaps w:val="0"/>
          <w:color w:val="000000"/>
          <w:sz w:val="24"/>
          <w:szCs w:val="24"/>
        </w:rPr>
        <w:t>。航道两侧35m红线范围内声环境质量执行《声环境质量标准》（GB3096-2008）4a类标准，其他区域及敏感点声环境质量执行《声环境质量标准》（GB3096-2008）2类标准，具体详见表2.</w:t>
      </w:r>
      <w:r>
        <w:rPr>
          <w:rFonts w:hint="eastAsia" w:cs="Times New Roman" w:eastAsiaTheme="minorEastAsia"/>
          <w:caps w:val="0"/>
          <w:smallCaps w:val="0"/>
          <w:color w:val="000000"/>
          <w:sz w:val="24"/>
          <w:szCs w:val="24"/>
          <w:lang w:val="en-US" w:eastAsia="zh-CN"/>
        </w:rPr>
        <w:t>5</w:t>
      </w:r>
      <w:r>
        <w:rPr>
          <w:rFonts w:ascii="Times New Roman" w:hAnsi="Times New Roman" w:cs="Times New Roman" w:eastAsiaTheme="minorEastAsia"/>
          <w:caps w:val="0"/>
          <w:smallCaps w:val="0"/>
          <w:color w:val="000000"/>
          <w:sz w:val="24"/>
          <w:szCs w:val="24"/>
        </w:rPr>
        <w:t>-4。</w:t>
      </w:r>
    </w:p>
    <w:p>
      <w:pPr>
        <w:pStyle w:val="2"/>
      </w:pPr>
    </w:p>
    <w:p>
      <w:pPr>
        <w:tabs>
          <w:tab w:val="left" w:pos="900"/>
        </w:tabs>
        <w:wordWrap w:val="0"/>
        <w:snapToGrid w:val="0"/>
        <w:spacing w:line="276" w:lineRule="auto"/>
        <w:jc w:val="right"/>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-4</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b/>
          <w:caps w:val="0"/>
          <w:smallCaps w:val="0"/>
          <w:color w:val="000000"/>
          <w:sz w:val="24"/>
          <w:szCs w:val="24"/>
        </w:rPr>
        <w:t>声环境质量标准</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b/>
          <w:bCs/>
          <w:caps w:val="0"/>
          <w:smallCaps w:val="0"/>
          <w:color w:val="000000"/>
          <w:sz w:val="24"/>
          <w:szCs w:val="24"/>
        </w:rPr>
        <w:t>单位：dB(A)</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3034"/>
        <w:gridCol w:w="3034"/>
        <w:gridCol w:w="303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类别</w:t>
            </w:r>
          </w:p>
        </w:tc>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昼间</w:t>
            </w:r>
          </w:p>
        </w:tc>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夜间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2类</w:t>
            </w:r>
          </w:p>
        </w:tc>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60</w:t>
            </w:r>
          </w:p>
        </w:tc>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4a类</w:t>
            </w:r>
          </w:p>
        </w:tc>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w:t>
            </w:r>
          </w:p>
        </w:tc>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55</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5、土壤</w:t>
      </w:r>
    </w:p>
    <w:p>
      <w:pPr>
        <w:adjustRightInd w:val="0"/>
        <w:snapToGrid w:val="0"/>
        <w:spacing w:line="360" w:lineRule="auto"/>
        <w:ind w:firstLine="480" w:firstLineChars="200"/>
        <w:rPr>
          <w:rFonts w:ascii="Times New Roman" w:hAnsi="Times New Roman" w:cs="Times New Roman" w:eastAsiaTheme="minorEastAsia"/>
          <w:caps w:val="0"/>
          <w:smallCaps w:val="0"/>
          <w:color w:val="auto"/>
          <w:sz w:val="24"/>
          <w:szCs w:val="24"/>
        </w:rPr>
      </w:pPr>
      <w:r>
        <w:rPr>
          <w:rFonts w:ascii="Times New Roman" w:hAnsi="Times New Roman" w:cs="Times New Roman" w:eastAsiaTheme="minorEastAsia"/>
          <w:caps w:val="0"/>
          <w:smallCaps w:val="0"/>
          <w:color w:val="auto"/>
          <w:sz w:val="24"/>
          <w:szCs w:val="24"/>
        </w:rPr>
        <w:t>本项目码头</w:t>
      </w:r>
      <w:r>
        <w:rPr>
          <w:rFonts w:hint="eastAsia" w:ascii="Times New Roman" w:hAnsi="Times New Roman" w:cs="Times New Roman" w:eastAsiaTheme="minorEastAsia"/>
          <w:caps w:val="0"/>
          <w:smallCaps w:val="0"/>
          <w:color w:val="auto"/>
          <w:sz w:val="24"/>
          <w:szCs w:val="24"/>
        </w:rPr>
        <w:t>、引桥</w:t>
      </w:r>
      <w:r>
        <w:rPr>
          <w:rFonts w:ascii="Times New Roman" w:hAnsi="Times New Roman" w:cs="Times New Roman" w:eastAsiaTheme="minorEastAsia"/>
          <w:caps w:val="0"/>
          <w:smallCaps w:val="0"/>
          <w:color w:val="auto"/>
          <w:sz w:val="24"/>
          <w:szCs w:val="24"/>
        </w:rPr>
        <w:t>区域土壤执行</w:t>
      </w:r>
      <w:r>
        <w:rPr>
          <w:rFonts w:ascii="Times New Roman" w:hAnsi="Times New Roman" w:cs="Times New Roman"/>
          <w:caps w:val="0"/>
          <w:smallCaps w:val="0"/>
          <w:snapToGrid w:val="0"/>
          <w:color w:val="auto"/>
          <w:kern w:val="0"/>
          <w:szCs w:val="28"/>
        </w:rPr>
        <w:t>《土壤环境质量标准 建设用地土壤污染风险管控标准（试行）》（GB36600-2018）二类建设项目筛选值标准。</w:t>
      </w:r>
      <w:r>
        <w:rPr>
          <w:rFonts w:ascii="Times New Roman" w:hAnsi="Times New Roman" w:cs="Times New Roman" w:eastAsiaTheme="minorEastAsia"/>
          <w:caps w:val="0"/>
          <w:smallCaps w:val="0"/>
          <w:color w:val="auto"/>
          <w:sz w:val="24"/>
          <w:szCs w:val="24"/>
        </w:rPr>
        <w:t>具体见表2.</w:t>
      </w:r>
      <w:r>
        <w:rPr>
          <w:rFonts w:hint="eastAsia" w:cs="Times New Roman" w:eastAsiaTheme="minorEastAsia"/>
          <w:caps w:val="0"/>
          <w:smallCaps w:val="0"/>
          <w:color w:val="auto"/>
          <w:sz w:val="24"/>
          <w:szCs w:val="24"/>
          <w:lang w:val="en-US" w:eastAsia="zh-CN"/>
        </w:rPr>
        <w:t>5</w:t>
      </w:r>
      <w:r>
        <w:rPr>
          <w:rFonts w:ascii="Times New Roman" w:hAnsi="Times New Roman" w:cs="Times New Roman" w:eastAsiaTheme="minorEastAsia"/>
          <w:caps w:val="0"/>
          <w:smallCaps w:val="0"/>
          <w:color w:val="auto"/>
          <w:sz w:val="24"/>
          <w:szCs w:val="24"/>
        </w:rPr>
        <w:t>-5。</w:t>
      </w:r>
    </w:p>
    <w:p>
      <w:pPr>
        <w:pStyle w:val="95"/>
        <w:bidi w:val="0"/>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eastAsiaTheme="minorEastAsia"/>
          <w:b/>
          <w:caps w:val="0"/>
          <w:smallCaps w:val="0"/>
          <w:color w:val="auto"/>
          <w:sz w:val="24"/>
          <w:szCs w:val="24"/>
        </w:rPr>
        <w:t>表2.</w:t>
      </w:r>
      <w:r>
        <w:rPr>
          <w:rFonts w:hint="eastAsia" w:ascii="Times New Roman" w:hAnsi="Times New Roman" w:cs="Times New Roman" w:eastAsiaTheme="minorEastAsia"/>
          <w:b/>
          <w:caps w:val="0"/>
          <w:smallCaps w:val="0"/>
          <w:color w:val="auto"/>
          <w:sz w:val="24"/>
          <w:szCs w:val="24"/>
          <w:lang w:val="en-US" w:eastAsia="zh-CN"/>
        </w:rPr>
        <w:t>5</w:t>
      </w:r>
      <w:r>
        <w:rPr>
          <w:rFonts w:ascii="Times New Roman" w:hAnsi="Times New Roman" w:cs="Times New Roman" w:eastAsiaTheme="minorEastAsia"/>
          <w:b/>
          <w:caps w:val="0"/>
          <w:smallCaps w:val="0"/>
          <w:color w:val="auto"/>
          <w:sz w:val="24"/>
          <w:szCs w:val="24"/>
        </w:rPr>
        <w:t>-5</w:t>
      </w:r>
      <w:r>
        <w:rPr>
          <w:rFonts w:hint="eastAsia" w:ascii="Times New Roman" w:hAnsi="Times New Roman" w:cs="Times New Roman" w:eastAsiaTheme="minorEastAsia"/>
          <w:b/>
          <w:caps w:val="0"/>
          <w:smallCaps w:val="0"/>
          <w:color w:val="auto"/>
          <w:sz w:val="24"/>
          <w:szCs w:val="24"/>
          <w:lang w:val="en-US" w:eastAsia="zh-CN"/>
        </w:rPr>
        <w:t xml:space="preserve">  </w:t>
      </w:r>
      <w:r>
        <w:rPr>
          <w:rFonts w:ascii="Times New Roman" w:hAnsi="Times New Roman" w:cs="Times New Roman"/>
          <w:caps w:val="0"/>
          <w:smallCaps w:val="0"/>
          <w:color w:val="000000" w:themeColor="text1"/>
          <w14:textFill>
            <w14:solidFill>
              <w14:schemeClr w14:val="tx1"/>
            </w14:solidFill>
          </w14:textFill>
        </w:rPr>
        <w:t>建设用地土壤污染风险筛选值和管控值   单位：mg/kg</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574"/>
        <w:gridCol w:w="2396"/>
        <w:gridCol w:w="1536"/>
        <w:gridCol w:w="1616"/>
        <w:gridCol w:w="1571"/>
        <w:gridCol w:w="159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309" w:type="pct"/>
            <w:vMerge w:val="restar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序号</w:t>
            </w:r>
          </w:p>
        </w:tc>
        <w:tc>
          <w:tcPr>
            <w:tcW w:w="1290" w:type="pct"/>
            <w:vMerge w:val="restar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污染物名称</w:t>
            </w:r>
          </w:p>
        </w:tc>
        <w:tc>
          <w:tcPr>
            <w:tcW w:w="1697" w:type="pct"/>
            <w:gridSpan w:val="2"/>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筛选值</w:t>
            </w:r>
          </w:p>
        </w:tc>
        <w:tc>
          <w:tcPr>
            <w:tcW w:w="1704" w:type="pct"/>
            <w:gridSpan w:val="2"/>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管控值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309" w:type="pct"/>
            <w:vMerge w:val="continue"/>
            <w:vAlign w:val="center"/>
          </w:tcPr>
          <w:p>
            <w:pPr>
              <w:pStyle w:val="698"/>
              <w:rPr>
                <w:rFonts w:ascii="Times New Roman" w:hAnsi="Times New Roman" w:cs="Times New Roman"/>
                <w:caps w:val="0"/>
                <w:smallCaps w:val="0"/>
                <w:color w:val="000000" w:themeColor="text1"/>
                <w14:textFill>
                  <w14:solidFill>
                    <w14:schemeClr w14:val="tx1"/>
                  </w14:solidFill>
                </w14:textFill>
              </w:rPr>
            </w:pPr>
          </w:p>
        </w:tc>
        <w:tc>
          <w:tcPr>
            <w:tcW w:w="1290" w:type="pct"/>
            <w:vMerge w:val="continue"/>
            <w:vAlign w:val="center"/>
          </w:tcPr>
          <w:p>
            <w:pPr>
              <w:pStyle w:val="698"/>
              <w:rPr>
                <w:rFonts w:ascii="Times New Roman" w:hAnsi="Times New Roman" w:cs="Times New Roman"/>
                <w:caps w:val="0"/>
                <w:smallCaps w:val="0"/>
                <w:color w:val="000000" w:themeColor="text1"/>
                <w14:textFill>
                  <w14:solidFill>
                    <w14:schemeClr w14:val="tx1"/>
                  </w14:solidFill>
                </w14:textFill>
              </w:rPr>
            </w:pP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第一类用地</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第二类用地</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第一类用地</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第二类用地</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000" w:type="pct"/>
            <w:gridSpan w:val="6"/>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重金属和无机物</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140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镉</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65</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47</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172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六价铬</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5.7</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铜</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2000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18000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8000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36000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铅</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400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800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2500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汞</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38</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33</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镍</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900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000" w:type="pct"/>
            <w:gridSpan w:val="6"/>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挥发性有机物</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四氯化碳</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0.9</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2.8</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9</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36</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9</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氯仿</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0.3</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0.9</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10</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氯甲烷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37</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21</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11</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1，1-二氯乙烷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9</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1，2-二氯乙烷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0.52</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13</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1，1-二氯乙烯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66</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14</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顺-1，2-二氯乙烯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66</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596</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反-1，2-二氯乙烯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54</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31</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163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16</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二氯甲烷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94</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616</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17</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1，2-二氯丙烷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47</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18</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1，1，1，2-四氯乙烷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2.6</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26</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19</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1，1，2，2-四氯乙烷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1.6</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6.8</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14</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四氯乙烯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11</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53</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34</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183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21</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1，1，1-三氯乙烷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701</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840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840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840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22</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1，1，2-三氯乙烷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0.6</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2.8</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23</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三氯乙烯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0.7</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2.8</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24</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1，2，3-三氯丙烷</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0.05</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0.5</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25</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氯乙烯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0.12</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0.43</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26</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27</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氯苯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68</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270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1000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28</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1，2-二氯苯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560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560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560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29</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1，4-二氯苯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5.6</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56</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30</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乙苯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7.2</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28</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72</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280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31</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苯乙烯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1290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1290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1290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1290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32</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甲苯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1200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1200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33</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间二甲苯+对二甲苯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163</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570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570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34</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邻二甲苯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222</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640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640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640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5000" w:type="pct"/>
            <w:gridSpan w:val="6"/>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半挥发性有机物</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35</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硝基苯</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34</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76</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190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36</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苯胺</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92</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260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211</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663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37</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2-氯酚</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250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2256</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4500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38</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苯并[a]蒽</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39</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苯并[a]芘</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0.55</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40</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苯并[b]荧蒽</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41</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苯并[k]荧蒽</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151</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42</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䓛</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490</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1293</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4900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12900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43</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二苯[a，h]蒽</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0.55</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44</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茚并[1，2，3，-cd]芘</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151</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45</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萘</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25</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255</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700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309"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46</w:t>
            </w:r>
          </w:p>
        </w:tc>
        <w:tc>
          <w:tcPr>
            <w:tcW w:w="129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石油烃</w:t>
            </w:r>
          </w:p>
        </w:tc>
        <w:tc>
          <w:tcPr>
            <w:tcW w:w="827"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826</w:t>
            </w:r>
          </w:p>
        </w:tc>
        <w:tc>
          <w:tcPr>
            <w:tcW w:w="870"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4500</w:t>
            </w:r>
          </w:p>
        </w:tc>
        <w:tc>
          <w:tcPr>
            <w:tcW w:w="846"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5000</w:t>
            </w:r>
          </w:p>
        </w:tc>
        <w:tc>
          <w:tcPr>
            <w:tcW w:w="858" w:type="pct"/>
            <w:vAlign w:val="center"/>
          </w:tcPr>
          <w:p>
            <w:pPr>
              <w:pStyle w:val="698"/>
              <w:rPr>
                <w:rFonts w:ascii="Times New Roman" w:hAnsi="Times New Roman" w:cs="Times New Roman"/>
                <w:caps w:val="0"/>
                <w:smallCaps w:val="0"/>
                <w:color w:val="000000" w:themeColor="text1"/>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t>9000</w:t>
            </w:r>
          </w:p>
        </w:tc>
      </w:tr>
    </w:tbl>
    <w:p>
      <w:pPr>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6、底泥</w:t>
      </w:r>
    </w:p>
    <w:p>
      <w:pPr>
        <w:adjustRightInd w:val="0"/>
        <w:snapToGrid w:val="0"/>
        <w:spacing w:line="360" w:lineRule="auto"/>
        <w:ind w:firstLine="480" w:firstLineChars="200"/>
        <w:rPr>
          <w:rFonts w:ascii="Times New Roman" w:hAnsi="Times New Roman" w:cs="Times New Roman" w:eastAsiaTheme="minorEastAsia"/>
          <w:caps w:val="0"/>
          <w:smallCaps w:val="0"/>
          <w:color w:val="auto"/>
          <w:sz w:val="24"/>
          <w:szCs w:val="24"/>
        </w:rPr>
      </w:pPr>
      <w:r>
        <w:rPr>
          <w:rFonts w:hint="eastAsia" w:ascii="Times New Roman" w:hAnsi="Times New Roman" w:cs="Times New Roman" w:eastAsiaTheme="minorEastAsia"/>
          <w:caps w:val="0"/>
          <w:smallCaps w:val="0"/>
          <w:color w:val="000000"/>
          <w:sz w:val="24"/>
          <w:szCs w:val="24"/>
        </w:rPr>
        <w:t>本项目码头工程涉及疏浚底泥，由于底泥没有相应的环境指标标准，根据其最终用途参考相应的土壤质量标准。</w:t>
      </w:r>
      <w:r>
        <w:rPr>
          <w:rFonts w:hint="eastAsia" w:ascii="Times New Roman" w:hAnsi="Times New Roman" w:cs="Times New Roman" w:eastAsiaTheme="minorEastAsia"/>
          <w:caps w:val="0"/>
          <w:smallCaps w:val="0"/>
          <w:color w:val="auto"/>
          <w:sz w:val="24"/>
          <w:szCs w:val="24"/>
          <w:lang w:eastAsia="zh-CN"/>
        </w:rPr>
        <w:t>参照</w:t>
      </w:r>
      <w:r>
        <w:rPr>
          <w:rFonts w:ascii="Times New Roman" w:hAnsi="Times New Roman" w:cs="Times New Roman" w:eastAsiaTheme="minorEastAsia"/>
          <w:caps w:val="0"/>
          <w:smallCaps w:val="0"/>
          <w:color w:val="auto"/>
          <w:sz w:val="24"/>
          <w:szCs w:val="24"/>
        </w:rPr>
        <w:t>湖南省地方标准《重金属污染场地土壤修复标准》（DB43/T1165-2016）</w:t>
      </w:r>
      <w:r>
        <w:rPr>
          <w:rFonts w:hint="eastAsia" w:ascii="Times New Roman" w:hAnsi="Times New Roman" w:cs="Times New Roman" w:eastAsiaTheme="minorEastAsia"/>
          <w:caps w:val="0"/>
          <w:smallCaps w:val="0"/>
          <w:color w:val="auto"/>
          <w:sz w:val="24"/>
          <w:szCs w:val="24"/>
          <w:lang w:eastAsia="zh-CN"/>
        </w:rPr>
        <w:t>中商业用地</w:t>
      </w:r>
      <w:r>
        <w:rPr>
          <w:rFonts w:ascii="Times New Roman" w:hAnsi="Times New Roman" w:cs="Times New Roman" w:eastAsiaTheme="minorEastAsia"/>
          <w:caps w:val="0"/>
          <w:smallCaps w:val="0"/>
          <w:color w:val="auto"/>
          <w:sz w:val="24"/>
          <w:szCs w:val="24"/>
        </w:rPr>
        <w:t>标准要求</w:t>
      </w:r>
      <w:r>
        <w:rPr>
          <w:rFonts w:hint="eastAsia" w:ascii="Times New Roman" w:hAnsi="Times New Roman" w:cs="Times New Roman" w:eastAsiaTheme="minorEastAsia"/>
          <w:caps w:val="0"/>
          <w:smallCaps w:val="0"/>
          <w:color w:val="auto"/>
          <w:sz w:val="24"/>
          <w:szCs w:val="24"/>
          <w:lang w:eastAsia="zh-CN"/>
        </w:rPr>
        <w:t>执行</w:t>
      </w:r>
      <w:r>
        <w:rPr>
          <w:rFonts w:hint="eastAsia" w:ascii="Times New Roman" w:hAnsi="Times New Roman" w:cs="Times New Roman" w:eastAsiaTheme="minorEastAsia"/>
          <w:caps w:val="0"/>
          <w:smallCaps w:val="0"/>
          <w:color w:val="auto"/>
          <w:sz w:val="24"/>
          <w:szCs w:val="24"/>
        </w:rPr>
        <w:t>，具体见表</w:t>
      </w:r>
      <w:r>
        <w:rPr>
          <w:rFonts w:ascii="Times New Roman" w:hAnsi="Times New Roman" w:cs="Times New Roman" w:eastAsiaTheme="minorEastAsia"/>
          <w:caps w:val="0"/>
          <w:smallCaps w:val="0"/>
          <w:color w:val="auto"/>
          <w:sz w:val="24"/>
          <w:szCs w:val="24"/>
        </w:rPr>
        <w:t>2.</w:t>
      </w:r>
      <w:r>
        <w:rPr>
          <w:rFonts w:hint="eastAsia" w:cs="Times New Roman" w:eastAsiaTheme="minorEastAsia"/>
          <w:caps w:val="0"/>
          <w:smallCaps w:val="0"/>
          <w:color w:val="auto"/>
          <w:sz w:val="24"/>
          <w:szCs w:val="24"/>
          <w:lang w:val="en-US" w:eastAsia="zh-CN"/>
        </w:rPr>
        <w:t>5</w:t>
      </w:r>
      <w:r>
        <w:rPr>
          <w:rFonts w:ascii="Times New Roman" w:hAnsi="Times New Roman" w:cs="Times New Roman" w:eastAsiaTheme="minorEastAsia"/>
          <w:caps w:val="0"/>
          <w:smallCaps w:val="0"/>
          <w:color w:val="auto"/>
          <w:sz w:val="24"/>
          <w:szCs w:val="24"/>
        </w:rPr>
        <w:t>-</w:t>
      </w:r>
      <w:r>
        <w:rPr>
          <w:rFonts w:hint="eastAsia" w:ascii="Times New Roman" w:hAnsi="Times New Roman" w:cs="Times New Roman" w:eastAsiaTheme="minorEastAsia"/>
          <w:caps w:val="0"/>
          <w:smallCaps w:val="0"/>
          <w:color w:val="auto"/>
          <w:sz w:val="24"/>
          <w:szCs w:val="24"/>
        </w:rPr>
        <w:t>6</w:t>
      </w:r>
    </w:p>
    <w:p>
      <w:pPr>
        <w:tabs>
          <w:tab w:val="left" w:pos="900"/>
        </w:tabs>
        <w:snapToGrid w:val="0"/>
        <w:spacing w:line="276" w:lineRule="auto"/>
        <w:jc w:val="center"/>
        <w:rPr>
          <w:rFonts w:ascii="Times New Roman" w:hAnsi="Times New Roman" w:cs="Times New Roman" w:eastAsiaTheme="minorEastAsia"/>
          <w:bCs/>
          <w:caps w:val="0"/>
          <w:smallCaps w:val="0"/>
          <w:color w:val="auto"/>
          <w:sz w:val="24"/>
          <w:szCs w:val="24"/>
        </w:rPr>
      </w:pPr>
      <w:r>
        <w:rPr>
          <w:rFonts w:ascii="Times New Roman" w:hAnsi="Times New Roman" w:cs="Times New Roman" w:eastAsiaTheme="minorEastAsia"/>
          <w:b/>
          <w:caps w:val="0"/>
          <w:smallCaps w:val="0"/>
          <w:color w:val="auto"/>
          <w:sz w:val="24"/>
          <w:szCs w:val="24"/>
        </w:rPr>
        <w:t>表2.</w:t>
      </w:r>
      <w:r>
        <w:rPr>
          <w:rFonts w:hint="eastAsia" w:cs="Times New Roman" w:eastAsiaTheme="minorEastAsia"/>
          <w:b/>
          <w:caps w:val="0"/>
          <w:smallCaps w:val="0"/>
          <w:color w:val="auto"/>
          <w:sz w:val="24"/>
          <w:szCs w:val="24"/>
          <w:lang w:val="en-US" w:eastAsia="zh-CN"/>
        </w:rPr>
        <w:t>5</w:t>
      </w:r>
      <w:r>
        <w:rPr>
          <w:rFonts w:ascii="Times New Roman" w:hAnsi="Times New Roman" w:cs="Times New Roman" w:eastAsiaTheme="minorEastAsia"/>
          <w:b/>
          <w:caps w:val="0"/>
          <w:smallCaps w:val="0"/>
          <w:color w:val="auto"/>
          <w:sz w:val="24"/>
          <w:szCs w:val="24"/>
        </w:rPr>
        <w:t>-</w:t>
      </w:r>
      <w:r>
        <w:rPr>
          <w:rFonts w:hint="eastAsia" w:ascii="Times New Roman" w:hAnsi="Times New Roman" w:cs="Times New Roman" w:eastAsiaTheme="minorEastAsia"/>
          <w:b/>
          <w:caps w:val="0"/>
          <w:smallCaps w:val="0"/>
          <w:color w:val="auto"/>
          <w:sz w:val="24"/>
          <w:szCs w:val="24"/>
        </w:rPr>
        <w:t>6</w:t>
      </w:r>
      <w:r>
        <w:rPr>
          <w:rFonts w:ascii="Times New Roman" w:hAnsi="Times New Roman" w:cs="Times New Roman" w:eastAsiaTheme="minorEastAsia"/>
          <w:bCs/>
          <w:caps w:val="0"/>
          <w:smallCaps w:val="0"/>
          <w:color w:val="auto"/>
          <w:sz w:val="24"/>
          <w:szCs w:val="24"/>
        </w:rPr>
        <w:t>重金属污染场地土壤修复标准</w:t>
      </w:r>
      <w:r>
        <w:rPr>
          <w:rFonts w:hint="eastAsia" w:ascii="Times New Roman" w:hAnsi="Times New Roman" w:cs="Times New Roman" w:eastAsiaTheme="minorEastAsia"/>
          <w:bCs/>
          <w:caps w:val="0"/>
          <w:smallCaps w:val="0"/>
          <w:color w:val="auto"/>
          <w:sz w:val="24"/>
          <w:szCs w:val="24"/>
        </w:rPr>
        <w:t>单位：mg/Kg</w:t>
      </w:r>
    </w:p>
    <w:tbl>
      <w:tblPr>
        <w:tblStyle w:val="72"/>
        <w:tblW w:w="514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821"/>
        <w:gridCol w:w="1420"/>
        <w:gridCol w:w="2136"/>
        <w:gridCol w:w="2594"/>
        <w:gridCol w:w="239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Merge w:val="restar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序号</w:t>
            </w:r>
          </w:p>
        </w:tc>
        <w:tc>
          <w:tcPr>
            <w:tcW w:w="758" w:type="pct"/>
            <w:vMerge w:val="restar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污染物</w:t>
            </w:r>
          </w:p>
        </w:tc>
        <w:tc>
          <w:tcPr>
            <w:tcW w:w="3803" w:type="pct"/>
            <w:gridSpan w:val="3"/>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修复目标用地类型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Merge w:val="continue"/>
            <w:vAlign w:val="center"/>
          </w:tcPr>
          <w:p>
            <w:pPr>
              <w:pStyle w:val="117"/>
              <w:bidi w:val="0"/>
              <w:rPr>
                <w:rFonts w:ascii="Times New Roman" w:hAnsi="Times New Roman" w:cs="Times New Roman"/>
                <w:caps w:val="0"/>
                <w:smallCaps w:val="0"/>
                <w:color w:val="auto"/>
              </w:rPr>
            </w:pPr>
          </w:p>
        </w:tc>
        <w:tc>
          <w:tcPr>
            <w:tcW w:w="758" w:type="pct"/>
            <w:vMerge w:val="continue"/>
            <w:vAlign w:val="center"/>
          </w:tcPr>
          <w:p>
            <w:pPr>
              <w:pStyle w:val="117"/>
              <w:bidi w:val="0"/>
              <w:rPr>
                <w:rFonts w:ascii="Times New Roman" w:hAnsi="Times New Roman" w:cs="Times New Roman"/>
                <w:caps w:val="0"/>
                <w:smallCaps w:val="0"/>
                <w:color w:val="auto"/>
              </w:rPr>
            </w:pP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居住用地</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商业用地</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工业用地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1</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总铅</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280</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600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600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总砷</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50</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70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70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3"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3</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总镉</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7</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4</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总汞</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4</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5</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总铬</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400</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61</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800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6</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六价铬</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5</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30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30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7</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总钒</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200</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250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250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8</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总锰</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2000</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5000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10000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9</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总铜</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300</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500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500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10</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总锌</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500</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700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700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3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11</w:t>
            </w:r>
          </w:p>
        </w:tc>
        <w:tc>
          <w:tcPr>
            <w:tcW w:w="758"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总</w:t>
            </w:r>
            <w:r>
              <w:rPr>
                <w:rFonts w:ascii="Times New Roman" w:hAnsi="Times New Roman" w:cs="Times New Roman"/>
                <w:caps w:val="0"/>
                <w:smallCaps w:val="0"/>
                <w:color w:val="auto"/>
              </w:rPr>
              <w:t>锑</w:t>
            </w:r>
          </w:p>
        </w:tc>
        <w:tc>
          <w:tcPr>
            <w:tcW w:w="1140"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30</w:t>
            </w:r>
          </w:p>
        </w:tc>
        <w:tc>
          <w:tcPr>
            <w:tcW w:w="1384"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60</w:t>
            </w:r>
          </w:p>
        </w:tc>
        <w:tc>
          <w:tcPr>
            <w:tcW w:w="1277" w:type="pct"/>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rPr>
              <w:t>60</w:t>
            </w:r>
          </w:p>
        </w:tc>
      </w:tr>
    </w:tbl>
    <w:p>
      <w:pPr>
        <w:autoSpaceDE w:val="0"/>
        <w:autoSpaceDN w:val="0"/>
        <w:adjustRightInd w:val="0"/>
        <w:jc w:val="left"/>
        <w:rPr>
          <w:rFonts w:ascii="Times New Roman" w:hAnsi="Times New Roman" w:cs="Times New Roman" w:eastAsiaTheme="minorEastAsia"/>
          <w:caps w:val="0"/>
          <w:smallCaps w:val="0"/>
          <w:kern w:val="0"/>
          <w:sz w:val="24"/>
          <w:szCs w:val="24"/>
        </w:rPr>
      </w:pP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污染物排放标准</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1、废水</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船舶废水执行《船舶水污染物排放标准》（GB3552-2018），详见表2.</w:t>
      </w:r>
      <w:r>
        <w:rPr>
          <w:rFonts w:hint="eastAsia" w:cs="Times New Roman" w:eastAsiaTheme="minorEastAsia"/>
          <w:caps w:val="0"/>
          <w:smallCaps w:val="0"/>
          <w:color w:val="000000"/>
          <w:sz w:val="24"/>
          <w:szCs w:val="24"/>
          <w:lang w:val="en-US" w:eastAsia="zh-CN"/>
        </w:rPr>
        <w:t>5</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7</w:t>
      </w:r>
      <w:r>
        <w:rPr>
          <w:rFonts w:ascii="Times New Roman" w:hAnsi="Times New Roman" w:cs="Times New Roman" w:eastAsiaTheme="minorEastAsia"/>
          <w:caps w:val="0"/>
          <w:smallCaps w:val="0"/>
          <w:color w:val="000000"/>
          <w:sz w:val="24"/>
          <w:szCs w:val="24"/>
        </w:rPr>
        <w:t>。</w:t>
      </w:r>
    </w:p>
    <w:p>
      <w:pPr>
        <w:tabs>
          <w:tab w:val="left" w:pos="900"/>
        </w:tabs>
        <w:wordWrap w:val="0"/>
        <w:snapToGrid w:val="0"/>
        <w:spacing w:line="276" w:lineRule="auto"/>
        <w:jc w:val="right"/>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w:t>
      </w:r>
      <w:r>
        <w:rPr>
          <w:rFonts w:hint="eastAsia" w:ascii="Times New Roman" w:hAnsi="Times New Roman" w:cs="Times New Roman" w:eastAsiaTheme="minorEastAsia"/>
          <w:b/>
          <w:caps w:val="0"/>
          <w:smallCaps w:val="0"/>
          <w:color w:val="000000"/>
          <w:sz w:val="24"/>
          <w:szCs w:val="24"/>
        </w:rPr>
        <w:t>7</w:t>
      </w:r>
      <w:r>
        <w:rPr>
          <w:rFonts w:ascii="Times New Roman" w:hAnsi="Times New Roman" w:cs="Times New Roman" w:eastAsiaTheme="minorEastAsia"/>
          <w:b/>
          <w:caps w:val="0"/>
          <w:smallCaps w:val="0"/>
          <w:color w:val="000000"/>
          <w:sz w:val="24"/>
          <w:szCs w:val="24"/>
        </w:rPr>
        <w:t>船舶水污染物排放控制标准（GB3552-2018）</w:t>
      </w:r>
      <w:r>
        <w:rPr>
          <w:rFonts w:ascii="Times New Roman" w:hAnsi="Times New Roman" w:cs="Times New Roman" w:eastAsiaTheme="minorEastAsia"/>
          <w:caps w:val="0"/>
          <w:smallCaps w:val="0"/>
          <w:color w:val="000000"/>
          <w:sz w:val="24"/>
          <w:szCs w:val="24"/>
        </w:rPr>
        <w:t>单位：mg/L</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972"/>
        <w:gridCol w:w="983"/>
        <w:gridCol w:w="714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blHeader/>
          <w:jc w:val="center"/>
        </w:trPr>
        <w:tc>
          <w:tcPr>
            <w:tcW w:w="53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54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w:t>
            </w:r>
          </w:p>
        </w:tc>
        <w:tc>
          <w:tcPr>
            <w:tcW w:w="39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标准值</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53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54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船舶含油污水</w:t>
            </w:r>
          </w:p>
        </w:tc>
        <w:tc>
          <w:tcPr>
            <w:tcW w:w="39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内河，机器处所油污水，2021年1月1日之前建造的船舶执行石油类最高容许浓度≤15mg/L或收集并排入接收设施；2021年1月1日及以后建造的船舶收集并排入接收设施</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53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w:t>
            </w:r>
          </w:p>
        </w:tc>
        <w:tc>
          <w:tcPr>
            <w:tcW w:w="54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船舶生活污水</w:t>
            </w:r>
          </w:p>
        </w:tc>
        <w:tc>
          <w:tcPr>
            <w:tcW w:w="39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内河，利用船载收集装置收集排入接收设施。或利用船载生活污水处理装置处理达到如下标准排放：</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2012年1月1日以前安装含更换生活污水处理装置的船舶执行BOD5最高容许浓度≤50mg/L；</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2012年1月1日及以后安装含更换生活污水处理装置的船舶执行BOD5最高容许浓度≤25mg/L、CODCR最高容许浓度≤125mg/L</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在趸船内设污水</w:t>
      </w:r>
      <w:r>
        <w:rPr>
          <w:rFonts w:hint="eastAsia" w:ascii="Times New Roman" w:hAnsi="Times New Roman" w:cs="Times New Roman" w:eastAsiaTheme="minorEastAsia"/>
          <w:caps w:val="0"/>
          <w:smallCaps w:val="0"/>
          <w:color w:val="000000"/>
          <w:sz w:val="24"/>
          <w:szCs w:val="24"/>
          <w:lang w:eastAsia="zh-CN"/>
        </w:rPr>
        <w:t>舱</w:t>
      </w:r>
      <w:r>
        <w:rPr>
          <w:rFonts w:ascii="Times New Roman" w:hAnsi="Times New Roman" w:cs="Times New Roman" w:eastAsiaTheme="minorEastAsia"/>
          <w:caps w:val="0"/>
          <w:smallCaps w:val="0"/>
          <w:color w:val="000000"/>
          <w:sz w:val="24"/>
          <w:szCs w:val="24"/>
        </w:rPr>
        <w:t>，收集坎内冲洗废水</w:t>
      </w:r>
      <w:r>
        <w:rPr>
          <w:rFonts w:hint="eastAsia" w:ascii="Times New Roman" w:hAnsi="Times New Roman" w:cs="Times New Roman" w:eastAsiaTheme="minorEastAsia"/>
          <w:caps w:val="0"/>
          <w:smallCaps w:val="0"/>
          <w:color w:val="000000"/>
          <w:sz w:val="24"/>
          <w:szCs w:val="24"/>
          <w:lang w:eastAsia="zh-CN"/>
        </w:rPr>
        <w:t>、初期雨水、船舶生活污水、船舶油污水</w:t>
      </w:r>
      <w:r>
        <w:rPr>
          <w:rFonts w:ascii="Times New Roman" w:hAnsi="Times New Roman" w:cs="Times New Roman" w:eastAsiaTheme="minorEastAsia"/>
          <w:caps w:val="0"/>
          <w:smallCaps w:val="0"/>
          <w:color w:val="000000"/>
          <w:sz w:val="24"/>
          <w:szCs w:val="24"/>
        </w:rPr>
        <w:t>经收集流入污水</w:t>
      </w:r>
      <w:r>
        <w:rPr>
          <w:rFonts w:hint="eastAsia" w:ascii="Times New Roman" w:hAnsi="Times New Roman" w:cs="Times New Roman" w:eastAsiaTheme="minorEastAsia"/>
          <w:caps w:val="0"/>
          <w:smallCaps w:val="0"/>
          <w:color w:val="000000"/>
          <w:sz w:val="24"/>
          <w:szCs w:val="24"/>
          <w:lang w:eastAsia="zh-CN"/>
        </w:rPr>
        <w:t>舱</w:t>
      </w:r>
      <w:r>
        <w:rPr>
          <w:rFonts w:ascii="Times New Roman" w:hAnsi="Times New Roman" w:cs="Times New Roman" w:eastAsiaTheme="minorEastAsia"/>
          <w:caps w:val="0"/>
          <w:smallCaps w:val="0"/>
          <w:color w:val="000000"/>
          <w:sz w:val="24"/>
          <w:szCs w:val="24"/>
        </w:rPr>
        <w:t>中，</w:t>
      </w:r>
      <w:r>
        <w:rPr>
          <w:rFonts w:hint="eastAsia" w:ascii="Times New Roman" w:hAnsi="Times New Roman" w:cs="Times New Roman" w:eastAsiaTheme="minorEastAsia"/>
          <w:caps w:val="0"/>
          <w:smallCaps w:val="0"/>
          <w:color w:val="000000"/>
          <w:sz w:val="24"/>
          <w:szCs w:val="24"/>
          <w:lang w:eastAsia="zh-CN"/>
        </w:rPr>
        <w:t>定期交还是环保收集船收集处理；</w:t>
      </w:r>
      <w:r>
        <w:rPr>
          <w:rFonts w:ascii="Times New Roman" w:hAnsi="Times New Roman" w:cs="Times New Roman" w:eastAsiaTheme="minorEastAsia"/>
          <w:caps w:val="0"/>
          <w:smallCaps w:val="0"/>
          <w:color w:val="000000"/>
          <w:sz w:val="24"/>
          <w:szCs w:val="24"/>
        </w:rPr>
        <w:t>码头部生</w:t>
      </w:r>
      <w:r>
        <w:rPr>
          <w:rFonts w:hint="eastAsia" w:ascii="Times New Roman" w:hAnsi="Times New Roman" w:cs="Times New Roman" w:eastAsiaTheme="minorEastAsia"/>
          <w:caps w:val="0"/>
          <w:smallCaps w:val="0"/>
          <w:color w:val="000000"/>
          <w:sz w:val="24"/>
          <w:szCs w:val="24"/>
        </w:rPr>
        <w:t>活</w:t>
      </w:r>
      <w:r>
        <w:rPr>
          <w:rFonts w:hint="eastAsia" w:ascii="Times New Roman" w:hAnsi="Times New Roman" w:cs="Times New Roman" w:eastAsiaTheme="minorEastAsia"/>
          <w:caps w:val="0"/>
          <w:smallCaps w:val="0"/>
          <w:color w:val="000000"/>
          <w:sz w:val="24"/>
          <w:szCs w:val="24"/>
          <w:lang w:eastAsia="zh-CN"/>
        </w:rPr>
        <w:t>污水送库区化粪池处理后，满足</w:t>
      </w:r>
      <w:r>
        <w:rPr>
          <w:rFonts w:ascii="Times New Roman" w:hAnsi="Times New Roman" w:cs="Times New Roman" w:eastAsiaTheme="minorEastAsia"/>
          <w:caps w:val="0"/>
          <w:smallCaps w:val="0"/>
          <w:color w:val="000000"/>
          <w:kern w:val="0"/>
        </w:rPr>
        <w:t>《污水综合排放标准》（GB8978-1996）</w:t>
      </w:r>
      <w:r>
        <w:rPr>
          <w:rFonts w:hint="eastAsia" w:ascii="Times New Roman" w:hAnsi="Times New Roman" w:cs="Times New Roman" w:eastAsiaTheme="minorEastAsia"/>
          <w:caps w:val="0"/>
          <w:smallCaps w:val="0"/>
          <w:color w:val="000000"/>
          <w:kern w:val="0"/>
          <w:lang w:eastAsia="zh-CN"/>
        </w:rPr>
        <w:t>三级</w:t>
      </w:r>
      <w:r>
        <w:rPr>
          <w:rFonts w:ascii="Times New Roman" w:hAnsi="Times New Roman" w:cs="Times New Roman" w:eastAsiaTheme="minorEastAsia"/>
          <w:caps w:val="0"/>
          <w:smallCaps w:val="0"/>
          <w:color w:val="000000"/>
          <w:sz w:val="24"/>
          <w:szCs w:val="24"/>
        </w:rPr>
        <w:t>排放标</w:t>
      </w:r>
      <w:r>
        <w:rPr>
          <w:rFonts w:hint="eastAsia" w:ascii="Times New Roman" w:hAnsi="Times New Roman" w:cs="Times New Roman" w:eastAsiaTheme="minorEastAsia"/>
          <w:caps w:val="0"/>
          <w:smallCaps w:val="0"/>
          <w:color w:val="000000"/>
          <w:sz w:val="24"/>
          <w:szCs w:val="24"/>
          <w:lang w:eastAsia="zh-CN"/>
        </w:rPr>
        <w:t>要求后，通过市政污水管网排入屈原管理区污水处理厂处理，</w:t>
      </w:r>
      <w:r>
        <w:rPr>
          <w:rFonts w:ascii="Times New Roman" w:hAnsi="Times New Roman" w:cs="Times New Roman" w:eastAsiaTheme="minorEastAsia"/>
          <w:caps w:val="0"/>
          <w:smallCaps w:val="0"/>
          <w:color w:val="000000"/>
          <w:sz w:val="24"/>
          <w:szCs w:val="24"/>
        </w:rPr>
        <w:t>具体见表2.</w:t>
      </w:r>
      <w:r>
        <w:rPr>
          <w:rFonts w:hint="eastAsia" w:cs="Times New Roman" w:eastAsiaTheme="minorEastAsia"/>
          <w:caps w:val="0"/>
          <w:smallCaps w:val="0"/>
          <w:color w:val="000000"/>
          <w:sz w:val="24"/>
          <w:szCs w:val="24"/>
          <w:lang w:val="en-US" w:eastAsia="zh-CN"/>
        </w:rPr>
        <w:t>5</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8</w:t>
      </w:r>
      <w:r>
        <w:rPr>
          <w:rFonts w:ascii="Times New Roman" w:hAnsi="Times New Roman" w:cs="Times New Roman" w:eastAsiaTheme="minorEastAsia"/>
          <w:caps w:val="0"/>
          <w:smallCaps w:val="0"/>
          <w:color w:val="000000"/>
          <w:sz w:val="24"/>
          <w:szCs w:val="24"/>
        </w:rPr>
        <w:t>。</w:t>
      </w:r>
    </w:p>
    <w:p>
      <w:pPr>
        <w:tabs>
          <w:tab w:val="left" w:pos="900"/>
        </w:tabs>
        <w:wordWrap/>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w:t>
      </w:r>
      <w:r>
        <w:rPr>
          <w:rFonts w:hint="eastAsia" w:ascii="Times New Roman" w:hAnsi="Times New Roman" w:cs="Times New Roman" w:eastAsiaTheme="minorEastAsia"/>
          <w:b/>
          <w:caps w:val="0"/>
          <w:smallCaps w:val="0"/>
          <w:color w:val="000000"/>
          <w:sz w:val="24"/>
          <w:szCs w:val="24"/>
        </w:rPr>
        <w:t>8</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b/>
          <w:caps w:val="0"/>
          <w:smallCaps w:val="0"/>
          <w:color w:val="000000"/>
          <w:sz w:val="24"/>
          <w:szCs w:val="24"/>
        </w:rPr>
        <w:t>《污水综合排放标准》</w:t>
      </w:r>
      <w:r>
        <w:rPr>
          <w:rFonts w:ascii="Times New Roman" w:hAnsi="Times New Roman" w:cs="Times New Roman" w:eastAsiaTheme="minorEastAsia"/>
          <w:caps w:val="0"/>
          <w:smallCaps w:val="0"/>
          <w:color w:val="000000"/>
          <w:sz w:val="24"/>
          <w:szCs w:val="24"/>
        </w:rPr>
        <w:t>单位：mg/L（pH无量纲）</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2654"/>
        <w:gridCol w:w="1119"/>
        <w:gridCol w:w="841"/>
        <w:gridCol w:w="839"/>
        <w:gridCol w:w="839"/>
        <w:gridCol w:w="839"/>
        <w:gridCol w:w="981"/>
        <w:gridCol w:w="98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8" w:hRule="atLeast"/>
          <w:tblHeader/>
          <w:jc w:val="center"/>
        </w:trPr>
        <w:tc>
          <w:tcPr>
            <w:tcW w:w="14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标准名称</w:t>
            </w:r>
          </w:p>
        </w:tc>
        <w:tc>
          <w:tcPr>
            <w:tcW w:w="61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执行级别</w:t>
            </w:r>
          </w:p>
        </w:tc>
        <w:tc>
          <w:tcPr>
            <w:tcW w:w="462"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pH</w:t>
            </w:r>
          </w:p>
        </w:tc>
        <w:tc>
          <w:tcPr>
            <w:tcW w:w="46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w:t>
            </w:r>
          </w:p>
        </w:tc>
        <w:tc>
          <w:tcPr>
            <w:tcW w:w="46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BOD5</w:t>
            </w:r>
          </w:p>
        </w:tc>
        <w:tc>
          <w:tcPr>
            <w:tcW w:w="46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w:t>
            </w:r>
          </w:p>
        </w:tc>
        <w:tc>
          <w:tcPr>
            <w:tcW w:w="53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石油类</w:t>
            </w:r>
          </w:p>
        </w:tc>
        <w:tc>
          <w:tcPr>
            <w:tcW w:w="5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NH3-N</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8" w:hRule="atLeast"/>
          <w:jc w:val="center"/>
        </w:trPr>
        <w:tc>
          <w:tcPr>
            <w:tcW w:w="14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《污水综合排放标准》（GB8978-1996）</w:t>
            </w:r>
          </w:p>
        </w:tc>
        <w:tc>
          <w:tcPr>
            <w:tcW w:w="61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三级</w:t>
            </w:r>
          </w:p>
        </w:tc>
        <w:tc>
          <w:tcPr>
            <w:tcW w:w="462"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6-9</w:t>
            </w:r>
          </w:p>
        </w:tc>
        <w:tc>
          <w:tcPr>
            <w:tcW w:w="46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w:t>
            </w:r>
          </w:p>
        </w:tc>
        <w:tc>
          <w:tcPr>
            <w:tcW w:w="46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300</w:t>
            </w:r>
          </w:p>
        </w:tc>
        <w:tc>
          <w:tcPr>
            <w:tcW w:w="46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500</w:t>
            </w:r>
          </w:p>
        </w:tc>
        <w:tc>
          <w:tcPr>
            <w:tcW w:w="53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w:t>
            </w:r>
          </w:p>
        </w:tc>
        <w:tc>
          <w:tcPr>
            <w:tcW w:w="5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w:t>
            </w:r>
          </w:p>
        </w:tc>
      </w:tr>
    </w:tbl>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2、废气</w:t>
      </w:r>
    </w:p>
    <w:p>
      <w:pPr>
        <w:adjustRightInd w:val="0"/>
        <w:snapToGrid w:val="0"/>
        <w:spacing w:line="360" w:lineRule="auto"/>
        <w:ind w:firstLine="480" w:firstLineChars="200"/>
        <w:rPr>
          <w:rFonts w:hint="eastAsia" w:ascii="Times New Roman" w:hAnsi="Times New Roman" w:cs="Times New Roman"/>
          <w:caps w:val="0"/>
          <w:smallCaps w:val="0"/>
          <w:color w:val="000000" w:themeColor="text1"/>
          <w:sz w:val="24"/>
          <w14:textFill>
            <w14:solidFill>
              <w14:schemeClr w14:val="tx1"/>
            </w14:solidFill>
          </w14:textFill>
        </w:rPr>
      </w:pPr>
      <w:r>
        <w:rPr>
          <w:rFonts w:hint="eastAsia" w:ascii="Times New Roman" w:hAnsi="Times New Roman" w:cs="Times New Roman"/>
          <w:caps w:val="0"/>
          <w:smallCaps w:val="0"/>
          <w:sz w:val="24"/>
        </w:rPr>
        <w:t>项目营期产生的主要大气污染物是加热沥青装卸时产生的废气</w:t>
      </w:r>
      <w:r>
        <w:rPr>
          <w:rFonts w:hint="eastAsia" w:ascii="Times New Roman" w:hAnsi="Times New Roman" w:cs="Times New Roman"/>
          <w:caps w:val="0"/>
          <w:smallCaps w:val="0"/>
          <w:sz w:val="24"/>
          <w:lang w:eastAsia="zh-CN"/>
        </w:rPr>
        <w:t>，主要是</w:t>
      </w:r>
      <w:r>
        <w:rPr>
          <w:rFonts w:hint="eastAsia" w:ascii="Times New Roman" w:hAnsi="Times New Roman" w:cs="Times New Roman"/>
          <w:caps w:val="0"/>
          <w:smallCaps w:val="0"/>
          <w:sz w:val="24"/>
          <w:lang w:val="en-US" w:eastAsia="zh-CN"/>
        </w:rPr>
        <w:t>VCOs（</w:t>
      </w:r>
      <w:r>
        <w:rPr>
          <w:rFonts w:hint="eastAsia" w:ascii="Times New Roman" w:hAnsi="Times New Roman" w:cs="Times New Roman"/>
          <w:caps w:val="0"/>
          <w:smallCaps w:val="0"/>
          <w:sz w:val="24"/>
        </w:rPr>
        <w:t>非甲烷总烃</w:t>
      </w:r>
      <w:r>
        <w:rPr>
          <w:rFonts w:hint="eastAsia" w:ascii="Times New Roman" w:hAnsi="Times New Roman" w:cs="Times New Roman"/>
          <w:caps w:val="0"/>
          <w:smallCaps w:val="0"/>
          <w:sz w:val="24"/>
          <w:lang w:val="en-US" w:eastAsia="zh-CN"/>
        </w:rPr>
        <w:t>）</w:t>
      </w:r>
      <w:r>
        <w:rPr>
          <w:rFonts w:hint="eastAsia" w:ascii="Times New Roman" w:hAnsi="Times New Roman" w:cs="Times New Roman"/>
          <w:caps w:val="0"/>
          <w:smallCaps w:val="0"/>
          <w:sz w:val="24"/>
          <w:lang w:eastAsia="zh-CN"/>
        </w:rPr>
        <w:t>，</w:t>
      </w:r>
      <w:r>
        <w:rPr>
          <w:rFonts w:hint="eastAsia" w:cs="Times New Roman"/>
          <w:caps w:val="0"/>
          <w:smallCaps w:val="0"/>
          <w:sz w:val="24"/>
          <w:lang w:eastAsia="zh-CN"/>
        </w:rPr>
        <w:t>沥青烟、苯并芘、</w:t>
      </w:r>
      <w:r>
        <w:rPr>
          <w:rFonts w:hint="eastAsia" w:ascii="Times New Roman" w:hAnsi="Times New Roman" w:cs="Times New Roman"/>
          <w:caps w:val="0"/>
          <w:smallCaps w:val="0"/>
          <w:sz w:val="24"/>
          <w:lang w:val="en-US" w:eastAsia="zh-CN"/>
        </w:rPr>
        <w:t>VCOs（</w:t>
      </w:r>
      <w:r>
        <w:rPr>
          <w:rFonts w:hint="eastAsia" w:ascii="Times New Roman" w:hAnsi="Times New Roman" w:cs="Times New Roman"/>
          <w:caps w:val="0"/>
          <w:smallCaps w:val="0"/>
          <w:sz w:val="24"/>
        </w:rPr>
        <w:t>非甲烷总烃</w:t>
      </w:r>
      <w:r>
        <w:rPr>
          <w:rFonts w:hint="eastAsia" w:ascii="Times New Roman" w:hAnsi="Times New Roman" w:cs="Times New Roman"/>
          <w:caps w:val="0"/>
          <w:smallCaps w:val="0"/>
          <w:sz w:val="24"/>
          <w:lang w:val="en-US" w:eastAsia="zh-CN"/>
        </w:rPr>
        <w:t>）</w:t>
      </w:r>
      <w:r>
        <w:rPr>
          <w:rFonts w:hint="eastAsia" w:ascii="Times New Roman" w:hAnsi="Times New Roman" w:cs="Times New Roman"/>
          <w:caps w:val="0"/>
          <w:smallCaps w:val="0"/>
          <w:sz w:val="24"/>
        </w:rPr>
        <w:t>执行《大气污染物综合排放标准》（GB16297-1996）表2中的新污染源无组织排放厂界监控浓度限值</w:t>
      </w:r>
      <w:r>
        <w:rPr>
          <w:rFonts w:hint="eastAsia" w:ascii="Times New Roman" w:hAnsi="Times New Roman" w:cs="Times New Roman"/>
          <w:b w:val="0"/>
          <w:bCs/>
          <w:caps w:val="0"/>
          <w:smallCaps w:val="0"/>
          <w:color w:val="auto"/>
          <w:sz w:val="24"/>
          <w:u w:val="none"/>
          <w:lang w:eastAsia="zh-CN"/>
        </w:rPr>
        <w:t>，厂区内非甲烷总烃无组织排放执行《挥发性有机物无组织排放控制标准》（GB37822-2019）中表A1厂区内非甲烷总烃无组织排放限值，船舶尾气执行《船舶发动机排气污染物排放限</w:t>
      </w:r>
      <w:r>
        <w:rPr>
          <w:rFonts w:hint="eastAsia" w:ascii="Times New Roman" w:hAnsi="Times New Roman" w:cs="Times New Roman"/>
          <w:caps w:val="0"/>
          <w:smallCaps w:val="0"/>
          <w:sz w:val="24"/>
        </w:rPr>
        <w:t>值及测量方法（中国第一、二阶段）》（GB15097-2016）</w:t>
      </w:r>
      <w:r>
        <w:rPr>
          <w:rFonts w:hint="eastAsia" w:ascii="Times New Roman" w:hAnsi="Times New Roman" w:cs="Times New Roman"/>
          <w:caps w:val="0"/>
          <w:smallCaps w:val="0"/>
          <w:color w:val="000000" w:themeColor="text1"/>
          <w:sz w:val="24"/>
          <w14:textFill>
            <w14:solidFill>
              <w14:schemeClr w14:val="tx1"/>
            </w14:solidFill>
          </w14:textFill>
        </w:rPr>
        <w:t>标准</w:t>
      </w:r>
      <w:r>
        <w:rPr>
          <w:rFonts w:hint="eastAsia" w:cs="Times New Roman"/>
          <w:caps w:val="0"/>
          <w:smallCaps w:val="0"/>
          <w:color w:val="000000" w:themeColor="text1"/>
          <w:sz w:val="24"/>
          <w:lang w:eastAsia="zh-CN"/>
          <w14:textFill>
            <w14:solidFill>
              <w14:schemeClr w14:val="tx1"/>
            </w14:solidFill>
          </w14:textFill>
        </w:rPr>
        <w:t>，疏浚底泥恶臭执行《恶臭污染物排放标准》（</w:t>
      </w:r>
      <w:r>
        <w:rPr>
          <w:rFonts w:hint="eastAsia" w:cs="Times New Roman"/>
          <w:caps w:val="0"/>
          <w:smallCaps w:val="0"/>
          <w:color w:val="000000" w:themeColor="text1"/>
          <w:sz w:val="24"/>
          <w:lang w:val="en-US" w:eastAsia="zh-CN"/>
          <w14:textFill>
            <w14:solidFill>
              <w14:schemeClr w14:val="tx1"/>
            </w14:solidFill>
          </w14:textFill>
        </w:rPr>
        <w:t>GB14554-93</w:t>
      </w:r>
      <w:r>
        <w:rPr>
          <w:rFonts w:hint="eastAsia" w:cs="Times New Roman"/>
          <w:caps w:val="0"/>
          <w:smallCaps w:val="0"/>
          <w:color w:val="000000" w:themeColor="text1"/>
          <w:sz w:val="24"/>
          <w:lang w:eastAsia="zh-CN"/>
          <w14:textFill>
            <w14:solidFill>
              <w14:schemeClr w14:val="tx1"/>
            </w14:solidFill>
          </w14:textFill>
        </w:rPr>
        <w:t>），</w:t>
      </w:r>
      <w:r>
        <w:rPr>
          <w:rFonts w:hint="eastAsia" w:ascii="Times New Roman" w:hAnsi="Times New Roman" w:cs="Times New Roman"/>
          <w:caps w:val="0"/>
          <w:smallCaps w:val="0"/>
          <w:color w:val="000000" w:themeColor="text1"/>
          <w:sz w:val="24"/>
          <w14:textFill>
            <w14:solidFill>
              <w14:schemeClr w14:val="tx1"/>
            </w14:solidFill>
          </w14:textFill>
        </w:rPr>
        <w:t>详见表2.</w:t>
      </w:r>
      <w:r>
        <w:rPr>
          <w:rFonts w:hint="eastAsia" w:cs="Times New Roman"/>
          <w:caps w:val="0"/>
          <w:smallCaps w:val="0"/>
          <w:color w:val="000000" w:themeColor="text1"/>
          <w:sz w:val="24"/>
          <w:lang w:val="en-US" w:eastAsia="zh-CN"/>
          <w14:textFill>
            <w14:solidFill>
              <w14:schemeClr w14:val="tx1"/>
            </w14:solidFill>
          </w14:textFill>
        </w:rPr>
        <w:t>5</w:t>
      </w:r>
      <w:r>
        <w:rPr>
          <w:rFonts w:hint="eastAsia" w:ascii="Times New Roman" w:hAnsi="Times New Roman" w:cs="Times New Roman"/>
          <w:caps w:val="0"/>
          <w:smallCaps w:val="0"/>
          <w:color w:val="000000" w:themeColor="text1"/>
          <w:sz w:val="24"/>
          <w14:textFill>
            <w14:solidFill>
              <w14:schemeClr w14:val="tx1"/>
            </w14:solidFill>
          </w14:textFill>
        </w:rPr>
        <w:t>-9。</w:t>
      </w:r>
    </w:p>
    <w:p>
      <w:pPr>
        <w:tabs>
          <w:tab w:val="left" w:pos="900"/>
        </w:tabs>
        <w:snapToGrid w:val="0"/>
        <w:spacing w:line="276"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表2.</w:t>
      </w:r>
      <w:r>
        <w:rPr>
          <w:rFonts w:hint="eastAsia" w:cs="Times New Roman" w:eastAsiaTheme="minorEastAsia"/>
          <w:b/>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9</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项目</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大气污染物</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排放限值一览表</w:t>
      </w:r>
    </w:p>
    <w:tbl>
      <w:tblPr>
        <w:tblStyle w:val="71"/>
        <w:tblW w:w="5332"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237"/>
        <w:gridCol w:w="2117"/>
        <w:gridCol w:w="1536"/>
        <w:gridCol w:w="2097"/>
        <w:gridCol w:w="1390"/>
        <w:gridCol w:w="1327"/>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blHeader/>
          <w:jc w:val="center"/>
        </w:trPr>
        <w:tc>
          <w:tcPr>
            <w:tcW w:w="63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污染物名称</w:t>
            </w:r>
          </w:p>
        </w:tc>
        <w:tc>
          <w:tcPr>
            <w:tcW w:w="1090"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标准</w:t>
            </w:r>
          </w:p>
        </w:tc>
        <w:tc>
          <w:tcPr>
            <w:tcW w:w="791"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排放方式</w:t>
            </w:r>
          </w:p>
        </w:tc>
        <w:tc>
          <w:tcPr>
            <w:tcW w:w="108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排放限值mg/m</w:t>
            </w:r>
            <w:r>
              <w:rPr>
                <w:rFonts w:ascii="Times New Roman" w:hAnsi="Times New Roman" w:cs="Times New Roman"/>
                <w:caps w:val="0"/>
                <w:smallCaps w:val="0"/>
                <w:vertAlign w:val="superscript"/>
              </w:rPr>
              <w:t>3</w:t>
            </w:r>
          </w:p>
        </w:tc>
        <w:tc>
          <w:tcPr>
            <w:tcW w:w="716"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排放速率kg/h</w:t>
            </w:r>
          </w:p>
        </w:tc>
        <w:tc>
          <w:tcPr>
            <w:tcW w:w="68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限值含义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10" w:hRule="atLeast"/>
          <w:jc w:val="center"/>
        </w:trPr>
        <w:tc>
          <w:tcPr>
            <w:tcW w:w="63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非甲烷总烃</w:t>
            </w:r>
          </w:p>
        </w:tc>
        <w:tc>
          <w:tcPr>
            <w:tcW w:w="1090" w:type="pct"/>
            <w:vMerge w:val="restar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《大气污染物综合排放标准》（GB16297-1996）</w:t>
            </w:r>
          </w:p>
        </w:tc>
        <w:tc>
          <w:tcPr>
            <w:tcW w:w="791" w:type="pct"/>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rPr>
              <w:t>无组织</w:t>
            </w:r>
          </w:p>
        </w:tc>
        <w:tc>
          <w:tcPr>
            <w:tcW w:w="1080" w:type="pct"/>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rPr>
              <w:t>4.0</w:t>
            </w:r>
          </w:p>
        </w:tc>
        <w:tc>
          <w:tcPr>
            <w:tcW w:w="716" w:type="pct"/>
            <w:vMerge w:val="restar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rPr>
              <w:t>/</w:t>
            </w:r>
          </w:p>
        </w:tc>
        <w:tc>
          <w:tcPr>
            <w:tcW w:w="683" w:type="pct"/>
            <w:vMerge w:val="restart"/>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rPr>
              <w:t>厂界</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10" w:hRule="atLeast"/>
          <w:jc w:val="center"/>
        </w:trPr>
        <w:tc>
          <w:tcPr>
            <w:tcW w:w="637" w:type="pct"/>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沥青烟</w:t>
            </w:r>
          </w:p>
        </w:tc>
        <w:tc>
          <w:tcPr>
            <w:tcW w:w="1090" w:type="pct"/>
            <w:vMerge w:val="continue"/>
            <w:vAlign w:val="center"/>
          </w:tcPr>
          <w:p>
            <w:pPr>
              <w:pStyle w:val="117"/>
              <w:bidi w:val="0"/>
              <w:rPr>
                <w:rFonts w:hint="eastAsia" w:ascii="Times New Roman" w:hAnsi="Times New Roman" w:cs="Times New Roman"/>
                <w:caps w:val="0"/>
                <w:smallCaps w:val="0"/>
              </w:rPr>
            </w:pPr>
          </w:p>
        </w:tc>
        <w:tc>
          <w:tcPr>
            <w:tcW w:w="791" w:type="pct"/>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无组织</w:t>
            </w:r>
          </w:p>
        </w:tc>
        <w:tc>
          <w:tcPr>
            <w:tcW w:w="1080" w:type="pct"/>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生产设备不得有明显的无组织排放存在</w:t>
            </w:r>
          </w:p>
        </w:tc>
        <w:tc>
          <w:tcPr>
            <w:tcW w:w="716" w:type="pct"/>
            <w:vMerge w:val="continue"/>
            <w:vAlign w:val="center"/>
          </w:tcPr>
          <w:p>
            <w:pPr>
              <w:pStyle w:val="117"/>
              <w:bidi w:val="0"/>
              <w:rPr>
                <w:rFonts w:hint="eastAsia" w:ascii="Times New Roman" w:hAnsi="Times New Roman" w:cs="Times New Roman"/>
                <w:caps w:val="0"/>
                <w:smallCaps w:val="0"/>
              </w:rPr>
            </w:pPr>
          </w:p>
        </w:tc>
        <w:tc>
          <w:tcPr>
            <w:tcW w:w="683" w:type="pct"/>
            <w:vMerge w:val="continue"/>
            <w:vAlign w:val="center"/>
          </w:tcPr>
          <w:p>
            <w:pPr>
              <w:pStyle w:val="117"/>
              <w:bidi w:val="0"/>
              <w:rPr>
                <w:rFonts w:hint="eastAsia" w:ascii="Times New Roman" w:hAnsi="Times New Roman" w:cs="Times New Roman"/>
                <w:caps w:val="0"/>
                <w:smallCaps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110" w:hRule="atLeast"/>
          <w:jc w:val="center"/>
        </w:trPr>
        <w:tc>
          <w:tcPr>
            <w:tcW w:w="637" w:type="pct"/>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苯并芘</w:t>
            </w:r>
          </w:p>
        </w:tc>
        <w:tc>
          <w:tcPr>
            <w:tcW w:w="1090" w:type="pct"/>
            <w:vMerge w:val="continue"/>
            <w:vAlign w:val="center"/>
          </w:tcPr>
          <w:p>
            <w:pPr>
              <w:pStyle w:val="117"/>
              <w:bidi w:val="0"/>
              <w:rPr>
                <w:rFonts w:hint="eastAsia" w:ascii="Times New Roman" w:hAnsi="Times New Roman" w:cs="Times New Roman"/>
                <w:caps w:val="0"/>
                <w:smallCaps w:val="0"/>
              </w:rPr>
            </w:pPr>
          </w:p>
        </w:tc>
        <w:tc>
          <w:tcPr>
            <w:tcW w:w="791" w:type="pct"/>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无组织</w:t>
            </w:r>
          </w:p>
        </w:tc>
        <w:tc>
          <w:tcPr>
            <w:tcW w:w="1080" w:type="pct"/>
            <w:vAlign w:val="center"/>
          </w:tcPr>
          <w:p>
            <w:pPr>
              <w:pStyle w:val="117"/>
              <w:bidi w:val="0"/>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0.000008</w:t>
            </w:r>
          </w:p>
        </w:tc>
        <w:tc>
          <w:tcPr>
            <w:tcW w:w="716" w:type="pct"/>
            <w:vMerge w:val="continue"/>
            <w:vAlign w:val="center"/>
          </w:tcPr>
          <w:p>
            <w:pPr>
              <w:pStyle w:val="117"/>
              <w:bidi w:val="0"/>
              <w:rPr>
                <w:rFonts w:hint="eastAsia" w:ascii="Times New Roman" w:hAnsi="Times New Roman" w:cs="Times New Roman"/>
                <w:caps w:val="0"/>
                <w:smallCaps w:val="0"/>
              </w:rPr>
            </w:pPr>
          </w:p>
        </w:tc>
        <w:tc>
          <w:tcPr>
            <w:tcW w:w="683" w:type="pct"/>
            <w:vMerge w:val="continue"/>
            <w:vAlign w:val="center"/>
          </w:tcPr>
          <w:p>
            <w:pPr>
              <w:pStyle w:val="117"/>
              <w:bidi w:val="0"/>
              <w:rPr>
                <w:rFonts w:hint="eastAsia" w:ascii="Times New Roman" w:hAnsi="Times New Roman" w:cs="Times New Roman"/>
                <w:caps w:val="0"/>
                <w:smallCaps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37" w:type="pct"/>
            <w:vMerge w:val="restart"/>
            <w:vAlign w:val="center"/>
          </w:tcPr>
          <w:p>
            <w:pPr>
              <w:pStyle w:val="117"/>
              <w:bidi w:val="0"/>
              <w:rPr>
                <w:rFonts w:hint="default" w:ascii="Times New Roman" w:hAnsi="Times New Roman" w:cs="Times New Roman"/>
                <w:caps w:val="0"/>
                <w:smallCaps w:val="0"/>
              </w:rPr>
            </w:pPr>
            <w:r>
              <w:rPr>
                <w:rFonts w:hint="eastAsia" w:ascii="Times New Roman" w:hAnsi="Times New Roman" w:cs="Times New Roman"/>
                <w:caps w:val="0"/>
                <w:smallCaps w:val="0"/>
              </w:rPr>
              <w:t>非甲烷总烃</w:t>
            </w:r>
          </w:p>
        </w:tc>
        <w:tc>
          <w:tcPr>
            <w:tcW w:w="1090" w:type="pct"/>
            <w:vMerge w:val="restart"/>
            <w:vAlign w:val="center"/>
          </w:tcPr>
          <w:p>
            <w:pPr>
              <w:pStyle w:val="117"/>
              <w:bidi w:val="0"/>
              <w:rPr>
                <w:rFonts w:hint="default" w:ascii="Times New Roman" w:hAnsi="Times New Roman" w:cs="Times New Roman"/>
                <w:caps w:val="0"/>
                <w:smallCaps w:val="0"/>
                <w:lang w:eastAsia="zh-CN"/>
              </w:rPr>
            </w:pPr>
            <w:r>
              <w:rPr>
                <w:rFonts w:hint="eastAsia" w:ascii="Times New Roman" w:hAnsi="Times New Roman" w:cs="Times New Roman"/>
                <w:caps w:val="0"/>
                <w:smallCaps w:val="0"/>
                <w:lang w:eastAsia="zh-CN"/>
              </w:rPr>
              <w:t>《挥发性有机物无组织排放控制标准》（GB37822-2019）</w:t>
            </w:r>
          </w:p>
        </w:tc>
        <w:tc>
          <w:tcPr>
            <w:tcW w:w="791" w:type="pct"/>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eastAsia="zh-CN"/>
              </w:rPr>
              <w:t>无组织</w:t>
            </w:r>
          </w:p>
        </w:tc>
        <w:tc>
          <w:tcPr>
            <w:tcW w:w="1080"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10</w:t>
            </w:r>
          </w:p>
        </w:tc>
        <w:tc>
          <w:tcPr>
            <w:tcW w:w="716"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w:t>
            </w:r>
          </w:p>
        </w:tc>
        <w:tc>
          <w:tcPr>
            <w:tcW w:w="683"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监控点处1h平均浓度限值</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37" w:type="pct"/>
            <w:vMerge w:val="continue"/>
            <w:vAlign w:val="center"/>
          </w:tcPr>
          <w:p>
            <w:pPr>
              <w:pStyle w:val="117"/>
              <w:bidi w:val="0"/>
              <w:rPr>
                <w:rFonts w:hint="default" w:ascii="Times New Roman" w:hAnsi="Times New Roman" w:cs="Times New Roman"/>
                <w:caps w:val="0"/>
                <w:smallCaps w:val="0"/>
              </w:rPr>
            </w:pPr>
          </w:p>
        </w:tc>
        <w:tc>
          <w:tcPr>
            <w:tcW w:w="1090" w:type="pct"/>
            <w:vMerge w:val="continue"/>
            <w:vAlign w:val="center"/>
          </w:tcPr>
          <w:p>
            <w:pPr>
              <w:pStyle w:val="117"/>
              <w:bidi w:val="0"/>
              <w:rPr>
                <w:rFonts w:hint="default" w:ascii="Times New Roman" w:hAnsi="Times New Roman" w:cs="Times New Roman"/>
                <w:caps w:val="0"/>
                <w:smallCaps w:val="0"/>
                <w:lang w:eastAsia="zh-CN"/>
              </w:rPr>
            </w:pPr>
          </w:p>
        </w:tc>
        <w:tc>
          <w:tcPr>
            <w:tcW w:w="791" w:type="pct"/>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eastAsia="zh-CN"/>
              </w:rPr>
              <w:t>无组织</w:t>
            </w:r>
          </w:p>
        </w:tc>
        <w:tc>
          <w:tcPr>
            <w:tcW w:w="1080"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30</w:t>
            </w:r>
          </w:p>
        </w:tc>
        <w:tc>
          <w:tcPr>
            <w:tcW w:w="716"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w:t>
            </w:r>
          </w:p>
        </w:tc>
        <w:tc>
          <w:tcPr>
            <w:tcW w:w="683"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监控点处任意一次浓度限值</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637" w:type="pct"/>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臭气浓度</w:t>
            </w:r>
          </w:p>
        </w:tc>
        <w:tc>
          <w:tcPr>
            <w:tcW w:w="1090" w:type="pct"/>
            <w:vAlign w:val="center"/>
          </w:tcPr>
          <w:p>
            <w:pPr>
              <w:pStyle w:val="117"/>
              <w:bidi w:val="0"/>
              <w:rPr>
                <w:rFonts w:hint="default" w:ascii="Times New Roman" w:hAnsi="Times New Roman" w:cs="Times New Roman"/>
                <w:caps w:val="0"/>
                <w:smallCaps w:val="0"/>
                <w:u w:val="single"/>
                <w:lang w:eastAsia="zh-CN"/>
              </w:rPr>
            </w:pPr>
            <w:r>
              <w:rPr>
                <w:rFonts w:hint="default" w:ascii="Times New Roman" w:hAnsi="Times New Roman" w:cs="Times New Roman"/>
                <w:caps w:val="0"/>
                <w:smallCaps w:val="0"/>
                <w:u w:val="single"/>
                <w:lang w:eastAsia="zh-CN"/>
              </w:rPr>
              <w:t>《恶臭污染物排放标准》（</w:t>
            </w:r>
            <w:r>
              <w:rPr>
                <w:rFonts w:hint="default" w:ascii="Times New Roman" w:hAnsi="Times New Roman" w:cs="Times New Roman"/>
                <w:caps w:val="0"/>
                <w:smallCaps w:val="0"/>
                <w:u w:val="single"/>
                <w:lang w:val="en-US" w:eastAsia="zh-CN"/>
              </w:rPr>
              <w:t>GB14554-93</w:t>
            </w:r>
            <w:r>
              <w:rPr>
                <w:rFonts w:hint="default" w:ascii="Times New Roman" w:hAnsi="Times New Roman" w:cs="Times New Roman"/>
                <w:caps w:val="0"/>
                <w:smallCaps w:val="0"/>
                <w:u w:val="single"/>
                <w:lang w:eastAsia="zh-CN"/>
              </w:rPr>
              <w:t>）</w:t>
            </w:r>
          </w:p>
        </w:tc>
        <w:tc>
          <w:tcPr>
            <w:tcW w:w="791" w:type="pct"/>
            <w:vAlign w:val="center"/>
          </w:tcPr>
          <w:p>
            <w:pPr>
              <w:pStyle w:val="117"/>
              <w:bidi w:val="0"/>
              <w:rPr>
                <w:rFonts w:hint="eastAsia" w:ascii="Times New Roman" w:hAnsi="Times New Roman" w:cs="Times New Roman"/>
                <w:caps w:val="0"/>
                <w:smallCaps w:val="0"/>
                <w:u w:val="single"/>
                <w:lang w:eastAsia="zh-CN"/>
              </w:rPr>
            </w:pPr>
            <w:r>
              <w:rPr>
                <w:rFonts w:hint="eastAsia" w:ascii="Times New Roman" w:hAnsi="Times New Roman" w:cs="Times New Roman"/>
                <w:caps w:val="0"/>
                <w:smallCaps w:val="0"/>
                <w:u w:val="single"/>
                <w:lang w:eastAsia="zh-CN"/>
              </w:rPr>
              <w:t>无组织</w:t>
            </w:r>
          </w:p>
        </w:tc>
        <w:tc>
          <w:tcPr>
            <w:tcW w:w="1080" w:type="pct"/>
            <w:vAlign w:val="center"/>
          </w:tcPr>
          <w:p>
            <w:pPr>
              <w:pStyle w:val="117"/>
              <w:bidi w:val="0"/>
              <w:rPr>
                <w:rFonts w:hint="default"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20</w:t>
            </w:r>
          </w:p>
        </w:tc>
        <w:tc>
          <w:tcPr>
            <w:tcW w:w="716" w:type="pct"/>
            <w:vAlign w:val="center"/>
          </w:tcPr>
          <w:p>
            <w:pPr>
              <w:pStyle w:val="117"/>
              <w:bidi w:val="0"/>
              <w:rPr>
                <w:rFonts w:hint="default"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w:t>
            </w:r>
          </w:p>
        </w:tc>
        <w:tc>
          <w:tcPr>
            <w:tcW w:w="683" w:type="pct"/>
            <w:vAlign w:val="center"/>
          </w:tcPr>
          <w:p>
            <w:pPr>
              <w:pStyle w:val="117"/>
              <w:bidi w:val="0"/>
              <w:rPr>
                <w:rFonts w:hint="eastAsia" w:ascii="Times New Roman" w:hAnsi="Times New Roman" w:cs="Times New Roman"/>
                <w:caps w:val="0"/>
                <w:smallCaps w:val="0"/>
                <w:u w:val="single"/>
                <w:lang w:eastAsia="zh-CN"/>
              </w:rPr>
            </w:pPr>
            <w:r>
              <w:rPr>
                <w:rFonts w:hint="eastAsia" w:ascii="Times New Roman" w:hAnsi="Times New Roman" w:cs="Times New Roman"/>
                <w:caps w:val="0"/>
                <w:smallCaps w:val="0"/>
                <w:u w:val="single"/>
                <w:lang w:eastAsia="zh-CN"/>
              </w:rPr>
              <w:t>厂界</w:t>
            </w:r>
          </w:p>
        </w:tc>
      </w:tr>
    </w:tbl>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3、噪声</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营运期项目靠近长江侧边界噪声排放标准执行《工业企业厂界环境噪声排放标准》（GB12348-2008）4类标准，其他厂界执行2类标准，具体见表2.6-1</w:t>
      </w:r>
      <w:r>
        <w:rPr>
          <w:rFonts w:hint="eastAsia" w:ascii="Times New Roman" w:hAnsi="Times New Roman" w:cs="Times New Roman" w:eastAsiaTheme="minorEastAsia"/>
          <w:caps w:val="0"/>
          <w:smallCaps w:val="0"/>
          <w:color w:val="000000"/>
          <w:sz w:val="24"/>
          <w:szCs w:val="24"/>
        </w:rPr>
        <w:t>0</w:t>
      </w:r>
      <w:r>
        <w:rPr>
          <w:rFonts w:ascii="Times New Roman" w:hAnsi="Times New Roman" w:cs="Times New Roman" w:eastAsiaTheme="minorEastAsia"/>
          <w:caps w:val="0"/>
          <w:smallCaps w:val="0"/>
          <w:color w:val="000000"/>
          <w:sz w:val="24"/>
          <w:szCs w:val="24"/>
        </w:rPr>
        <w:t>；施工期执行《建筑施工场界环境噪声排放标准》（GB12523-2011）的标准，具体见表2.</w:t>
      </w:r>
      <w:r>
        <w:rPr>
          <w:rFonts w:hint="eastAsia" w:cs="Times New Roman" w:eastAsiaTheme="minorEastAsia"/>
          <w:caps w:val="0"/>
          <w:smallCaps w:val="0"/>
          <w:color w:val="000000"/>
          <w:sz w:val="24"/>
          <w:szCs w:val="24"/>
          <w:lang w:val="en-US" w:eastAsia="zh-CN"/>
        </w:rPr>
        <w:t>5</w:t>
      </w:r>
      <w:r>
        <w:rPr>
          <w:rFonts w:ascii="Times New Roman" w:hAnsi="Times New Roman" w:cs="Times New Roman" w:eastAsiaTheme="minorEastAsia"/>
          <w:caps w:val="0"/>
          <w:smallCaps w:val="0"/>
          <w:color w:val="000000"/>
          <w:sz w:val="24"/>
          <w:szCs w:val="24"/>
        </w:rPr>
        <w:t>-1</w:t>
      </w:r>
      <w:r>
        <w:rPr>
          <w:rFonts w:hint="eastAsia" w:ascii="Times New Roman" w:hAnsi="Times New Roman" w:cs="Times New Roman" w:eastAsiaTheme="minorEastAsia"/>
          <w:caps w:val="0"/>
          <w:smallCaps w:val="0"/>
          <w:color w:val="000000"/>
          <w:sz w:val="24"/>
          <w:szCs w:val="24"/>
        </w:rPr>
        <w:t>1</w:t>
      </w:r>
      <w:r>
        <w:rPr>
          <w:rFonts w:ascii="Times New Roman" w:hAnsi="Times New Roman" w:cs="Times New Roman" w:eastAsiaTheme="minorEastAsia"/>
          <w:caps w:val="0"/>
          <w:smallCaps w:val="0"/>
          <w:color w:val="000000"/>
          <w:sz w:val="24"/>
          <w:szCs w:val="24"/>
        </w:rPr>
        <w:t>。</w:t>
      </w:r>
    </w:p>
    <w:p>
      <w:pPr>
        <w:tabs>
          <w:tab w:val="left" w:pos="900"/>
        </w:tabs>
        <w:wordWrap/>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-1</w:t>
      </w:r>
      <w:r>
        <w:rPr>
          <w:rFonts w:hint="eastAsia" w:ascii="Times New Roman" w:hAnsi="Times New Roman" w:cs="Times New Roman" w:eastAsiaTheme="minorEastAsia"/>
          <w:b/>
          <w:caps w:val="0"/>
          <w:smallCaps w:val="0"/>
          <w:color w:val="000000"/>
          <w:sz w:val="24"/>
          <w:szCs w:val="24"/>
        </w:rPr>
        <w:t>0</w:t>
      </w:r>
      <w:r>
        <w:rPr>
          <w:rFonts w:ascii="Times New Roman" w:hAnsi="Times New Roman" w:cs="Times New Roman" w:eastAsiaTheme="minorEastAsia"/>
          <w:b/>
          <w:caps w:val="0"/>
          <w:smallCaps w:val="0"/>
          <w:color w:val="000000"/>
          <w:sz w:val="24"/>
          <w:szCs w:val="24"/>
        </w:rPr>
        <w:t>工业企业厂界环境噪声排放标准</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caps w:val="0"/>
          <w:smallCaps w:val="0"/>
          <w:color w:val="000000"/>
          <w:sz w:val="24"/>
          <w:szCs w:val="24"/>
        </w:rPr>
        <w:t>单位dB(A)</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3038"/>
        <w:gridCol w:w="3034"/>
        <w:gridCol w:w="302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tblHeader/>
          <w:jc w:val="center"/>
        </w:trPr>
        <w:tc>
          <w:tcPr>
            <w:tcW w:w="166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类别</w:t>
            </w:r>
          </w:p>
        </w:tc>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昼间</w:t>
            </w:r>
          </w:p>
        </w:tc>
        <w:tc>
          <w:tcPr>
            <w:tcW w:w="166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夜间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66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2类</w:t>
            </w:r>
          </w:p>
        </w:tc>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60</w:t>
            </w:r>
          </w:p>
        </w:tc>
        <w:tc>
          <w:tcPr>
            <w:tcW w:w="166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66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4类</w:t>
            </w:r>
          </w:p>
        </w:tc>
        <w:tc>
          <w:tcPr>
            <w:tcW w:w="166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w:t>
            </w:r>
          </w:p>
        </w:tc>
        <w:tc>
          <w:tcPr>
            <w:tcW w:w="1664" w:type="pct"/>
            <w:vAlign w:val="center"/>
          </w:tcPr>
          <w:p>
            <w:pPr>
              <w:pStyle w:val="117"/>
              <w:bidi w:val="0"/>
              <w:rPr>
                <w:rFonts w:hint="eastAsia" w:ascii="Times New Roman" w:hAnsi="Times New Roman" w:cs="Times New Roman"/>
                <w:caps w:val="0"/>
                <w:smallCaps w:val="0"/>
                <w:lang w:eastAsia="zh-CN"/>
              </w:rPr>
            </w:pPr>
            <w:r>
              <w:rPr>
                <w:rFonts w:ascii="Times New Roman" w:hAnsi="Times New Roman" w:cs="Times New Roman"/>
                <w:caps w:val="0"/>
                <w:smallCaps w:val="0"/>
              </w:rPr>
              <w:t>5</w:t>
            </w:r>
            <w:r>
              <w:rPr>
                <w:rFonts w:hint="eastAsia" w:ascii="Times New Roman" w:hAnsi="Times New Roman" w:cs="Times New Roman"/>
                <w:caps w:val="0"/>
                <w:smallCaps w:val="0"/>
                <w:lang w:val="en-US" w:eastAsia="zh-CN"/>
              </w:rPr>
              <w:t>5</w:t>
            </w:r>
          </w:p>
        </w:tc>
      </w:tr>
    </w:tbl>
    <w:p>
      <w:pPr>
        <w:tabs>
          <w:tab w:val="left" w:pos="900"/>
        </w:tabs>
        <w:wordWrap/>
        <w:snapToGrid w:val="0"/>
        <w:spacing w:line="276" w:lineRule="auto"/>
        <w:jc w:val="center"/>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-1</w:t>
      </w:r>
      <w:r>
        <w:rPr>
          <w:rFonts w:hint="eastAsia" w:ascii="Times New Roman" w:hAnsi="Times New Roman" w:cs="Times New Roman" w:eastAsiaTheme="minorEastAsia"/>
          <w:b/>
          <w:caps w:val="0"/>
          <w:smallCaps w:val="0"/>
          <w:color w:val="000000"/>
          <w:sz w:val="24"/>
          <w:szCs w:val="24"/>
        </w:rPr>
        <w:t>1</w:t>
      </w:r>
      <w:r>
        <w:rPr>
          <w:rFonts w:ascii="Times New Roman" w:hAnsi="Times New Roman" w:cs="Times New Roman" w:eastAsiaTheme="minorEastAsia"/>
          <w:b/>
          <w:caps w:val="0"/>
          <w:smallCaps w:val="0"/>
          <w:color w:val="000000"/>
          <w:sz w:val="24"/>
          <w:szCs w:val="24"/>
        </w:rPr>
        <w:t>建筑施工场界噪声限值标准</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caps w:val="0"/>
          <w:smallCaps w:val="0"/>
          <w:color w:val="000000"/>
          <w:sz w:val="24"/>
          <w:szCs w:val="24"/>
        </w:rPr>
        <w:t>单位dB(A)</w:t>
      </w:r>
    </w:p>
    <w:tbl>
      <w:tblPr>
        <w:tblStyle w:val="72"/>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4552"/>
        <w:gridCol w:w="454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0" w:type="pct"/>
            <w:gridSpan w:val="2"/>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噪声限值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50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昼间</w:t>
            </w:r>
          </w:p>
        </w:tc>
        <w:tc>
          <w:tcPr>
            <w:tcW w:w="249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夜间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50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w:t>
            </w:r>
          </w:p>
        </w:tc>
        <w:tc>
          <w:tcPr>
            <w:tcW w:w="249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55</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4、固体废物</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船舶垃圾：执行《船舶水污染物排放标准》（GB3552-2018），具体见表2.</w:t>
      </w:r>
      <w:r>
        <w:rPr>
          <w:rFonts w:hint="eastAsia" w:cs="Times New Roman" w:eastAsiaTheme="minorEastAsia"/>
          <w:caps w:val="0"/>
          <w:smallCaps w:val="0"/>
          <w:color w:val="000000"/>
          <w:sz w:val="24"/>
          <w:szCs w:val="24"/>
          <w:lang w:val="en-US" w:eastAsia="zh-CN"/>
        </w:rPr>
        <w:t>5</w:t>
      </w:r>
      <w:r>
        <w:rPr>
          <w:rFonts w:ascii="Times New Roman" w:hAnsi="Times New Roman" w:cs="Times New Roman" w:eastAsiaTheme="minorEastAsia"/>
          <w:caps w:val="0"/>
          <w:smallCaps w:val="0"/>
          <w:color w:val="000000"/>
          <w:sz w:val="24"/>
          <w:szCs w:val="24"/>
        </w:rPr>
        <w:t>-1</w:t>
      </w:r>
      <w:r>
        <w:rPr>
          <w:rFonts w:hint="eastAsia" w:ascii="Times New Roman" w:hAnsi="Times New Roman" w:cs="Times New Roman" w:eastAsiaTheme="minorEastAsia"/>
          <w:caps w:val="0"/>
          <w:smallCaps w:val="0"/>
          <w:color w:val="000000"/>
          <w:sz w:val="24"/>
          <w:szCs w:val="24"/>
        </w:rPr>
        <w:t>2</w:t>
      </w:r>
      <w:r>
        <w:rPr>
          <w:rFonts w:ascii="Times New Roman" w:hAnsi="Times New Roman" w:cs="Times New Roman" w:eastAsiaTheme="minorEastAsia"/>
          <w:caps w:val="0"/>
          <w:smallCaps w:val="0"/>
          <w:color w:val="000000"/>
          <w:sz w:val="24"/>
          <w:szCs w:val="24"/>
        </w:rPr>
        <w:t>。</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-1</w:t>
      </w:r>
      <w:r>
        <w:rPr>
          <w:rFonts w:hint="eastAsia" w:ascii="Times New Roman" w:hAnsi="Times New Roman" w:cs="Times New Roman" w:eastAsiaTheme="minorEastAsia"/>
          <w:b/>
          <w:caps w:val="0"/>
          <w:smallCaps w:val="0"/>
          <w:color w:val="000000"/>
          <w:sz w:val="24"/>
          <w:szCs w:val="24"/>
        </w:rPr>
        <w:t>2</w:t>
      </w:r>
      <w:r>
        <w:rPr>
          <w:rFonts w:ascii="Times New Roman" w:hAnsi="Times New Roman" w:cs="Times New Roman" w:eastAsiaTheme="minorEastAsia"/>
          <w:b/>
          <w:caps w:val="0"/>
          <w:smallCaps w:val="0"/>
          <w:color w:val="000000"/>
          <w:sz w:val="24"/>
          <w:szCs w:val="24"/>
        </w:rPr>
        <w:t>船舶水污染物排放标准</w:t>
      </w:r>
    </w:p>
    <w:tbl>
      <w:tblPr>
        <w:tblStyle w:val="72"/>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4550"/>
        <w:gridCol w:w="455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5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排放物</w:t>
            </w:r>
          </w:p>
        </w:tc>
        <w:tc>
          <w:tcPr>
            <w:tcW w:w="25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内河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5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塑料制品</w:t>
            </w:r>
          </w:p>
        </w:tc>
        <w:tc>
          <w:tcPr>
            <w:tcW w:w="25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禁止投入水域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5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飘浮物</w:t>
            </w:r>
          </w:p>
        </w:tc>
        <w:tc>
          <w:tcPr>
            <w:tcW w:w="25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禁止投入水域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5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食品废物及其他垃圾</w:t>
            </w:r>
          </w:p>
        </w:tc>
        <w:tc>
          <w:tcPr>
            <w:tcW w:w="25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禁止投入水域</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一般固体废物：执行</w: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HYPERLINK"https://www.so.com/link?m=b4rcNGtdqiOeGfInNXAda4WgMWLnRGxrT4PVgDl35oay7TABLuucBFpNtpvTFC2ItH/OQ7oAj2ga+IwZMJnyq271YXeuXwBdTmAQ+REpSBpbPyZR10M5Yz97NNThB3Aje/6hMlQ=="\t"https://www.so.com/_blank"</w:instrText>
      </w:r>
      <w:r>
        <w:rPr>
          <w:rFonts w:ascii="Times New Roman" w:hAnsi="Times New Roman" w:cs="Times New Roman"/>
          <w:caps w:val="0"/>
          <w:smallCaps w:val="0"/>
        </w:rPr>
        <w:fldChar w:fldCharType="separate"/>
      </w:r>
      <w:r>
        <w:rPr>
          <w:rFonts w:ascii="Times New Roman" w:hAnsi="Times New Roman" w:cs="Times New Roman" w:eastAsiaTheme="minorEastAsia"/>
          <w:caps w:val="0"/>
          <w:smallCaps w:val="0"/>
          <w:color w:val="000000"/>
          <w:sz w:val="24"/>
          <w:szCs w:val="24"/>
        </w:rPr>
        <w:t>《一般工业固体废物贮存和填埋污染控制标准》(GB 18599-2020)</w:t>
      </w:r>
      <w:r>
        <w:rPr>
          <w:rFonts w:ascii="Times New Roman" w:hAnsi="Times New Roman" w:cs="Times New Roman" w:eastAsiaTheme="minorEastAsia"/>
          <w:caps w:val="0"/>
          <w:smallCaps w:val="0"/>
          <w:color w:val="000000"/>
          <w:sz w:val="24"/>
          <w:szCs w:val="24"/>
        </w:rPr>
        <w:fldChar w:fldCharType="end"/>
      </w:r>
      <w:r>
        <w:rPr>
          <w:rFonts w:ascii="Times New Roman" w:hAnsi="Times New Roman" w:cs="Times New Roman" w:eastAsiaTheme="minorEastAsia"/>
          <w:caps w:val="0"/>
          <w:smallCaps w:val="0"/>
          <w:color w:val="000000"/>
          <w:sz w:val="24"/>
          <w:szCs w:val="24"/>
        </w:rPr>
        <w:t>。危险废物：执行《危险废物贮存污染控制标准》（GB18597-2001）及修改单。生活垃圾执行</w:t>
      </w:r>
      <w:r>
        <w:rPr>
          <w:rFonts w:hint="eastAsia" w:ascii="Times New Roman" w:hAnsi="Times New Roman" w:cs="Times New Roman" w:eastAsiaTheme="minorEastAsia"/>
          <w:caps w:val="0"/>
          <w:smallCaps w:val="0"/>
          <w:color w:val="000000"/>
          <w:sz w:val="24"/>
          <w:szCs w:val="24"/>
          <w:lang w:val="en-US" w:eastAsia="zh-CN"/>
        </w:rPr>
        <w:t>《生活垃圾焚烧污染控制标准》（GB18485-2014）</w:t>
      </w:r>
      <w:r>
        <w:rPr>
          <w:rFonts w:hint="eastAsia" w:cs="Times New Roman" w:eastAsiaTheme="minorEastAsia"/>
          <w:caps w:val="0"/>
          <w:smallCaps w:val="0"/>
          <w:color w:val="000000"/>
          <w:sz w:val="24"/>
          <w:szCs w:val="24"/>
          <w:lang w:val="en-US" w:eastAsia="zh-CN"/>
        </w:rPr>
        <w:t>。</w:t>
      </w:r>
    </w:p>
    <w:p>
      <w:pPr>
        <w:pStyle w:val="5"/>
        <w:rPr>
          <w:rFonts w:ascii="Times New Roman" w:hAnsi="Times New Roman" w:cs="Times New Roman" w:eastAsiaTheme="minorEastAsia"/>
          <w:b/>
          <w:caps w:val="0"/>
          <w:smallCaps w:val="0"/>
        </w:rPr>
      </w:pPr>
      <w:bookmarkStart w:id="20" w:name="_Toc6970"/>
      <w:r>
        <w:rPr>
          <w:rFonts w:ascii="Times New Roman" w:hAnsi="Times New Roman" w:cs="Times New Roman" w:eastAsiaTheme="minorEastAsia"/>
          <w:b/>
          <w:caps w:val="0"/>
          <w:smallCaps w:val="0"/>
        </w:rPr>
        <w:t>主要环境保护目标调查</w:t>
      </w:r>
      <w:bookmarkEnd w:id="20"/>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地表水保护目标</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本项目地表水保护目标为评价江段的</w:t>
      </w:r>
      <w:r>
        <w:rPr>
          <w:rFonts w:hint="eastAsia" w:ascii="Times New Roman" w:hAnsi="Times New Roman" w:cs="Times New Roman"/>
          <w:caps w:val="0"/>
          <w:smallCaps w:val="0"/>
          <w:color w:val="000000" w:themeColor="text1"/>
          <w:sz w:val="24"/>
          <w:szCs w:val="24"/>
          <w:lang w:eastAsia="ja-JP"/>
          <w14:textFill>
            <w14:solidFill>
              <w14:schemeClr w14:val="tx1"/>
            </w14:solidFill>
          </w14:textFill>
        </w:rPr>
        <w:t>Ⅲ</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类渔业用水区水体。项目地表水保护目标见表2.7-1。</w:t>
      </w:r>
    </w:p>
    <w:p>
      <w:pPr>
        <w:tabs>
          <w:tab w:val="left" w:pos="900"/>
        </w:tabs>
        <w:snapToGrid w:val="0"/>
        <w:spacing w:line="276"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表2.</w:t>
      </w:r>
      <w:r>
        <w:rPr>
          <w:rFonts w:hint="eastAsia" w:cs="Times New Roman" w:eastAsiaTheme="minorEastAsia"/>
          <w:b/>
          <w:caps w:val="0"/>
          <w:smallCaps w:val="0"/>
          <w:color w:val="000000" w:themeColor="text1"/>
          <w:sz w:val="24"/>
          <w:szCs w:val="24"/>
          <w:lang w:val="en-US" w:eastAsia="zh-CN"/>
          <w14:textFill>
            <w14:solidFill>
              <w14:schemeClr w14:val="tx1"/>
            </w14:solidFill>
          </w14:textFill>
        </w:rPr>
        <w:t>6</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-1本项目地表水保护目标</w:t>
      </w:r>
    </w:p>
    <w:tbl>
      <w:tblPr>
        <w:tblStyle w:val="71"/>
        <w:tblW w:w="5264"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1369"/>
        <w:gridCol w:w="3063"/>
        <w:gridCol w:w="1572"/>
        <w:gridCol w:w="1098"/>
        <w:gridCol w:w="2478"/>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35" w:hRule="atLeast"/>
          <w:jc w:val="center"/>
        </w:trPr>
        <w:tc>
          <w:tcPr>
            <w:tcW w:w="714" w:type="pct"/>
            <w:vMerge w:val="restart"/>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保护目标名称</w:t>
            </w:r>
          </w:p>
        </w:tc>
        <w:tc>
          <w:tcPr>
            <w:tcW w:w="1598" w:type="pct"/>
            <w:vMerge w:val="restart"/>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保护</w:t>
            </w:r>
          </w:p>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内容</w:t>
            </w:r>
          </w:p>
        </w:tc>
        <w:tc>
          <w:tcPr>
            <w:tcW w:w="820" w:type="pct"/>
            <w:vMerge w:val="restart"/>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环境功能区</w:t>
            </w:r>
          </w:p>
        </w:tc>
        <w:tc>
          <w:tcPr>
            <w:tcW w:w="573" w:type="pct"/>
            <w:vMerge w:val="restart"/>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rPr>
              <w:t>相对厂址方位</w:t>
            </w:r>
            <w:r>
              <w:rPr>
                <w:rFonts w:hint="eastAsia" w:ascii="Times New Roman" w:hAnsi="Times New Roman" w:cs="Times New Roman"/>
                <w:caps w:val="0"/>
                <w:smallCaps w:val="0"/>
                <w:lang w:eastAsia="zh-CN"/>
              </w:rPr>
              <w:t>及距离</w:t>
            </w:r>
          </w:p>
        </w:tc>
        <w:tc>
          <w:tcPr>
            <w:tcW w:w="1293" w:type="pct"/>
            <w:vMerge w:val="restart"/>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保护对象及等级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5" w:hRule="atLeast"/>
          <w:jc w:val="center"/>
        </w:trPr>
        <w:tc>
          <w:tcPr>
            <w:tcW w:w="714" w:type="pct"/>
            <w:vMerge w:val="continue"/>
            <w:vAlign w:val="center"/>
          </w:tcPr>
          <w:p>
            <w:pPr>
              <w:pStyle w:val="117"/>
              <w:bidi w:val="0"/>
              <w:rPr>
                <w:rFonts w:hint="eastAsia" w:ascii="Times New Roman" w:hAnsi="Times New Roman" w:cs="Times New Roman"/>
                <w:caps w:val="0"/>
                <w:smallCaps w:val="0"/>
              </w:rPr>
            </w:pPr>
          </w:p>
        </w:tc>
        <w:tc>
          <w:tcPr>
            <w:tcW w:w="1598" w:type="pct"/>
            <w:vMerge w:val="continue"/>
            <w:vAlign w:val="center"/>
          </w:tcPr>
          <w:p>
            <w:pPr>
              <w:pStyle w:val="117"/>
              <w:bidi w:val="0"/>
              <w:rPr>
                <w:rFonts w:hint="eastAsia" w:ascii="Times New Roman" w:hAnsi="Times New Roman" w:cs="Times New Roman"/>
                <w:caps w:val="0"/>
                <w:smallCaps w:val="0"/>
              </w:rPr>
            </w:pPr>
          </w:p>
        </w:tc>
        <w:tc>
          <w:tcPr>
            <w:tcW w:w="820" w:type="pct"/>
            <w:vMerge w:val="continue"/>
            <w:vAlign w:val="center"/>
          </w:tcPr>
          <w:p>
            <w:pPr>
              <w:pStyle w:val="117"/>
              <w:bidi w:val="0"/>
              <w:rPr>
                <w:rFonts w:hint="eastAsia" w:ascii="Times New Roman" w:hAnsi="Times New Roman" w:cs="Times New Roman"/>
                <w:caps w:val="0"/>
                <w:smallCaps w:val="0"/>
              </w:rPr>
            </w:pPr>
          </w:p>
        </w:tc>
        <w:tc>
          <w:tcPr>
            <w:tcW w:w="573" w:type="pct"/>
            <w:vMerge w:val="continue"/>
            <w:vAlign w:val="center"/>
          </w:tcPr>
          <w:p>
            <w:pPr>
              <w:pStyle w:val="117"/>
              <w:bidi w:val="0"/>
              <w:rPr>
                <w:rFonts w:hint="eastAsia" w:ascii="Times New Roman" w:hAnsi="Times New Roman" w:cs="Times New Roman"/>
                <w:caps w:val="0"/>
                <w:smallCaps w:val="0"/>
              </w:rPr>
            </w:pPr>
          </w:p>
        </w:tc>
        <w:tc>
          <w:tcPr>
            <w:tcW w:w="1293" w:type="pct"/>
            <w:vMerge w:val="continue"/>
            <w:vAlign w:val="center"/>
          </w:tcPr>
          <w:p>
            <w:pPr>
              <w:pStyle w:val="117"/>
              <w:bidi w:val="0"/>
              <w:rPr>
                <w:rFonts w:hint="eastAsia" w:ascii="Times New Roman" w:hAnsi="Times New Roman" w:cs="Times New Roman"/>
                <w:caps w:val="0"/>
                <w:smallCaps w:val="0"/>
                <w:lang w:val="en-US" w:eastAsia="zh-CN"/>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5" w:hRule="atLeast"/>
          <w:jc w:val="center"/>
        </w:trPr>
        <w:tc>
          <w:tcPr>
            <w:tcW w:w="714" w:type="pct"/>
            <w:vMerge w:val="restart"/>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湘江</w:t>
            </w:r>
          </w:p>
        </w:tc>
        <w:tc>
          <w:tcPr>
            <w:tcW w:w="1598"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屈原管理区湘江饮用水水源保护区一级保护区：鸡啼湖取水口上游1000m至取水口下游100m</w:t>
            </w:r>
          </w:p>
        </w:tc>
        <w:tc>
          <w:tcPr>
            <w:tcW w:w="820"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饮用水水源一级保护区</w:t>
            </w:r>
          </w:p>
        </w:tc>
        <w:tc>
          <w:tcPr>
            <w:tcW w:w="573"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S，1</w:t>
            </w:r>
            <w:r>
              <w:rPr>
                <w:rFonts w:hint="eastAsia" w:ascii="Times New Roman" w:hAnsi="Times New Roman" w:cs="Times New Roman"/>
                <w:caps w:val="0"/>
                <w:smallCaps w:val="0"/>
                <w:lang w:val="en-US" w:eastAsia="zh-CN"/>
              </w:rPr>
              <w:t>5.5</w:t>
            </w:r>
            <w:r>
              <w:rPr>
                <w:rFonts w:hint="eastAsia" w:ascii="Times New Roman" w:hAnsi="Times New Roman" w:cs="Times New Roman"/>
                <w:caps w:val="0"/>
                <w:smallCaps w:val="0"/>
              </w:rPr>
              <w:t>km</w:t>
            </w:r>
          </w:p>
        </w:tc>
        <w:tc>
          <w:tcPr>
            <w:tcW w:w="1293"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《地表水环境质量标准》（GB3838-2002）Ⅱ类标准</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5" w:hRule="atLeast"/>
          <w:jc w:val="center"/>
        </w:trPr>
        <w:tc>
          <w:tcPr>
            <w:tcW w:w="714" w:type="pct"/>
            <w:vMerge w:val="continue"/>
            <w:vAlign w:val="center"/>
          </w:tcPr>
          <w:p>
            <w:pPr>
              <w:pStyle w:val="117"/>
              <w:bidi w:val="0"/>
              <w:rPr>
                <w:rFonts w:hint="eastAsia" w:ascii="Times New Roman" w:hAnsi="Times New Roman" w:cs="Times New Roman"/>
                <w:caps w:val="0"/>
                <w:smallCaps w:val="0"/>
              </w:rPr>
            </w:pPr>
          </w:p>
        </w:tc>
        <w:tc>
          <w:tcPr>
            <w:tcW w:w="1598"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湘江鸡啼湖取水口常规监测断面</w:t>
            </w:r>
          </w:p>
        </w:tc>
        <w:tc>
          <w:tcPr>
            <w:tcW w:w="820"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饮用水水源取水口</w:t>
            </w:r>
          </w:p>
        </w:tc>
        <w:tc>
          <w:tcPr>
            <w:tcW w:w="573"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S，1</w:t>
            </w:r>
            <w:r>
              <w:rPr>
                <w:rFonts w:hint="eastAsia" w:ascii="Times New Roman" w:hAnsi="Times New Roman" w:cs="Times New Roman"/>
                <w:caps w:val="0"/>
                <w:smallCaps w:val="0"/>
                <w:lang w:val="en-US" w:eastAsia="zh-CN"/>
              </w:rPr>
              <w:t>5.6</w:t>
            </w:r>
            <w:r>
              <w:rPr>
                <w:rFonts w:hint="eastAsia" w:ascii="Times New Roman" w:hAnsi="Times New Roman" w:cs="Times New Roman"/>
                <w:caps w:val="0"/>
                <w:smallCaps w:val="0"/>
              </w:rPr>
              <w:t>km</w:t>
            </w:r>
          </w:p>
        </w:tc>
        <w:tc>
          <w:tcPr>
            <w:tcW w:w="1293"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《地表水环境质量标准》（GB3838-2002）Ⅱ类标准</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5" w:hRule="atLeast"/>
          <w:jc w:val="center"/>
        </w:trPr>
        <w:tc>
          <w:tcPr>
            <w:tcW w:w="714" w:type="pct"/>
            <w:vMerge w:val="continue"/>
            <w:vAlign w:val="center"/>
          </w:tcPr>
          <w:p>
            <w:pPr>
              <w:pStyle w:val="117"/>
              <w:bidi w:val="0"/>
              <w:rPr>
                <w:rFonts w:hint="eastAsia" w:ascii="Times New Roman" w:hAnsi="Times New Roman" w:cs="Times New Roman"/>
                <w:caps w:val="0"/>
                <w:smallCaps w:val="0"/>
              </w:rPr>
            </w:pPr>
          </w:p>
        </w:tc>
        <w:tc>
          <w:tcPr>
            <w:tcW w:w="1598"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屈原管理区湘江饮用水水源保护区二级保护区：鸡啼湖取水口上游1000m-3000m，鸡啼湖取水口下游100m-300m</w:t>
            </w:r>
          </w:p>
        </w:tc>
        <w:tc>
          <w:tcPr>
            <w:tcW w:w="820"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饮用水源二级保护区</w:t>
            </w:r>
          </w:p>
        </w:tc>
        <w:tc>
          <w:tcPr>
            <w:tcW w:w="573"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S，1</w:t>
            </w:r>
            <w:r>
              <w:rPr>
                <w:rFonts w:hint="eastAsia" w:ascii="Times New Roman" w:hAnsi="Times New Roman" w:cs="Times New Roman"/>
                <w:caps w:val="0"/>
                <w:smallCaps w:val="0"/>
                <w:lang w:val="en-US" w:eastAsia="zh-CN"/>
              </w:rPr>
              <w:t>5.3</w:t>
            </w:r>
            <w:r>
              <w:rPr>
                <w:rFonts w:hint="eastAsia" w:ascii="Times New Roman" w:hAnsi="Times New Roman" w:cs="Times New Roman"/>
                <w:caps w:val="0"/>
                <w:smallCaps w:val="0"/>
              </w:rPr>
              <w:t>km</w:t>
            </w:r>
          </w:p>
        </w:tc>
        <w:tc>
          <w:tcPr>
            <w:tcW w:w="1293" w:type="pct"/>
            <w:vMerge w:val="restar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《地表水环境质量标准》（GB3838-2002）Ⅲ类标准</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5" w:hRule="atLeast"/>
          <w:jc w:val="center"/>
        </w:trPr>
        <w:tc>
          <w:tcPr>
            <w:tcW w:w="714" w:type="pct"/>
            <w:vMerge w:val="continue"/>
            <w:vAlign w:val="center"/>
          </w:tcPr>
          <w:p>
            <w:pPr>
              <w:pStyle w:val="117"/>
              <w:bidi w:val="0"/>
              <w:rPr>
                <w:rFonts w:hint="eastAsia" w:ascii="Times New Roman" w:hAnsi="Times New Roman" w:cs="Times New Roman"/>
                <w:caps w:val="0"/>
                <w:smallCaps w:val="0"/>
              </w:rPr>
            </w:pPr>
          </w:p>
        </w:tc>
        <w:tc>
          <w:tcPr>
            <w:tcW w:w="1598"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乌龙咀至磊石山段其余水域：渔业水域</w:t>
            </w:r>
          </w:p>
        </w:tc>
        <w:tc>
          <w:tcPr>
            <w:tcW w:w="820"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渔业用水</w:t>
            </w:r>
          </w:p>
        </w:tc>
        <w:tc>
          <w:tcPr>
            <w:tcW w:w="573"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W，紧邻</w:t>
            </w:r>
          </w:p>
        </w:tc>
        <w:tc>
          <w:tcPr>
            <w:tcW w:w="1293" w:type="pct"/>
            <w:vMerge w:val="continue"/>
            <w:vAlign w:val="center"/>
          </w:tcPr>
          <w:p>
            <w:pPr>
              <w:pStyle w:val="117"/>
              <w:bidi w:val="0"/>
              <w:rPr>
                <w:rFonts w:hint="eastAsia" w:ascii="Times New Roman" w:hAnsi="Times New Roman" w:cs="Times New Roman"/>
                <w:caps w:val="0"/>
                <w:smallCaps w:val="0"/>
                <w:lang w:val="en-US" w:eastAsia="zh-CN"/>
              </w:rPr>
            </w:pP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环境空气、声环境保护目标</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本项目环境空气、声环境评价范围内敏感点见下表。</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表2.</w:t>
      </w:r>
      <w:r>
        <w:rPr>
          <w:rFonts w:hint="eastAsia" w:cs="Times New Roman" w:eastAsiaTheme="minorEastAsia"/>
          <w:b/>
          <w:caps w:val="0"/>
          <w:smallCaps w:val="0"/>
          <w:color w:val="000000"/>
          <w:sz w:val="24"/>
          <w:szCs w:val="24"/>
          <w:lang w:val="en-US" w:eastAsia="zh-CN"/>
        </w:rPr>
        <w:t>6</w:t>
      </w:r>
      <w:r>
        <w:rPr>
          <w:rFonts w:ascii="Times New Roman" w:hAnsi="Times New Roman" w:cs="Times New Roman" w:eastAsiaTheme="minorEastAsia"/>
          <w:b/>
          <w:caps w:val="0"/>
          <w:smallCaps w:val="0"/>
          <w:color w:val="000000"/>
          <w:sz w:val="24"/>
          <w:szCs w:val="24"/>
        </w:rPr>
        <w:t>-</w:t>
      </w:r>
      <w:r>
        <w:rPr>
          <w:rFonts w:hint="eastAsia" w:ascii="Times New Roman" w:hAnsi="Times New Roman" w:cs="Times New Roman" w:eastAsiaTheme="minorEastAsia"/>
          <w:b/>
          <w:caps w:val="0"/>
          <w:smallCaps w:val="0"/>
          <w:color w:val="000000"/>
          <w:sz w:val="24"/>
          <w:szCs w:val="24"/>
          <w:lang w:val="en-US" w:eastAsia="zh-CN"/>
        </w:rPr>
        <w:t>2</w:t>
      </w:r>
      <w:r>
        <w:rPr>
          <w:rFonts w:ascii="Times New Roman" w:hAnsi="Times New Roman" w:cs="Times New Roman" w:eastAsiaTheme="minorEastAsia"/>
          <w:b/>
          <w:caps w:val="0"/>
          <w:smallCaps w:val="0"/>
          <w:color w:val="000000"/>
          <w:sz w:val="24"/>
          <w:szCs w:val="24"/>
        </w:rPr>
        <w:t>评价范围内环境空气保护目标</w:t>
      </w:r>
    </w:p>
    <w:tbl>
      <w:tblPr>
        <w:tblStyle w:val="72"/>
        <w:tblW w:w="906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3"/>
        <w:gridCol w:w="1133"/>
        <w:gridCol w:w="1133"/>
        <w:gridCol w:w="1133"/>
        <w:gridCol w:w="1133"/>
        <w:gridCol w:w="1133"/>
        <w:gridCol w:w="1134"/>
        <w:gridCol w:w="11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vMerge w:val="restart"/>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名称</w:t>
            </w:r>
          </w:p>
        </w:tc>
        <w:tc>
          <w:tcPr>
            <w:tcW w:w="226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坐标</w:t>
            </w:r>
          </w:p>
        </w:tc>
        <w:tc>
          <w:tcPr>
            <w:tcW w:w="1133" w:type="dxa"/>
            <w:vMerge w:val="restart"/>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保护对象</w:t>
            </w:r>
          </w:p>
        </w:tc>
        <w:tc>
          <w:tcPr>
            <w:tcW w:w="1133" w:type="dxa"/>
            <w:vMerge w:val="restart"/>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保护内容</w:t>
            </w:r>
          </w:p>
        </w:tc>
        <w:tc>
          <w:tcPr>
            <w:tcW w:w="1133" w:type="dxa"/>
            <w:vMerge w:val="restart"/>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环境功能区</w:t>
            </w:r>
          </w:p>
        </w:tc>
        <w:tc>
          <w:tcPr>
            <w:tcW w:w="1134" w:type="dxa"/>
            <w:vMerge w:val="restart"/>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相对厂址方位</w:t>
            </w:r>
          </w:p>
        </w:tc>
        <w:tc>
          <w:tcPr>
            <w:tcW w:w="1134" w:type="dxa"/>
            <w:vMerge w:val="restart"/>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相对厂址距离（m）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vMerge w:val="continue"/>
            <w:noWrap w:val="0"/>
            <w:vAlign w:val="center"/>
          </w:tcPr>
          <w:p>
            <w:pPr>
              <w:pStyle w:val="117"/>
              <w:bidi w:val="0"/>
              <w:rPr>
                <w:rFonts w:hint="default" w:ascii="Times New Roman" w:hAnsi="Times New Roman" w:cs="Times New Roman"/>
                <w:caps w:val="0"/>
                <w:smallCaps w:val="0"/>
              </w:rPr>
            </w:pP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E</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N</w:t>
            </w:r>
          </w:p>
        </w:tc>
        <w:tc>
          <w:tcPr>
            <w:tcW w:w="1133" w:type="dxa"/>
            <w:vMerge w:val="continue"/>
            <w:noWrap w:val="0"/>
            <w:vAlign w:val="center"/>
          </w:tcPr>
          <w:p>
            <w:pPr>
              <w:pStyle w:val="117"/>
              <w:bidi w:val="0"/>
              <w:rPr>
                <w:rFonts w:hint="default" w:ascii="Times New Roman" w:hAnsi="Times New Roman" w:cs="Times New Roman"/>
                <w:caps w:val="0"/>
                <w:smallCaps w:val="0"/>
              </w:rPr>
            </w:pPr>
          </w:p>
        </w:tc>
        <w:tc>
          <w:tcPr>
            <w:tcW w:w="1133" w:type="dxa"/>
            <w:vMerge w:val="continue"/>
            <w:noWrap w:val="0"/>
            <w:vAlign w:val="center"/>
          </w:tcPr>
          <w:p>
            <w:pPr>
              <w:pStyle w:val="117"/>
              <w:bidi w:val="0"/>
              <w:rPr>
                <w:rFonts w:hint="default" w:ascii="Times New Roman" w:hAnsi="Times New Roman" w:cs="Times New Roman"/>
                <w:caps w:val="0"/>
                <w:smallCaps w:val="0"/>
              </w:rPr>
            </w:pPr>
          </w:p>
        </w:tc>
        <w:tc>
          <w:tcPr>
            <w:tcW w:w="1133" w:type="dxa"/>
            <w:vMerge w:val="continue"/>
            <w:noWrap w:val="0"/>
            <w:vAlign w:val="center"/>
          </w:tcPr>
          <w:p>
            <w:pPr>
              <w:pStyle w:val="117"/>
              <w:bidi w:val="0"/>
              <w:rPr>
                <w:rFonts w:hint="default" w:ascii="Times New Roman" w:hAnsi="Times New Roman" w:cs="Times New Roman"/>
                <w:caps w:val="0"/>
                <w:smallCaps w:val="0"/>
              </w:rPr>
            </w:pPr>
          </w:p>
        </w:tc>
        <w:tc>
          <w:tcPr>
            <w:tcW w:w="1134" w:type="dxa"/>
            <w:vMerge w:val="continue"/>
            <w:noWrap w:val="0"/>
            <w:vAlign w:val="center"/>
          </w:tcPr>
          <w:p>
            <w:pPr>
              <w:pStyle w:val="117"/>
              <w:bidi w:val="0"/>
              <w:rPr>
                <w:rFonts w:hint="default" w:ascii="Times New Roman" w:hAnsi="Times New Roman" w:cs="Times New Roman"/>
                <w:caps w:val="0"/>
                <w:smallCaps w:val="0"/>
              </w:rPr>
            </w:pPr>
          </w:p>
        </w:tc>
        <w:tc>
          <w:tcPr>
            <w:tcW w:w="1134" w:type="dxa"/>
            <w:vMerge w:val="continue"/>
            <w:noWrap w:val="0"/>
            <w:vAlign w:val="center"/>
          </w:tcPr>
          <w:p>
            <w:pPr>
              <w:pStyle w:val="117"/>
              <w:bidi w:val="0"/>
              <w:rPr>
                <w:rFonts w:hint="default"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推山咀社区</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112.90539176</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28.86122679</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居民</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850户，约2400人</w:t>
            </w:r>
          </w:p>
        </w:tc>
        <w:tc>
          <w:tcPr>
            <w:tcW w:w="1133" w:type="dxa"/>
            <w:vMerge w:val="restart"/>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二类区，执行《环境质量标准》（GB3095-2012）二类标准及其修改单</w:t>
            </w:r>
          </w:p>
        </w:tc>
        <w:tc>
          <w:tcPr>
            <w:tcW w:w="1134"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E</w:t>
            </w:r>
          </w:p>
        </w:tc>
        <w:tc>
          <w:tcPr>
            <w:tcW w:w="1134" w:type="dxa"/>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青山寺社区</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112.91060169</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28.85627719</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居民</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600户，约1500人</w:t>
            </w:r>
          </w:p>
        </w:tc>
        <w:tc>
          <w:tcPr>
            <w:tcW w:w="1133" w:type="dxa"/>
            <w:vMerge w:val="continue"/>
            <w:noWrap w:val="0"/>
            <w:vAlign w:val="center"/>
          </w:tcPr>
          <w:p>
            <w:pPr>
              <w:pStyle w:val="117"/>
              <w:bidi w:val="0"/>
              <w:rPr>
                <w:rFonts w:hint="default" w:ascii="Times New Roman" w:hAnsi="Times New Roman" w:cs="Times New Roman"/>
                <w:caps w:val="0"/>
                <w:smallCaps w:val="0"/>
              </w:rPr>
            </w:pPr>
          </w:p>
        </w:tc>
        <w:tc>
          <w:tcPr>
            <w:tcW w:w="1134"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SE</w:t>
            </w:r>
          </w:p>
        </w:tc>
        <w:tc>
          <w:tcPr>
            <w:tcW w:w="1134" w:type="dxa"/>
            <w:noWrap w:val="0"/>
            <w:vAlign w:val="center"/>
          </w:tcPr>
          <w:p>
            <w:pPr>
              <w:pStyle w:val="117"/>
              <w:bidi w:val="0"/>
              <w:rPr>
                <w:rFonts w:hint="default" w:ascii="Times New Roman" w:hAnsi="Times New Roman" w:cs="Times New Roman"/>
                <w:caps w:val="0"/>
                <w:smallCaps w:val="0"/>
              </w:rPr>
            </w:pPr>
            <w:r>
              <w:rPr>
                <w:rFonts w:hint="eastAsia" w:ascii="Times New Roman" w:hAnsi="Times New Roman" w:cs="Times New Roman"/>
                <w:caps w:val="0"/>
                <w:smallCaps w:val="0"/>
                <w:lang w:val="en-US" w:eastAsia="zh-CN"/>
              </w:rPr>
              <w:t>9</w:t>
            </w:r>
            <w:r>
              <w:rPr>
                <w:rFonts w:hint="default" w:ascii="Times New Roman" w:hAnsi="Times New Roman" w:cs="Times New Roman"/>
                <w:caps w:val="0"/>
                <w:smallCaps w:val="0"/>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小边山</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112.90604039</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28.84952192</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居民</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600户，约1800人</w:t>
            </w:r>
          </w:p>
        </w:tc>
        <w:tc>
          <w:tcPr>
            <w:tcW w:w="1133" w:type="dxa"/>
            <w:vMerge w:val="continue"/>
            <w:noWrap w:val="0"/>
            <w:vAlign w:val="center"/>
          </w:tcPr>
          <w:p>
            <w:pPr>
              <w:pStyle w:val="117"/>
              <w:bidi w:val="0"/>
              <w:rPr>
                <w:rFonts w:hint="default" w:ascii="Times New Roman" w:hAnsi="Times New Roman" w:cs="Times New Roman"/>
                <w:caps w:val="0"/>
                <w:smallCaps w:val="0"/>
              </w:rPr>
            </w:pPr>
          </w:p>
        </w:tc>
        <w:tc>
          <w:tcPr>
            <w:tcW w:w="1134"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S</w:t>
            </w:r>
          </w:p>
        </w:tc>
        <w:tc>
          <w:tcPr>
            <w:tcW w:w="1134"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1</w:t>
            </w:r>
            <w:r>
              <w:rPr>
                <w:rFonts w:hint="eastAsia" w:ascii="Times New Roman" w:hAnsi="Times New Roman" w:cs="Times New Roman"/>
                <w:caps w:val="0"/>
                <w:smallCaps w:val="0"/>
                <w:lang w:val="en-US" w:eastAsia="zh-CN"/>
              </w:rPr>
              <w:t>4</w:t>
            </w:r>
            <w:r>
              <w:rPr>
                <w:rFonts w:hint="default" w:ascii="Times New Roman" w:hAnsi="Times New Roman" w:cs="Times New Roman"/>
                <w:caps w:val="0"/>
                <w:smallCaps w:val="0"/>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凰山村</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112.91703068</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28.86384066</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居民</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900户，约2700人</w:t>
            </w:r>
          </w:p>
        </w:tc>
        <w:tc>
          <w:tcPr>
            <w:tcW w:w="1133" w:type="dxa"/>
            <w:vMerge w:val="continue"/>
            <w:noWrap w:val="0"/>
            <w:vAlign w:val="center"/>
          </w:tcPr>
          <w:p>
            <w:pPr>
              <w:pStyle w:val="117"/>
              <w:bidi w:val="0"/>
              <w:rPr>
                <w:rFonts w:hint="default" w:ascii="Times New Roman" w:hAnsi="Times New Roman" w:cs="Times New Roman"/>
                <w:caps w:val="0"/>
                <w:smallCaps w:val="0"/>
              </w:rPr>
            </w:pPr>
          </w:p>
        </w:tc>
        <w:tc>
          <w:tcPr>
            <w:tcW w:w="1134"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E</w:t>
            </w:r>
          </w:p>
        </w:tc>
        <w:tc>
          <w:tcPr>
            <w:tcW w:w="1134"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1</w:t>
            </w:r>
            <w:r>
              <w:rPr>
                <w:rFonts w:hint="eastAsia" w:ascii="Times New Roman" w:hAnsi="Times New Roman" w:cs="Times New Roman"/>
                <w:caps w:val="0"/>
                <w:smallCaps w:val="0"/>
                <w:lang w:val="en-US" w:eastAsia="zh-CN"/>
              </w:rPr>
              <w:t>4</w:t>
            </w:r>
            <w:r>
              <w:rPr>
                <w:rFonts w:hint="default" w:ascii="Times New Roman" w:hAnsi="Times New Roman" w:cs="Times New Roman"/>
                <w:caps w:val="0"/>
                <w:smallCaps w:val="0"/>
                <w:lang w:val="en-US" w:eastAsia="zh-CN"/>
              </w:rPr>
              <w:t>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新堤村</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112.91413068</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28.87151151</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居民</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700户，约2200人</w:t>
            </w:r>
          </w:p>
        </w:tc>
        <w:tc>
          <w:tcPr>
            <w:tcW w:w="1133" w:type="dxa"/>
            <w:vMerge w:val="continue"/>
            <w:noWrap w:val="0"/>
            <w:vAlign w:val="center"/>
          </w:tcPr>
          <w:p>
            <w:pPr>
              <w:pStyle w:val="117"/>
              <w:bidi w:val="0"/>
              <w:rPr>
                <w:rFonts w:hint="default" w:ascii="Times New Roman" w:hAnsi="Times New Roman" w:cs="Times New Roman"/>
                <w:caps w:val="0"/>
                <w:smallCaps w:val="0"/>
              </w:rPr>
            </w:pPr>
          </w:p>
        </w:tc>
        <w:tc>
          <w:tcPr>
            <w:tcW w:w="1134"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NE</w:t>
            </w:r>
          </w:p>
        </w:tc>
        <w:tc>
          <w:tcPr>
            <w:tcW w:w="1134"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1522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港南村</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112.89845033</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28.88129232</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居民</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500户，约1600人</w:t>
            </w:r>
          </w:p>
        </w:tc>
        <w:tc>
          <w:tcPr>
            <w:tcW w:w="1133" w:type="dxa"/>
            <w:vMerge w:val="continue"/>
            <w:noWrap w:val="0"/>
            <w:vAlign w:val="center"/>
          </w:tcPr>
          <w:p>
            <w:pPr>
              <w:pStyle w:val="117"/>
              <w:bidi w:val="0"/>
              <w:rPr>
                <w:rFonts w:hint="default" w:ascii="Times New Roman" w:hAnsi="Times New Roman" w:cs="Times New Roman"/>
                <w:caps w:val="0"/>
                <w:smallCaps w:val="0"/>
              </w:rPr>
            </w:pPr>
          </w:p>
        </w:tc>
        <w:tc>
          <w:tcPr>
            <w:tcW w:w="1134"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N</w:t>
            </w:r>
          </w:p>
        </w:tc>
        <w:tc>
          <w:tcPr>
            <w:tcW w:w="1134"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2296</w:t>
            </w:r>
          </w:p>
        </w:tc>
      </w:tr>
    </w:tbl>
    <w:p>
      <w:pPr>
        <w:pStyle w:val="95"/>
        <w:rPr>
          <w:rFonts w:hint="default" w:ascii="Times New Roman" w:hAnsi="Times New Roman" w:cs="Times New Roman"/>
          <w:caps w:val="0"/>
          <w:smallCaps w:val="0"/>
        </w:rPr>
      </w:pPr>
      <w:r>
        <w:rPr>
          <w:rFonts w:ascii="Times New Roman" w:hAnsi="Times New Roman" w:cs="Times New Roman" w:eastAsiaTheme="minorEastAsia"/>
          <w:b/>
          <w:caps w:val="0"/>
          <w:smallCaps w:val="0"/>
          <w:color w:val="000000"/>
          <w:sz w:val="24"/>
          <w:szCs w:val="24"/>
        </w:rPr>
        <w:t>表2.</w:t>
      </w:r>
      <w:r>
        <w:rPr>
          <w:rFonts w:hint="eastAsia" w:ascii="Times New Roman" w:hAnsi="Times New Roman" w:cs="Times New Roman" w:eastAsiaTheme="minorEastAsia"/>
          <w:b/>
          <w:caps w:val="0"/>
          <w:smallCaps w:val="0"/>
          <w:color w:val="000000"/>
          <w:sz w:val="24"/>
          <w:szCs w:val="24"/>
          <w:lang w:val="en-US" w:eastAsia="zh-CN"/>
        </w:rPr>
        <w:t>6</w:t>
      </w:r>
      <w:r>
        <w:rPr>
          <w:rFonts w:ascii="Times New Roman" w:hAnsi="Times New Roman" w:cs="Times New Roman" w:eastAsiaTheme="minorEastAsia"/>
          <w:b/>
          <w:caps w:val="0"/>
          <w:smallCaps w:val="0"/>
          <w:color w:val="000000"/>
          <w:sz w:val="24"/>
          <w:szCs w:val="24"/>
        </w:rPr>
        <w:t>-</w:t>
      </w:r>
      <w:r>
        <w:rPr>
          <w:rFonts w:hint="eastAsia" w:ascii="Times New Roman" w:hAnsi="Times New Roman" w:cs="Times New Roman" w:eastAsiaTheme="minorEastAsia"/>
          <w:b/>
          <w:caps w:val="0"/>
          <w:smallCaps w:val="0"/>
          <w:color w:val="000000"/>
          <w:sz w:val="24"/>
          <w:szCs w:val="24"/>
          <w:lang w:val="en-US" w:eastAsia="zh-CN"/>
        </w:rPr>
        <w:t>3</w:t>
      </w:r>
      <w:r>
        <w:rPr>
          <w:rFonts w:hint="default" w:ascii="Times New Roman" w:hAnsi="Times New Roman" w:cs="Times New Roman"/>
          <w:caps w:val="0"/>
          <w:smallCaps w:val="0"/>
          <w:lang w:val="en-US" w:eastAsia="zh-CN"/>
        </w:rPr>
        <w:t>项目声</w:t>
      </w:r>
      <w:r>
        <w:rPr>
          <w:rFonts w:hint="default" w:ascii="Times New Roman" w:hAnsi="Times New Roman" w:cs="Times New Roman"/>
          <w:caps w:val="0"/>
          <w:smallCaps w:val="0"/>
        </w:rPr>
        <w:t>环境保护目标一览表</w:t>
      </w:r>
    </w:p>
    <w:tbl>
      <w:tblPr>
        <w:tblStyle w:val="72"/>
        <w:tblW w:w="906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3"/>
        <w:gridCol w:w="1133"/>
        <w:gridCol w:w="2341"/>
        <w:gridCol w:w="2191"/>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项目</w:t>
            </w:r>
          </w:p>
        </w:tc>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目标名称</w:t>
            </w:r>
          </w:p>
        </w:tc>
        <w:tc>
          <w:tcPr>
            <w:tcW w:w="2341"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规模</w:t>
            </w:r>
          </w:p>
        </w:tc>
        <w:tc>
          <w:tcPr>
            <w:tcW w:w="2191"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lang w:val="en-US" w:eastAsia="zh-CN"/>
              </w:rPr>
              <w:t>相对项目厂址方位及厂界距离</w:t>
            </w:r>
          </w:p>
        </w:tc>
        <w:tc>
          <w:tcPr>
            <w:tcW w:w="2268"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环境功能及保护级别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1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声环境</w:t>
            </w:r>
          </w:p>
        </w:tc>
        <w:tc>
          <w:tcPr>
            <w:tcW w:w="11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推山咀社区居民</w:t>
            </w:r>
          </w:p>
        </w:tc>
        <w:tc>
          <w:tcPr>
            <w:tcW w:w="2341"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约70户，210人</w:t>
            </w:r>
          </w:p>
        </w:tc>
        <w:tc>
          <w:tcPr>
            <w:tcW w:w="2191" w:type="dxa"/>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30m</w:t>
            </w:r>
          </w:p>
        </w:tc>
        <w:tc>
          <w:tcPr>
            <w:tcW w:w="2268"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rPr>
              <w:t>GB3096-2008中</w:t>
            </w:r>
            <w:r>
              <w:rPr>
                <w:rFonts w:hint="eastAsia" w:ascii="Times New Roman" w:hAnsi="Times New Roman" w:cs="Times New Roman"/>
                <w:caps w:val="0"/>
                <w:smallCaps w:val="0"/>
                <w:lang w:val="en-US" w:eastAsia="zh-CN"/>
              </w:rPr>
              <w:t>2</w:t>
            </w:r>
            <w:r>
              <w:rPr>
                <w:rFonts w:hint="default" w:ascii="Times New Roman" w:hAnsi="Times New Roman" w:cs="Times New Roman"/>
                <w:caps w:val="0"/>
                <w:smallCaps w:val="0"/>
              </w:rPr>
              <w:t>类</w:t>
            </w:r>
          </w:p>
        </w:tc>
      </w:tr>
    </w:tbl>
    <w:p>
      <w:pPr>
        <w:adjustRightInd w:val="0"/>
        <w:snapToGrid w:val="0"/>
        <w:spacing w:line="360" w:lineRule="auto"/>
        <w:rPr>
          <w:rFonts w:ascii="Times New Roman" w:hAnsi="Times New Roman" w:cs="Times New Roman" w:eastAsiaTheme="minorEastAsia"/>
          <w:caps w:val="0"/>
          <w:smallCaps w:val="0"/>
          <w:color w:val="000000"/>
          <w:kern w:val="0"/>
          <w:sz w:val="24"/>
          <w:szCs w:val="24"/>
        </w:rPr>
      </w:pPr>
    </w:p>
    <w:p>
      <w:pPr>
        <w:pStyle w:val="6"/>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生态环境保护目标</w:t>
      </w:r>
    </w:p>
    <w:p>
      <w:pPr>
        <w:adjustRightInd w:val="0"/>
        <w:snapToGrid w:val="0"/>
        <w:spacing w:line="360" w:lineRule="auto"/>
        <w:ind w:firstLine="480" w:firstLineChars="200"/>
        <w:rPr>
          <w:rFonts w:hint="default" w:ascii="Times New Roman" w:hAnsi="Times New Roman" w:cs="Times New Roman" w:eastAsiaTheme="minorEastAsia"/>
          <w:caps w:val="0"/>
          <w:smallCaps w:val="0"/>
          <w:color w:val="000000"/>
          <w:kern w:val="0"/>
          <w:sz w:val="24"/>
          <w:szCs w:val="24"/>
          <w:u w:val="single"/>
          <w:lang w:val="en-US" w:eastAsia="zh-CN"/>
        </w:rPr>
      </w:pPr>
      <w:r>
        <w:rPr>
          <w:rFonts w:ascii="Times New Roman" w:hAnsi="Times New Roman" w:cs="Times New Roman" w:eastAsiaTheme="minorEastAsia"/>
          <w:caps w:val="0"/>
          <w:smallCaps w:val="0"/>
          <w:color w:val="000000"/>
          <w:kern w:val="0"/>
          <w:sz w:val="24"/>
          <w:szCs w:val="24"/>
          <w:u w:val="single"/>
        </w:rPr>
        <w:t>本项目生态影响保护目标为</w:t>
      </w:r>
      <w:r>
        <w:rPr>
          <w:rFonts w:hint="eastAsia" w:ascii="Times New Roman" w:hAnsi="Times New Roman" w:cs="Times New Roman" w:eastAsiaTheme="minorEastAsia"/>
          <w:caps w:val="0"/>
          <w:smallCaps w:val="0"/>
          <w:color w:val="000000"/>
          <w:kern w:val="0"/>
          <w:sz w:val="24"/>
          <w:szCs w:val="24"/>
          <w:u w:val="single"/>
        </w:rPr>
        <w:t>市</w:t>
      </w:r>
      <w:r>
        <w:rPr>
          <w:rFonts w:ascii="Times New Roman" w:hAnsi="Times New Roman" w:cs="Times New Roman" w:eastAsiaTheme="minorEastAsia"/>
          <w:caps w:val="0"/>
          <w:smallCaps w:val="0"/>
          <w:color w:val="000000"/>
          <w:kern w:val="0"/>
          <w:sz w:val="24"/>
          <w:szCs w:val="24"/>
          <w:u w:val="single"/>
        </w:rPr>
        <w:t>级</w:t>
      </w:r>
      <w:r>
        <w:rPr>
          <w:rFonts w:hint="eastAsia" w:ascii="Times New Roman" w:hAnsi="Times New Roman" w:cs="Times New Roman" w:eastAsiaTheme="minorEastAsia"/>
          <w:caps w:val="0"/>
          <w:smallCaps w:val="0"/>
          <w:color w:val="000000"/>
          <w:kern w:val="0"/>
          <w:sz w:val="24"/>
          <w:szCs w:val="24"/>
          <w:u w:val="single"/>
        </w:rPr>
        <w:t>江豚</w:t>
      </w:r>
      <w:r>
        <w:rPr>
          <w:rFonts w:ascii="Times New Roman" w:hAnsi="Times New Roman" w:cs="Times New Roman" w:eastAsiaTheme="minorEastAsia"/>
          <w:caps w:val="0"/>
          <w:smallCaps w:val="0"/>
          <w:color w:val="000000"/>
          <w:kern w:val="0"/>
          <w:sz w:val="24"/>
          <w:szCs w:val="24"/>
          <w:u w:val="single"/>
        </w:rPr>
        <w:t>自然保护区，本项目位于</w:t>
      </w:r>
      <w:r>
        <w:rPr>
          <w:rFonts w:hint="eastAsia" w:ascii="Times New Roman" w:hAnsi="Times New Roman" w:cs="Times New Roman" w:eastAsiaTheme="minorEastAsia"/>
          <w:caps w:val="0"/>
          <w:smallCaps w:val="0"/>
          <w:color w:val="000000"/>
          <w:kern w:val="0"/>
          <w:sz w:val="24"/>
          <w:szCs w:val="24"/>
          <w:u w:val="single"/>
        </w:rPr>
        <w:t>江豚</w:t>
      </w:r>
      <w:r>
        <w:rPr>
          <w:rFonts w:ascii="Times New Roman" w:hAnsi="Times New Roman" w:cs="Times New Roman" w:eastAsiaTheme="minorEastAsia"/>
          <w:caps w:val="0"/>
          <w:smallCaps w:val="0"/>
          <w:color w:val="000000"/>
          <w:kern w:val="0"/>
          <w:sz w:val="24"/>
          <w:szCs w:val="24"/>
          <w:u w:val="single"/>
        </w:rPr>
        <w:t>自然保护区</w:t>
      </w:r>
      <w:r>
        <w:rPr>
          <w:rFonts w:hint="eastAsia" w:ascii="Times New Roman" w:hAnsi="Times New Roman" w:cs="Times New Roman" w:eastAsiaTheme="minorEastAsia"/>
          <w:caps w:val="0"/>
          <w:smallCaps w:val="0"/>
          <w:color w:val="000000"/>
          <w:kern w:val="0"/>
          <w:sz w:val="24"/>
          <w:szCs w:val="24"/>
          <w:u w:val="single"/>
        </w:rPr>
        <w:t>试验区</w:t>
      </w:r>
      <w:r>
        <w:rPr>
          <w:rFonts w:ascii="Times New Roman" w:hAnsi="Times New Roman" w:cs="Times New Roman" w:eastAsiaTheme="minorEastAsia"/>
          <w:caps w:val="0"/>
          <w:smallCaps w:val="0"/>
          <w:color w:val="000000"/>
          <w:kern w:val="0"/>
          <w:sz w:val="24"/>
          <w:szCs w:val="24"/>
          <w:u w:val="single"/>
        </w:rPr>
        <w:t>范围</w:t>
      </w:r>
      <w:r>
        <w:rPr>
          <w:rFonts w:hint="eastAsia" w:ascii="Times New Roman" w:hAnsi="Times New Roman" w:cs="Times New Roman" w:eastAsiaTheme="minorEastAsia"/>
          <w:caps w:val="0"/>
          <w:smallCaps w:val="0"/>
          <w:color w:val="000000"/>
          <w:kern w:val="0"/>
          <w:sz w:val="24"/>
          <w:szCs w:val="24"/>
          <w:u w:val="single"/>
        </w:rPr>
        <w:t>内</w:t>
      </w:r>
      <w:r>
        <w:rPr>
          <w:rFonts w:hint="eastAsia" w:cs="Times New Roman" w:eastAsiaTheme="minorEastAsia"/>
          <w:caps w:val="0"/>
          <w:smallCaps w:val="0"/>
          <w:color w:val="000000"/>
          <w:kern w:val="0"/>
          <w:sz w:val="24"/>
          <w:szCs w:val="24"/>
          <w:u w:val="single"/>
          <w:lang w:eastAsia="zh-CN"/>
        </w:rPr>
        <w:t>；本项目西侧约</w:t>
      </w:r>
      <w:r>
        <w:rPr>
          <w:rFonts w:hint="eastAsia" w:cs="Times New Roman" w:eastAsiaTheme="minorEastAsia"/>
          <w:caps w:val="0"/>
          <w:smallCaps w:val="0"/>
          <w:color w:val="000000"/>
          <w:kern w:val="0"/>
          <w:sz w:val="24"/>
          <w:szCs w:val="24"/>
          <w:u w:val="single"/>
          <w:lang w:val="en-US" w:eastAsia="zh-CN"/>
        </w:rPr>
        <w:t>700m为湘阴县横岭湖省级自然保护区，项目不在该保护区范围内；本项目西侧约1000m为南洞庭湖大口鲶青虾中华鳖国家级水产种质资源保护区，项目不在该保护区范围内。本项目具体生态环境保护目标见下表。</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表2.</w:t>
      </w:r>
      <w:r>
        <w:rPr>
          <w:rFonts w:hint="eastAsia" w:cs="Times New Roman" w:eastAsiaTheme="minorEastAsia"/>
          <w:b/>
          <w:caps w:val="0"/>
          <w:smallCaps w:val="0"/>
          <w:color w:val="000000"/>
          <w:sz w:val="24"/>
          <w:szCs w:val="24"/>
          <w:u w:val="single"/>
          <w:lang w:val="en-US" w:eastAsia="zh-CN"/>
        </w:rPr>
        <w:t>6</w:t>
      </w:r>
      <w:r>
        <w:rPr>
          <w:rFonts w:ascii="Times New Roman" w:hAnsi="Times New Roman" w:cs="Times New Roman" w:eastAsiaTheme="minorEastAsia"/>
          <w:b/>
          <w:caps w:val="0"/>
          <w:smallCaps w:val="0"/>
          <w:color w:val="000000"/>
          <w:sz w:val="24"/>
          <w:szCs w:val="24"/>
          <w:u w:val="single"/>
        </w:rPr>
        <w:t>-4评价范围内生态环境保护目标</w:t>
      </w:r>
    </w:p>
    <w:tbl>
      <w:tblPr>
        <w:tblStyle w:val="71"/>
        <w:tblW w:w="503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754"/>
        <w:gridCol w:w="1973"/>
        <w:gridCol w:w="543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957"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敏感点</w:t>
            </w:r>
          </w:p>
        </w:tc>
        <w:tc>
          <w:tcPr>
            <w:tcW w:w="1077"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与工程相对位置</w:t>
            </w:r>
          </w:p>
        </w:tc>
        <w:tc>
          <w:tcPr>
            <w:tcW w:w="2964"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规模与环境特征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57" w:type="pct"/>
            <w:vAlign w:val="center"/>
          </w:tcPr>
          <w:p>
            <w:pPr>
              <w:pStyle w:val="117"/>
              <w:bidi w:val="0"/>
              <w:rPr>
                <w:rFonts w:ascii="Times New Roman" w:hAnsi="Times New Roman" w:cs="Times New Roman"/>
                <w:caps w:val="0"/>
                <w:smallCaps w:val="0"/>
                <w:color w:val="auto"/>
                <w:u w:val="single"/>
              </w:rPr>
            </w:pPr>
            <w:r>
              <w:rPr>
                <w:rFonts w:ascii="Times New Roman" w:hAnsi="Times New Roman" w:cs="Times New Roman"/>
                <w:caps w:val="0"/>
                <w:smallCaps w:val="0"/>
                <w:color w:val="auto"/>
                <w:u w:val="single"/>
              </w:rPr>
              <w:t>野生动植物资源</w:t>
            </w:r>
          </w:p>
        </w:tc>
        <w:tc>
          <w:tcPr>
            <w:tcW w:w="1077" w:type="pct"/>
            <w:vAlign w:val="center"/>
          </w:tcPr>
          <w:p>
            <w:pPr>
              <w:pStyle w:val="117"/>
              <w:bidi w:val="0"/>
              <w:rPr>
                <w:rFonts w:ascii="Times New Roman" w:hAnsi="Times New Roman" w:cs="Times New Roman"/>
                <w:caps w:val="0"/>
                <w:smallCaps w:val="0"/>
                <w:color w:val="auto"/>
                <w:u w:val="single"/>
              </w:rPr>
            </w:pPr>
            <w:r>
              <w:rPr>
                <w:rFonts w:ascii="Times New Roman" w:hAnsi="Times New Roman" w:cs="Times New Roman"/>
                <w:caps w:val="0"/>
                <w:smallCaps w:val="0"/>
                <w:color w:val="auto"/>
                <w:u w:val="single"/>
              </w:rPr>
              <w:t>分布于码头作业区边缘影响区域内</w:t>
            </w:r>
          </w:p>
        </w:tc>
        <w:tc>
          <w:tcPr>
            <w:tcW w:w="2964" w:type="pct"/>
            <w:vAlign w:val="center"/>
          </w:tcPr>
          <w:p>
            <w:pPr>
              <w:pStyle w:val="117"/>
              <w:bidi w:val="0"/>
              <w:rPr>
                <w:rFonts w:ascii="Times New Roman" w:hAnsi="Times New Roman" w:cs="Times New Roman"/>
                <w:caps w:val="0"/>
                <w:smallCaps w:val="0"/>
                <w:color w:val="auto"/>
                <w:u w:val="single"/>
              </w:rPr>
            </w:pPr>
            <w:r>
              <w:rPr>
                <w:rFonts w:ascii="Times New Roman" w:hAnsi="Times New Roman" w:cs="Times New Roman"/>
                <w:caps w:val="0"/>
                <w:smallCaps w:val="0"/>
                <w:color w:val="auto"/>
                <w:u w:val="single"/>
              </w:rPr>
              <w:t>植被类型单一，主要是常见的人工植被为主，另外还有大量的灌草丛；野生动物较少，多为鸟类、蛇类、青蛙、鼠类等常见物种，无珍稀濒危物种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57"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岳阳市东洞庭湖江豚自然保护区</w:t>
            </w:r>
          </w:p>
        </w:tc>
        <w:tc>
          <w:tcPr>
            <w:tcW w:w="1077"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本项目浮码头位于</w:t>
            </w:r>
            <w:r>
              <w:rPr>
                <w:rFonts w:hint="eastAsia" w:ascii="Times New Roman" w:hAnsi="Times New Roman" w:cs="Times New Roman"/>
                <w:caps w:val="0"/>
                <w:smallCaps w:val="0"/>
                <w:u w:val="single"/>
              </w:rPr>
              <w:t>市</w:t>
            </w:r>
            <w:r>
              <w:rPr>
                <w:rFonts w:ascii="Times New Roman" w:hAnsi="Times New Roman" w:cs="Times New Roman"/>
                <w:caps w:val="0"/>
                <w:smallCaps w:val="0"/>
                <w:u w:val="single"/>
              </w:rPr>
              <w:t>级</w:t>
            </w:r>
            <w:r>
              <w:rPr>
                <w:rFonts w:hint="eastAsia" w:ascii="Times New Roman" w:hAnsi="Times New Roman" w:cs="Times New Roman"/>
                <w:caps w:val="0"/>
                <w:smallCaps w:val="0"/>
                <w:u w:val="single"/>
              </w:rPr>
              <w:t>江豚</w:t>
            </w:r>
            <w:r>
              <w:rPr>
                <w:rFonts w:ascii="Times New Roman" w:hAnsi="Times New Roman" w:cs="Times New Roman"/>
                <w:caps w:val="0"/>
                <w:smallCaps w:val="0"/>
                <w:u w:val="single"/>
              </w:rPr>
              <w:t>自然保护区</w:t>
            </w:r>
            <w:r>
              <w:rPr>
                <w:rFonts w:hint="eastAsia" w:ascii="Times New Roman" w:hAnsi="Times New Roman" w:cs="Times New Roman"/>
                <w:caps w:val="0"/>
                <w:smallCaps w:val="0"/>
                <w:u w:val="single"/>
                <w:lang w:eastAsia="zh-CN"/>
              </w:rPr>
              <w:t>实</w:t>
            </w:r>
            <w:r>
              <w:rPr>
                <w:rFonts w:hint="eastAsia" w:ascii="Times New Roman" w:hAnsi="Times New Roman" w:cs="Times New Roman"/>
                <w:caps w:val="0"/>
                <w:smallCaps w:val="0"/>
                <w:u w:val="single"/>
              </w:rPr>
              <w:t>验区</w:t>
            </w:r>
          </w:p>
        </w:tc>
        <w:tc>
          <w:tcPr>
            <w:tcW w:w="2964" w:type="pct"/>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东洞庭湖江豚自然保护区范围介于E112°43′～113°15，N 28°59′～29°38′之间，包括岳阳省道S306线三江口至鲶鱼口湘江洪道和东洞庭湖水域，总面积667km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，其中核心区66km2、缓冲区593km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w:t>
            </w:r>
            <w:r>
              <w:rPr>
                <w:rFonts w:hint="eastAsia" w:ascii="Times New Roman" w:hAnsi="Times New Roman" w:cs="Times New Roman"/>
                <w:caps w:val="0"/>
                <w:smallCaps w:val="0"/>
                <w:u w:val="single"/>
                <w:lang w:eastAsia="zh-CN"/>
              </w:rPr>
              <w:t>实验</w:t>
            </w:r>
            <w:r>
              <w:rPr>
                <w:rFonts w:ascii="Times New Roman" w:hAnsi="Times New Roman" w:cs="Times New Roman"/>
                <w:caps w:val="0"/>
                <w:smallCaps w:val="0"/>
                <w:u w:val="single"/>
              </w:rPr>
              <w:t>区8k</w:t>
            </w:r>
            <w:r>
              <w:rPr>
                <w:rFonts w:ascii="Times New Roman" w:hAnsi="Times New Roman" w:cs="Times New Roman"/>
                <w:caps w:val="0"/>
                <w:smallCaps w:val="0"/>
                <w:u w:val="single"/>
                <w:vertAlign w:val="baseline"/>
              </w:rPr>
              <w:t>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保护区水生动植物资源丰富，特别是鱼类资源，有鱼类125种，是淡水鱼类重要的种质资源库，同时也是重点保护鱼类胭脂鱼、中华鲟的重要栖息地，通过对保护区的有效管理，在保护好江豚的同时，对保护其他鱼类种质资源和野生鱼类，保持洞庭湖生物多样性将起到同样重要的作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57" w:type="pct"/>
            <w:vAlign w:val="center"/>
          </w:tcPr>
          <w:p>
            <w:pPr>
              <w:pStyle w:val="117"/>
              <w:bidi w:val="0"/>
              <w:rPr>
                <w:rFonts w:ascii="Times New Roman" w:hAnsi="Times New Roman" w:cs="Times New Roman"/>
                <w:caps w:val="0"/>
                <w:smallCaps w:val="0"/>
                <w:u w:val="single"/>
              </w:rPr>
            </w:pPr>
            <w:r>
              <w:rPr>
                <w:rFonts w:hint="eastAsia"/>
                <w:kern w:val="2"/>
                <w:sz w:val="21"/>
                <w:szCs w:val="24"/>
                <w:u w:val="single"/>
                <w:lang w:val="en-US" w:eastAsia="zh-CN"/>
              </w:rPr>
              <w:t>湘阴县横岭湖省级自然保护区</w:t>
            </w:r>
          </w:p>
        </w:tc>
        <w:tc>
          <w:tcPr>
            <w:tcW w:w="1077" w:type="pct"/>
            <w:vAlign w:val="center"/>
          </w:tcPr>
          <w:p>
            <w:pPr>
              <w:pStyle w:val="117"/>
              <w:bidi w:val="0"/>
              <w:rPr>
                <w:rFonts w:hint="default"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lang w:val="en-US" w:eastAsia="zh-CN"/>
              </w:rPr>
              <w:t>W，本项目不在自然保护区范围内，与自然保护区最近的为实验区，与实验区边界最近距离约700m</w:t>
            </w:r>
          </w:p>
        </w:tc>
        <w:tc>
          <w:tcPr>
            <w:tcW w:w="2964"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val="en-US" w:eastAsia="zh-CN"/>
              </w:rPr>
              <w:t xml:space="preserve">横岭湖湖盆区为洞庭湖的一部分，由 </w:t>
            </w:r>
            <w:r>
              <w:rPr>
                <w:rFonts w:hint="default" w:ascii="Times New Roman" w:hAnsi="Times New Roman" w:cs="Times New Roman"/>
                <w:caps w:val="0"/>
                <w:smallCaps w:val="0"/>
                <w:u w:val="single"/>
                <w:lang w:val="en-US" w:eastAsia="zh-CN"/>
              </w:rPr>
              <w:t xml:space="preserve">24 </w:t>
            </w:r>
            <w:r>
              <w:rPr>
                <w:rFonts w:hint="eastAsia" w:ascii="Times New Roman" w:hAnsi="Times New Roman" w:cs="Times New Roman"/>
                <w:caps w:val="0"/>
                <w:smallCaps w:val="0"/>
                <w:u w:val="single"/>
                <w:lang w:val="en-US" w:eastAsia="zh-CN"/>
              </w:rPr>
              <w:t xml:space="preserve">个常年性湖泊和三大片季节性洲土组成，其中洲滩 </w:t>
            </w:r>
            <w:r>
              <w:rPr>
                <w:rFonts w:hint="default" w:ascii="Times New Roman" w:hAnsi="Times New Roman" w:cs="Times New Roman"/>
                <w:caps w:val="0"/>
                <w:smallCaps w:val="0"/>
                <w:u w:val="single"/>
                <w:lang w:val="en-US" w:eastAsia="zh-CN"/>
              </w:rPr>
              <w:t xml:space="preserve">0.6 </w:t>
            </w:r>
            <w:r>
              <w:rPr>
                <w:rFonts w:hint="eastAsia" w:ascii="Times New Roman" w:hAnsi="Times New Roman" w:cs="Times New Roman"/>
                <w:caps w:val="0"/>
                <w:smallCaps w:val="0"/>
                <w:u w:val="single"/>
                <w:lang w:val="en-US" w:eastAsia="zh-CN"/>
              </w:rPr>
              <w:t xml:space="preserve">公顷，永久性水面 </w:t>
            </w:r>
            <w:r>
              <w:rPr>
                <w:rFonts w:hint="default" w:ascii="Times New Roman" w:hAnsi="Times New Roman" w:cs="Times New Roman"/>
                <w:caps w:val="0"/>
                <w:smallCaps w:val="0"/>
                <w:u w:val="single"/>
                <w:lang w:val="en-US" w:eastAsia="zh-CN"/>
              </w:rPr>
              <w:t xml:space="preserve">1.5 </w:t>
            </w:r>
            <w:r>
              <w:rPr>
                <w:rFonts w:hint="eastAsia" w:ascii="Times New Roman" w:hAnsi="Times New Roman" w:cs="Times New Roman"/>
                <w:caps w:val="0"/>
                <w:smallCaps w:val="0"/>
                <w:u w:val="single"/>
                <w:lang w:val="en-US" w:eastAsia="zh-CN"/>
              </w:rPr>
              <w:t>公顷。横岭湖保护区位于南洞庭湖区，是从湘江进入到南洞庭湖的第一个大型湖区。有湿地植物 397 种，境内分布有各类野生动物 440 种（鸟类 207 种、鱼类 112 种），属国家重点保护的野生动物近 90 种，包括胭脂鱼在内的 4 种濒危鱼类生活在湖区，也有白鳍豚和蒋盾等具有全球重要意义的哺乳动物。</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957" w:type="pct"/>
            <w:vAlign w:val="center"/>
          </w:tcPr>
          <w:p>
            <w:pPr>
              <w:pStyle w:val="117"/>
              <w:bidi w:val="0"/>
              <w:rPr>
                <w:rFonts w:hint="eastAsia"/>
                <w:kern w:val="2"/>
                <w:sz w:val="21"/>
                <w:szCs w:val="24"/>
                <w:u w:val="single"/>
                <w:lang w:val="en-US" w:eastAsia="zh-CN"/>
              </w:rPr>
            </w:pPr>
            <w:r>
              <w:rPr>
                <w:rFonts w:hint="eastAsia"/>
                <w:kern w:val="2"/>
                <w:sz w:val="21"/>
                <w:szCs w:val="24"/>
                <w:u w:val="single"/>
                <w:lang w:val="en-US" w:eastAsia="zh-CN"/>
              </w:rPr>
              <w:t>南洞庭湖大口鲶青虾中华鳖国家级水产种质资源保护区</w:t>
            </w:r>
          </w:p>
        </w:tc>
        <w:tc>
          <w:tcPr>
            <w:tcW w:w="1077" w:type="pct"/>
            <w:vAlign w:val="center"/>
          </w:tcPr>
          <w:p>
            <w:pPr>
              <w:pStyle w:val="117"/>
              <w:bidi w:val="0"/>
              <w:rPr>
                <w:rFonts w:hint="default"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W，本项目不在该水产内，项目与水产种质资源保护区最近的为实验区，与实验区边界最近距离约1000m</w:t>
            </w:r>
          </w:p>
        </w:tc>
        <w:tc>
          <w:tcPr>
            <w:tcW w:w="2964" w:type="pct"/>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val="en-US" w:eastAsia="zh-CN"/>
              </w:rPr>
              <w:t xml:space="preserve">南洞庭湖大口鲶青虾中华鳖国家级水产种质资源保护区总面积 </w:t>
            </w:r>
            <w:r>
              <w:rPr>
                <w:rFonts w:hint="default" w:ascii="Times New Roman" w:hAnsi="Times New Roman" w:cs="Times New Roman"/>
                <w:caps w:val="0"/>
                <w:smallCaps w:val="0"/>
                <w:u w:val="single"/>
                <w:lang w:val="en-US" w:eastAsia="zh-CN"/>
              </w:rPr>
              <w:t xml:space="preserve">4.3 </w:t>
            </w:r>
            <w:r>
              <w:rPr>
                <w:rFonts w:hint="eastAsia" w:ascii="Times New Roman" w:hAnsi="Times New Roman" w:cs="Times New Roman"/>
                <w:caps w:val="0"/>
                <w:smallCaps w:val="0"/>
                <w:u w:val="single"/>
                <w:lang w:val="en-US" w:eastAsia="zh-CN"/>
              </w:rPr>
              <w:t xml:space="preserve">万公顷，范围为湘阴县所辖南洞庭湖（横岭湖），保护区核心区总面积 </w:t>
            </w:r>
            <w:r>
              <w:rPr>
                <w:rFonts w:hint="default" w:ascii="Times New Roman" w:hAnsi="Times New Roman" w:cs="Times New Roman"/>
                <w:caps w:val="0"/>
                <w:smallCaps w:val="0"/>
                <w:u w:val="single"/>
                <w:lang w:val="en-US" w:eastAsia="zh-CN"/>
              </w:rPr>
              <w:t xml:space="preserve">1.2 </w:t>
            </w:r>
            <w:r>
              <w:rPr>
                <w:rFonts w:hint="eastAsia" w:ascii="Times New Roman" w:hAnsi="Times New Roman" w:cs="Times New Roman"/>
                <w:caps w:val="0"/>
                <w:smallCaps w:val="0"/>
                <w:u w:val="single"/>
                <w:lang w:val="en-US" w:eastAsia="zh-CN"/>
              </w:rPr>
              <w:t>万公顷。保护区主要保护对象有大口鲶、青虾、中华鳖，其他保护物种包括青鱼、草鱼、鲢、鳙、鲤、鳊、鲫、鳜、鱤、乌鳢、黄颡、黄鳝、秀丽白虾、三角帆蚌、中华绒螯蟹、乌龟等。</w:t>
            </w:r>
          </w:p>
        </w:tc>
      </w:tr>
    </w:tbl>
    <w:p>
      <w:pPr>
        <w:adjustRightInd w:val="0"/>
        <w:snapToGrid w:val="0"/>
        <w:spacing w:line="360" w:lineRule="auto"/>
        <w:rPr>
          <w:rFonts w:ascii="Times New Roman" w:hAnsi="Times New Roman" w:cs="Times New Roman" w:eastAsiaTheme="minorEastAsia"/>
          <w:caps w:val="0"/>
          <w:smallCaps w:val="0"/>
          <w:color w:val="000000"/>
          <w:kern w:val="0"/>
        </w:rPr>
      </w:pPr>
      <w:r>
        <w:rPr>
          <w:rFonts w:ascii="Times New Roman" w:hAnsi="Times New Roman" w:cs="Times New Roman" w:eastAsiaTheme="minorEastAsia"/>
          <w:caps w:val="0"/>
          <w:smallCaps w:val="0"/>
          <w:color w:val="000000"/>
          <w:kern w:val="0"/>
        </w:rPr>
        <w:t>注：本项目不涉及生态保护红线范围。</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风险环境保护目标</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本项目风险环境保护目标即为地表水保护目标和生态环境保护目标，详见下表。</w:t>
      </w:r>
    </w:p>
    <w:p>
      <w:pPr>
        <w:tabs>
          <w:tab w:val="left" w:pos="900"/>
        </w:tabs>
        <w:snapToGrid w:val="0"/>
        <w:spacing w:line="276"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表2.</w:t>
      </w:r>
      <w:r>
        <w:rPr>
          <w:rFonts w:hint="eastAsia" w:cs="Times New Roman" w:eastAsiaTheme="minorEastAsia"/>
          <w:b/>
          <w:caps w:val="0"/>
          <w:smallCaps w:val="0"/>
          <w:color w:val="000000" w:themeColor="text1"/>
          <w:sz w:val="24"/>
          <w:szCs w:val="24"/>
          <w:lang w:val="en-US" w:eastAsia="zh-CN"/>
          <w14:textFill>
            <w14:solidFill>
              <w14:schemeClr w14:val="tx1"/>
            </w14:solidFill>
          </w14:textFill>
        </w:rPr>
        <w:t>6</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-5评价范围内风险环境保护目标</w:t>
      </w:r>
    </w:p>
    <w:tbl>
      <w:tblPr>
        <w:tblStyle w:val="71"/>
        <w:tblW w:w="513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0" w:type="dxa"/>
          <w:bottom w:w="0" w:type="dxa"/>
          <w:right w:w="0" w:type="dxa"/>
        </w:tblCellMar>
      </w:tblPr>
      <w:tblGrid>
        <w:gridCol w:w="558"/>
        <w:gridCol w:w="1510"/>
        <w:gridCol w:w="1786"/>
        <w:gridCol w:w="548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50" w:hRule="atLeast"/>
          <w:tblHeader/>
          <w:jc w:val="center"/>
        </w:trPr>
        <w:tc>
          <w:tcPr>
            <w:tcW w:w="29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808"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名称</w:t>
            </w:r>
          </w:p>
        </w:tc>
        <w:tc>
          <w:tcPr>
            <w:tcW w:w="9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相对位置</w:t>
            </w:r>
          </w:p>
        </w:tc>
        <w:tc>
          <w:tcPr>
            <w:tcW w:w="293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规模与环境特征</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633" w:hRule="atLeast"/>
          <w:jc w:val="center"/>
        </w:trPr>
        <w:tc>
          <w:tcPr>
            <w:tcW w:w="29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808"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湘</w:t>
            </w:r>
            <w:r>
              <w:rPr>
                <w:rFonts w:ascii="Times New Roman" w:hAnsi="Times New Roman" w:cs="Times New Roman"/>
                <w:caps w:val="0"/>
                <w:smallCaps w:val="0"/>
              </w:rPr>
              <w:t>江（岳阳段）</w:t>
            </w:r>
          </w:p>
        </w:tc>
        <w:tc>
          <w:tcPr>
            <w:tcW w:w="9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紧邻</w:t>
            </w:r>
          </w:p>
        </w:tc>
        <w:tc>
          <w:tcPr>
            <w:tcW w:w="2935"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湘</w:t>
            </w:r>
            <w:r>
              <w:rPr>
                <w:rFonts w:ascii="Times New Roman" w:hAnsi="Times New Roman" w:cs="Times New Roman"/>
                <w:caps w:val="0"/>
                <w:smallCaps w:val="0"/>
              </w:rPr>
              <w:t>江属大型河流，多年平均流量为20400m</w:t>
            </w:r>
            <w:r>
              <w:rPr>
                <w:rFonts w:ascii="Times New Roman" w:hAnsi="Times New Roman" w:cs="Times New Roman"/>
                <w:caps w:val="0"/>
                <w:smallCaps w:val="0"/>
                <w:vertAlign w:val="superscript"/>
              </w:rPr>
              <w:t>3</w:t>
            </w:r>
            <w:r>
              <w:rPr>
                <w:rFonts w:ascii="Times New Roman" w:hAnsi="Times New Roman" w:cs="Times New Roman"/>
                <w:caps w:val="0"/>
                <w:smallCaps w:val="0"/>
              </w:rPr>
              <w:t>/s</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5" w:hRule="atLeast"/>
          <w:jc w:val="center"/>
        </w:trPr>
        <w:tc>
          <w:tcPr>
            <w:tcW w:w="299"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w:t>
            </w:r>
          </w:p>
        </w:tc>
        <w:tc>
          <w:tcPr>
            <w:tcW w:w="808"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岳阳市东洞庭湖江豚自然保护区</w:t>
            </w:r>
          </w:p>
        </w:tc>
        <w:tc>
          <w:tcPr>
            <w:tcW w:w="9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本项目位于岳阳市东洞庭湖江豚自然保护区</w:t>
            </w:r>
            <w:r>
              <w:rPr>
                <w:rFonts w:hint="eastAsia" w:ascii="Times New Roman" w:hAnsi="Times New Roman" w:cs="Times New Roman"/>
                <w:caps w:val="0"/>
                <w:smallCaps w:val="0"/>
              </w:rPr>
              <w:t>实验区</w:t>
            </w:r>
          </w:p>
        </w:tc>
        <w:tc>
          <w:tcPr>
            <w:tcW w:w="293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东洞庭湖江豚自然保护区范围介于E112°43′～113°15，N 28°59′～29°38′之间，包括岳阳省道S306线三江口至鲶鱼口湘江洪道和东洞庭湖水域，总面积667km</w:t>
            </w:r>
            <w:r>
              <w:rPr>
                <w:rFonts w:ascii="Times New Roman" w:hAnsi="Times New Roman" w:cs="Times New Roman"/>
                <w:caps w:val="0"/>
                <w:smallCaps w:val="0"/>
                <w:vertAlign w:val="superscript"/>
              </w:rPr>
              <w:t>2</w:t>
            </w:r>
            <w:r>
              <w:rPr>
                <w:rFonts w:ascii="Times New Roman" w:hAnsi="Times New Roman" w:cs="Times New Roman"/>
                <w:caps w:val="0"/>
                <w:smallCaps w:val="0"/>
              </w:rPr>
              <w:t>，其中核心区66km</w:t>
            </w:r>
            <w:r>
              <w:rPr>
                <w:rFonts w:ascii="Times New Roman" w:hAnsi="Times New Roman" w:cs="Times New Roman"/>
                <w:caps w:val="0"/>
                <w:smallCaps w:val="0"/>
                <w:vertAlign w:val="superscript"/>
              </w:rPr>
              <w:t>2</w:t>
            </w:r>
            <w:r>
              <w:rPr>
                <w:rFonts w:ascii="Times New Roman" w:hAnsi="Times New Roman" w:cs="Times New Roman"/>
                <w:caps w:val="0"/>
                <w:smallCaps w:val="0"/>
              </w:rPr>
              <w:t>、缓冲区593km</w:t>
            </w:r>
            <w:r>
              <w:rPr>
                <w:rFonts w:ascii="Times New Roman" w:hAnsi="Times New Roman" w:cs="Times New Roman"/>
                <w:caps w:val="0"/>
                <w:smallCaps w:val="0"/>
                <w:vertAlign w:val="superscript"/>
              </w:rPr>
              <w:t>2</w:t>
            </w:r>
            <w:r>
              <w:rPr>
                <w:rFonts w:ascii="Times New Roman" w:hAnsi="Times New Roman" w:cs="Times New Roman"/>
                <w:caps w:val="0"/>
                <w:smallCaps w:val="0"/>
              </w:rPr>
              <w:t>、</w:t>
            </w:r>
            <w:r>
              <w:rPr>
                <w:rFonts w:hint="eastAsia" w:ascii="Times New Roman" w:hAnsi="Times New Roman" w:cs="Times New Roman"/>
                <w:caps w:val="0"/>
                <w:smallCaps w:val="0"/>
                <w:lang w:eastAsia="zh-CN"/>
              </w:rPr>
              <w:t>实验</w:t>
            </w:r>
            <w:r>
              <w:rPr>
                <w:rFonts w:ascii="Times New Roman" w:hAnsi="Times New Roman" w:cs="Times New Roman"/>
                <w:caps w:val="0"/>
                <w:smallCaps w:val="0"/>
              </w:rPr>
              <w:t>区8km</w:t>
            </w:r>
            <w:r>
              <w:rPr>
                <w:rFonts w:ascii="Times New Roman" w:hAnsi="Times New Roman" w:cs="Times New Roman"/>
                <w:caps w:val="0"/>
                <w:smallCaps w:val="0"/>
                <w:vertAlign w:val="superscript"/>
              </w:rPr>
              <w:t>2</w:t>
            </w:r>
            <w:r>
              <w:rPr>
                <w:rFonts w:ascii="Times New Roman" w:hAnsi="Times New Roman" w:cs="Times New Roman"/>
                <w:caps w:val="0"/>
                <w:smallCaps w:val="0"/>
              </w:rPr>
              <w:t>。保护区水生动植物资源丰富，特别是鱼类资源，有鱼类125种，是淡水鱼类重要的种质资源库，同时也是重点保护鱼类胭脂鱼、中华鲟的重要栖息地，通过对保护区的有效管理，在保护好江豚的同时，对保护其他鱼类种质资源和野生鱼类，保持洞庭湖生物多样性将起到同样重要的作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5" w:hRule="atLeast"/>
          <w:jc w:val="center"/>
        </w:trPr>
        <w:tc>
          <w:tcPr>
            <w:tcW w:w="299" w:type="pct"/>
            <w:tcMar>
              <w:left w:w="0" w:type="dxa"/>
              <w:right w:w="0" w:type="dxa"/>
            </w:tcMar>
            <w:vAlign w:val="center"/>
          </w:tcPr>
          <w:p>
            <w:pPr>
              <w:pStyle w:val="117"/>
              <w:bidi w:val="0"/>
              <w:rPr>
                <w:rFonts w:hint="eastAsia"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3</w:t>
            </w:r>
          </w:p>
        </w:tc>
        <w:tc>
          <w:tcPr>
            <w:tcW w:w="808" w:type="pct"/>
            <w:tcMar>
              <w:left w:w="0" w:type="dxa"/>
              <w:right w:w="0" w:type="dxa"/>
            </w:tcMar>
            <w:vAlign w:val="center"/>
          </w:tcPr>
          <w:p>
            <w:pPr>
              <w:pStyle w:val="117"/>
              <w:bidi w:val="0"/>
              <w:ind w:firstLine="0" w:firstLineChars="0"/>
              <w:rPr>
                <w:rFonts w:ascii="Times New Roman" w:hAnsi="Times New Roman" w:eastAsia="宋体" w:cs="Times New Roman"/>
                <w:caps w:val="0"/>
                <w:smallCaps w:val="0"/>
                <w:kern w:val="0"/>
                <w:sz w:val="21"/>
                <w:szCs w:val="24"/>
                <w:u w:val="single"/>
                <w:lang w:val="en-US" w:eastAsia="zh-CN" w:bidi="ar-SA"/>
              </w:rPr>
            </w:pPr>
            <w:r>
              <w:rPr>
                <w:rFonts w:hint="eastAsia"/>
                <w:kern w:val="2"/>
                <w:sz w:val="21"/>
                <w:szCs w:val="24"/>
                <w:u w:val="single"/>
                <w:lang w:val="en-US" w:eastAsia="zh-CN"/>
              </w:rPr>
              <w:t>湘阴县横岭湖省级自然保护区</w:t>
            </w:r>
          </w:p>
        </w:tc>
        <w:tc>
          <w:tcPr>
            <w:tcW w:w="956" w:type="pct"/>
            <w:tcMar>
              <w:left w:w="0" w:type="dxa"/>
              <w:right w:w="0" w:type="dxa"/>
            </w:tcMar>
            <w:vAlign w:val="center"/>
          </w:tcPr>
          <w:p>
            <w:pPr>
              <w:pStyle w:val="117"/>
              <w:bidi w:val="0"/>
              <w:ind w:firstLine="0" w:firstLineChars="0"/>
              <w:rPr>
                <w:rFonts w:hint="default"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W，本项目不在自然保护区范围内，与自然保护区最近的为实验区，与实验区边界最近距离约700m</w:t>
            </w:r>
          </w:p>
        </w:tc>
        <w:tc>
          <w:tcPr>
            <w:tcW w:w="2935" w:type="pct"/>
            <w:tcMar>
              <w:left w:w="0" w:type="dxa"/>
              <w:right w:w="0" w:type="dxa"/>
            </w:tcMar>
            <w:vAlign w:val="center"/>
          </w:tcPr>
          <w:p>
            <w:pPr>
              <w:pStyle w:val="117"/>
              <w:bidi w:val="0"/>
              <w:ind w:firstLine="0" w:firstLineChars="0"/>
              <w:rPr>
                <w:rFonts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 xml:space="preserve">横岭湖湖盆区为洞庭湖的一部分，由 </w:t>
            </w:r>
            <w:r>
              <w:rPr>
                <w:rFonts w:hint="default" w:ascii="Times New Roman" w:hAnsi="Times New Roman" w:cs="Times New Roman"/>
                <w:caps w:val="0"/>
                <w:smallCaps w:val="0"/>
                <w:u w:val="single"/>
                <w:lang w:val="en-US" w:eastAsia="zh-CN"/>
              </w:rPr>
              <w:t xml:space="preserve">24 </w:t>
            </w:r>
            <w:r>
              <w:rPr>
                <w:rFonts w:hint="eastAsia" w:ascii="Times New Roman" w:hAnsi="Times New Roman" w:cs="Times New Roman"/>
                <w:caps w:val="0"/>
                <w:smallCaps w:val="0"/>
                <w:u w:val="single"/>
                <w:lang w:val="en-US" w:eastAsia="zh-CN"/>
              </w:rPr>
              <w:t xml:space="preserve">个常年性湖泊和三大片季节性洲土组成，其中洲滩 </w:t>
            </w:r>
            <w:r>
              <w:rPr>
                <w:rFonts w:hint="default" w:ascii="Times New Roman" w:hAnsi="Times New Roman" w:cs="Times New Roman"/>
                <w:caps w:val="0"/>
                <w:smallCaps w:val="0"/>
                <w:u w:val="single"/>
                <w:lang w:val="en-US" w:eastAsia="zh-CN"/>
              </w:rPr>
              <w:t xml:space="preserve">0.6 </w:t>
            </w:r>
            <w:r>
              <w:rPr>
                <w:rFonts w:hint="eastAsia" w:ascii="Times New Roman" w:hAnsi="Times New Roman" w:cs="Times New Roman"/>
                <w:caps w:val="0"/>
                <w:smallCaps w:val="0"/>
                <w:u w:val="single"/>
                <w:lang w:val="en-US" w:eastAsia="zh-CN"/>
              </w:rPr>
              <w:t xml:space="preserve">公顷，永久性水面 </w:t>
            </w:r>
            <w:r>
              <w:rPr>
                <w:rFonts w:hint="default" w:ascii="Times New Roman" w:hAnsi="Times New Roman" w:cs="Times New Roman"/>
                <w:caps w:val="0"/>
                <w:smallCaps w:val="0"/>
                <w:u w:val="single"/>
                <w:lang w:val="en-US" w:eastAsia="zh-CN"/>
              </w:rPr>
              <w:t xml:space="preserve">1.5 </w:t>
            </w:r>
            <w:r>
              <w:rPr>
                <w:rFonts w:hint="eastAsia" w:ascii="Times New Roman" w:hAnsi="Times New Roman" w:cs="Times New Roman"/>
                <w:caps w:val="0"/>
                <w:smallCaps w:val="0"/>
                <w:u w:val="single"/>
                <w:lang w:val="en-US" w:eastAsia="zh-CN"/>
              </w:rPr>
              <w:t>公顷。横岭湖保护区位于南洞庭湖区，是从湘江进入到南洞庭湖的第一个大型湖区。有湿地植物 397 种，境内分布有各类野生动物 440 种（鸟类 207 种、鱼类 112 种），属国家重点保护的野生动物近 90 种，包括胭脂鱼在内的 4 种濒危鱼类生活在湖区，也有白鳍豚和蒋盾等具有全球重要意义的哺乳动物。</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35" w:hRule="atLeast"/>
          <w:jc w:val="center"/>
        </w:trPr>
        <w:tc>
          <w:tcPr>
            <w:tcW w:w="299" w:type="pct"/>
            <w:tcMar>
              <w:left w:w="0" w:type="dxa"/>
              <w:right w:w="0" w:type="dxa"/>
            </w:tcMar>
            <w:vAlign w:val="center"/>
          </w:tcPr>
          <w:p>
            <w:pPr>
              <w:pStyle w:val="117"/>
              <w:bidi w:val="0"/>
              <w:rPr>
                <w:rFonts w:hint="eastAsia"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4</w:t>
            </w:r>
          </w:p>
        </w:tc>
        <w:tc>
          <w:tcPr>
            <w:tcW w:w="808" w:type="pct"/>
            <w:tcMar>
              <w:left w:w="0" w:type="dxa"/>
              <w:right w:w="0" w:type="dxa"/>
            </w:tcMar>
            <w:vAlign w:val="center"/>
          </w:tcPr>
          <w:p>
            <w:pPr>
              <w:pStyle w:val="117"/>
              <w:bidi w:val="0"/>
              <w:ind w:firstLine="0" w:firstLineChars="0"/>
              <w:rPr>
                <w:rFonts w:hint="eastAsia" w:ascii="宋体" w:hAnsi="宋体" w:eastAsia="宋体" w:cs="宋体"/>
                <w:kern w:val="2"/>
                <w:sz w:val="21"/>
                <w:szCs w:val="24"/>
                <w:u w:val="single"/>
                <w:lang w:val="en-US" w:eastAsia="zh-CN" w:bidi="ar-SA"/>
              </w:rPr>
            </w:pPr>
            <w:r>
              <w:rPr>
                <w:rFonts w:hint="eastAsia"/>
                <w:kern w:val="2"/>
                <w:sz w:val="21"/>
                <w:szCs w:val="24"/>
                <w:u w:val="single"/>
                <w:lang w:val="en-US" w:eastAsia="zh-CN"/>
              </w:rPr>
              <w:t>南洞庭湖大口鲶青虾中华鳖国家级水产种质资源保护区</w:t>
            </w:r>
          </w:p>
        </w:tc>
        <w:tc>
          <w:tcPr>
            <w:tcW w:w="956" w:type="pct"/>
            <w:tcMar>
              <w:left w:w="0" w:type="dxa"/>
              <w:right w:w="0" w:type="dxa"/>
            </w:tcMar>
            <w:vAlign w:val="center"/>
          </w:tcPr>
          <w:p>
            <w:pPr>
              <w:pStyle w:val="117"/>
              <w:bidi w:val="0"/>
              <w:ind w:firstLine="0" w:firstLineChars="0"/>
              <w:rPr>
                <w:rFonts w:hint="default"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W，本项目不在该水产内，项目与水产种质资源保护区最近的为实验区，与实验区边界最近距离约1000m</w:t>
            </w:r>
          </w:p>
        </w:tc>
        <w:tc>
          <w:tcPr>
            <w:tcW w:w="2935" w:type="pct"/>
            <w:tcMar>
              <w:left w:w="0" w:type="dxa"/>
              <w:right w:w="0" w:type="dxa"/>
            </w:tcMar>
            <w:vAlign w:val="center"/>
          </w:tcPr>
          <w:p>
            <w:pPr>
              <w:pStyle w:val="117"/>
              <w:bidi w:val="0"/>
              <w:ind w:firstLine="0" w:firstLineChars="0"/>
              <w:rPr>
                <w:rFonts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 xml:space="preserve">南洞庭湖大口鲶青虾中华鳖国家级水产种质资源保护区总面积 </w:t>
            </w:r>
            <w:r>
              <w:rPr>
                <w:rFonts w:hint="default" w:ascii="Times New Roman" w:hAnsi="Times New Roman" w:cs="Times New Roman"/>
                <w:caps w:val="0"/>
                <w:smallCaps w:val="0"/>
                <w:u w:val="single"/>
                <w:lang w:val="en-US" w:eastAsia="zh-CN"/>
              </w:rPr>
              <w:t xml:space="preserve">4.3 </w:t>
            </w:r>
            <w:r>
              <w:rPr>
                <w:rFonts w:hint="eastAsia" w:ascii="Times New Roman" w:hAnsi="Times New Roman" w:cs="Times New Roman"/>
                <w:caps w:val="0"/>
                <w:smallCaps w:val="0"/>
                <w:u w:val="single"/>
                <w:lang w:val="en-US" w:eastAsia="zh-CN"/>
              </w:rPr>
              <w:t xml:space="preserve">万公顷，范围为湘阴县所辖南洞庭湖（横岭湖），保护区核心区总面积 </w:t>
            </w:r>
            <w:r>
              <w:rPr>
                <w:rFonts w:hint="default" w:ascii="Times New Roman" w:hAnsi="Times New Roman" w:cs="Times New Roman"/>
                <w:caps w:val="0"/>
                <w:smallCaps w:val="0"/>
                <w:u w:val="single"/>
                <w:lang w:val="en-US" w:eastAsia="zh-CN"/>
              </w:rPr>
              <w:t xml:space="preserve">1.2 </w:t>
            </w:r>
            <w:r>
              <w:rPr>
                <w:rFonts w:hint="eastAsia" w:ascii="Times New Roman" w:hAnsi="Times New Roman" w:cs="Times New Roman"/>
                <w:caps w:val="0"/>
                <w:smallCaps w:val="0"/>
                <w:u w:val="single"/>
                <w:lang w:val="en-US" w:eastAsia="zh-CN"/>
              </w:rPr>
              <w:t>万公顷。保护区主要保护对象有大口鲶、青虾、中华鳖，其他保护物种包括青鱼、草鱼、鲢、鳙、鲤、鳊、鲫、鳜、鱤、乌鳢、黄颡、黄鳝、秀丽白虾、三角帆蚌、中华绒螯蟹、乌龟等。</w:t>
            </w:r>
          </w:p>
        </w:tc>
      </w:tr>
    </w:tbl>
    <w:p>
      <w:pPr>
        <w:pStyle w:val="5"/>
        <w:rPr>
          <w:rFonts w:ascii="Times New Roman" w:hAnsi="Times New Roman" w:cs="Times New Roman" w:eastAsiaTheme="minorEastAsia"/>
          <w:b/>
          <w:caps w:val="0"/>
          <w:smallCaps w:val="0"/>
        </w:rPr>
      </w:pPr>
      <w:bookmarkStart w:id="21" w:name="_Toc1839"/>
      <w:r>
        <w:rPr>
          <w:rFonts w:ascii="Times New Roman" w:hAnsi="Times New Roman" w:cs="Times New Roman" w:eastAsiaTheme="minorEastAsia"/>
          <w:b/>
          <w:caps w:val="0"/>
          <w:smallCaps w:val="0"/>
        </w:rPr>
        <w:t>评价工作程序</w:t>
      </w:r>
      <w:bookmarkEnd w:id="21"/>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ascii="Times New Roman" w:hAnsi="Times New Roman" w:cs="Times New Roman" w:eastAsiaTheme="minorEastAsia"/>
          <w:caps w:val="0"/>
          <w:smallCaps w:val="0"/>
          <w:color w:val="000000"/>
          <w:kern w:val="0"/>
          <w:sz w:val="24"/>
          <w:szCs w:val="24"/>
        </w:rPr>
        <w:t>按照《建设项目环境保护管理条例》和《环境影响评价技术导则》的要求，本项目环境影响评价工作分以下三个阶段。</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ascii="Times New Roman" w:hAnsi="Times New Roman" w:cs="Times New Roman" w:eastAsiaTheme="minorEastAsia"/>
          <w:caps w:val="0"/>
          <w:smallCaps w:val="0"/>
          <w:color w:val="000000"/>
          <w:kern w:val="0"/>
          <w:sz w:val="24"/>
          <w:szCs w:val="24"/>
        </w:rPr>
        <w:t>本项目环境影响评价程序框图如下：</w:t>
      </w:r>
    </w:p>
    <w:p>
      <w:pPr>
        <w:adjustRightInd w:val="0"/>
        <w:snapToGrid w:val="0"/>
        <w:spacing w:line="360" w:lineRule="auto"/>
        <w:ind w:left="0" w:leftChars="0" w:firstLine="0" w:firstLineChars="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rPr>
        <w:drawing>
          <wp:inline distT="0" distB="0" distL="0" distR="0">
            <wp:extent cx="5537200" cy="5768340"/>
            <wp:effectExtent l="0" t="0" r="381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9"/>
                    <a:stretch>
                      <a:fillRect/>
                    </a:stretch>
                  </pic:blipFill>
                  <pic:spPr>
                    <a:xfrm rot="16200000">
                      <a:off x="0" y="0"/>
                      <a:ext cx="5541929" cy="5772893"/>
                    </a:xfrm>
                    <a:prstGeom prst="rect">
                      <a:avLst/>
                    </a:prstGeom>
                  </pic:spPr>
                </pic:pic>
              </a:graphicData>
            </a:graphic>
          </wp:inline>
        </w:drawing>
      </w:r>
    </w:p>
    <w:p>
      <w:pPr>
        <w:tabs>
          <w:tab w:val="left" w:pos="900"/>
        </w:tabs>
        <w:snapToGrid w:val="0"/>
        <w:spacing w:line="276" w:lineRule="auto"/>
        <w:jc w:val="center"/>
        <w:rPr>
          <w:rFonts w:ascii="Times New Roman" w:hAnsi="Times New Roman" w:cs="Times New Roman" w:eastAsiaTheme="minorEastAsia"/>
          <w:caps w:val="0"/>
          <w:smallCaps w:val="0"/>
        </w:rPr>
      </w:pPr>
      <w:r>
        <w:rPr>
          <w:rFonts w:ascii="Times New Roman" w:hAnsi="Times New Roman" w:cs="Times New Roman" w:eastAsiaTheme="minorEastAsia"/>
          <w:b/>
          <w:caps w:val="0"/>
          <w:smallCaps w:val="0"/>
          <w:color w:val="000000"/>
          <w:sz w:val="24"/>
          <w:szCs w:val="24"/>
        </w:rPr>
        <w:t>图2.8-1评价工作程序图</w:t>
      </w:r>
    </w:p>
    <w:p>
      <w:pPr>
        <w:pStyle w:val="69"/>
        <w:ind w:firstLine="480"/>
        <w:rPr>
          <w:rFonts w:ascii="Times New Roman" w:hAnsi="Times New Roman" w:cs="Times New Roman" w:eastAsiaTheme="minorEastAsia"/>
          <w:caps w:val="0"/>
          <w:smallCaps w:val="0"/>
        </w:rPr>
        <w:sectPr>
          <w:headerReference r:id="rId10" w:type="default"/>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spacing w:line="480" w:lineRule="auto"/>
        <w:ind w:left="431" w:hanging="431"/>
        <w:jc w:val="center"/>
        <w:rPr>
          <w:rFonts w:ascii="Times New Roman" w:hAnsi="Times New Roman" w:cs="Times New Roman" w:eastAsiaTheme="minorEastAsia"/>
          <w:b/>
          <w:caps w:val="0"/>
          <w:smallCaps w:val="0"/>
          <w:sz w:val="32"/>
          <w:szCs w:val="32"/>
        </w:rPr>
      </w:pPr>
      <w:bookmarkStart w:id="22" w:name="_Toc26333"/>
      <w:r>
        <w:rPr>
          <w:rFonts w:ascii="Times New Roman" w:hAnsi="Times New Roman" w:cs="Times New Roman" w:eastAsiaTheme="minorEastAsia"/>
          <w:b/>
          <w:caps w:val="0"/>
          <w:smallCaps w:val="0"/>
          <w:sz w:val="32"/>
          <w:szCs w:val="32"/>
        </w:rPr>
        <w:t>工程概况及工程环境影响分析</w:t>
      </w:r>
      <w:bookmarkEnd w:id="22"/>
    </w:p>
    <w:p>
      <w:pPr>
        <w:pStyle w:val="5"/>
        <w:rPr>
          <w:rFonts w:ascii="Times New Roman" w:hAnsi="Times New Roman" w:cs="Times New Roman" w:eastAsiaTheme="minorEastAsia"/>
          <w:b/>
          <w:caps w:val="0"/>
          <w:smallCaps w:val="0"/>
          <w:u w:val="single"/>
        </w:rPr>
      </w:pPr>
      <w:bookmarkStart w:id="23" w:name="_Toc10078"/>
      <w:r>
        <w:rPr>
          <w:rFonts w:hint="eastAsia" w:cs="Times New Roman" w:eastAsiaTheme="minorEastAsia"/>
          <w:b/>
          <w:caps w:val="0"/>
          <w:smallCaps w:val="0"/>
          <w:u w:val="single"/>
          <w:lang w:eastAsia="zh-CN"/>
        </w:rPr>
        <w:t>汨罗港区推山咀岸段</w:t>
      </w:r>
      <w:r>
        <w:rPr>
          <w:rFonts w:ascii="Times New Roman" w:hAnsi="Times New Roman" w:cs="Times New Roman" w:eastAsiaTheme="minorEastAsia"/>
          <w:b/>
          <w:caps w:val="0"/>
          <w:smallCaps w:val="0"/>
          <w:u w:val="single"/>
        </w:rPr>
        <w:t>概况</w:t>
      </w:r>
      <w:bookmarkEnd w:id="23"/>
    </w:p>
    <w:p>
      <w:pPr>
        <w:pStyle w:val="2"/>
        <w:rPr>
          <w:rFonts w:hint="eastAsia"/>
          <w:u w:val="single"/>
          <w:lang w:eastAsia="zh-CN"/>
        </w:rPr>
      </w:pPr>
      <w:r>
        <w:rPr>
          <w:rFonts w:hint="eastAsia" w:cs="Times New Roman"/>
          <w:caps w:val="0"/>
          <w:smallCaps w:val="0"/>
          <w:u w:val="single"/>
          <w:lang w:val="en-US" w:eastAsia="zh-CN"/>
        </w:rPr>
        <w:t>汨罗港区推山咀岸线为</w:t>
      </w:r>
      <w:r>
        <w:rPr>
          <w:rFonts w:hint="eastAsia"/>
          <w:color w:val="000000"/>
          <w:szCs w:val="28"/>
          <w:u w:val="single"/>
          <w:lang w:eastAsia="zh-CN"/>
        </w:rPr>
        <w:t>正虹饲料厂~港南村，位于湘江右岸</w:t>
      </w:r>
      <w:r>
        <w:rPr>
          <w:rFonts w:hint="default" w:ascii="Times New Roman" w:hAnsi="Times New Roman" w:cs="Times New Roman"/>
          <w:caps w:val="0"/>
          <w:smallCaps w:val="0"/>
          <w:u w:val="single"/>
          <w:lang w:val="en-US" w:eastAsia="zh-CN"/>
        </w:rPr>
        <w:t>位</w:t>
      </w:r>
      <w:r>
        <w:rPr>
          <w:rFonts w:hint="eastAsia" w:cs="Times New Roman"/>
          <w:caps w:val="0"/>
          <w:smallCaps w:val="0"/>
          <w:u w:val="single"/>
          <w:lang w:val="en-US" w:eastAsia="zh-CN"/>
        </w:rPr>
        <w:t>。</w:t>
      </w:r>
      <w:r>
        <w:rPr>
          <w:rFonts w:hint="eastAsia"/>
          <w:u w:val="single"/>
          <w:lang w:val="en-US" w:eastAsia="zh-CN"/>
        </w:rPr>
        <w:t>推山咀规划岸段 2100m，其中已利用岸段 470m，规划用途为干散货、件杂、客运、支持系统岸段。规划岸段位于东洞庭湖市级江豚保护区实验区，现有干散货码头逐步退出自然保护区或调整岸线功能。</w:t>
      </w:r>
    </w:p>
    <w:p>
      <w:pPr>
        <w:pStyle w:val="2"/>
        <w:rPr>
          <w:rFonts w:hint="eastAsia"/>
          <w:u w:val="single"/>
          <w:lang w:eastAsia="zh-CN"/>
        </w:rPr>
      </w:pPr>
      <w:r>
        <w:rPr>
          <w:rFonts w:hint="eastAsia"/>
          <w:u w:val="single"/>
          <w:lang w:eastAsia="zh-CN"/>
        </w:rPr>
        <w:t>根据《岳阳港总体规划》，汨罗港区推山咀作业区布置规划保留现有中鑫物流、海丰物流、宏瑞物流、正虹饲料营田分公司码头和推山咀作业区一期工程屈原管理区码头，规划码头有件杂货码头和散货码头、客运码头等。</w:t>
      </w:r>
    </w:p>
    <w:p>
      <w:pPr>
        <w:pStyle w:val="5"/>
        <w:bidi w:val="0"/>
      </w:pPr>
      <w:bookmarkStart w:id="24" w:name="_Toc10416"/>
      <w:r>
        <w:rPr>
          <w:rFonts w:hint="eastAsia"/>
          <w:lang w:eastAsia="zh-CN"/>
        </w:rPr>
        <w:t>现有老码头情况</w:t>
      </w:r>
      <w:bookmarkEnd w:id="24"/>
    </w:p>
    <w:p>
      <w:pPr>
        <w:pStyle w:val="6"/>
        <w:rPr>
          <w:rFonts w:ascii="Times New Roman" w:hAnsi="Times New Roman" w:cs="Times New Roman" w:eastAsiaTheme="minorEastAsia"/>
          <w:caps w:val="0"/>
          <w:smallCaps w:val="0"/>
        </w:rPr>
      </w:pPr>
      <w:r>
        <w:rPr>
          <w:rFonts w:hint="eastAsia" w:ascii="Times New Roman" w:hAnsi="Times New Roman" w:cs="Times New Roman" w:eastAsiaTheme="minorEastAsia"/>
          <w:caps w:val="0"/>
          <w:smallCaps w:val="0"/>
        </w:rPr>
        <w:t>现</w: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HYPERLINK\l"_Toc25016_WPSOffice_Level1"</w:instrText>
      </w:r>
      <w:r>
        <w:rPr>
          <w:rFonts w:ascii="Times New Roman" w:hAnsi="Times New Roman" w:cs="Times New Roman"/>
          <w:caps w:val="0"/>
          <w:smallCaps w:val="0"/>
        </w:rPr>
        <w:fldChar w:fldCharType="separate"/>
      </w:r>
      <w:r>
        <w:rPr>
          <w:rFonts w:ascii="Times New Roman" w:hAnsi="Times New Roman" w:cs="Times New Roman" w:eastAsiaTheme="minorEastAsia"/>
          <w:caps w:val="0"/>
          <w:smallCaps w:val="0"/>
        </w:rPr>
        <w:t>有</w:t>
      </w:r>
      <w:r>
        <w:rPr>
          <w:rFonts w:hint="eastAsia" w:ascii="Times New Roman" w:hAnsi="Times New Roman" w:cs="Times New Roman" w:eastAsiaTheme="minorEastAsia"/>
          <w:caps w:val="0"/>
          <w:smallCaps w:val="0"/>
          <w:lang w:eastAsia="zh-CN"/>
        </w:rPr>
        <w:t>码头</w:t>
      </w:r>
      <w:r>
        <w:rPr>
          <w:rFonts w:ascii="Times New Roman" w:hAnsi="Times New Roman" w:cs="Times New Roman" w:eastAsiaTheme="minorEastAsia"/>
          <w:caps w:val="0"/>
          <w:smallCaps w:val="0"/>
        </w:rPr>
        <w:t>基本情况</w:t>
      </w:r>
      <w:r>
        <w:rPr>
          <w:rFonts w:ascii="Times New Roman" w:hAnsi="Times New Roman" w:cs="Times New Roman" w:eastAsiaTheme="minorEastAsia"/>
          <w:caps w:val="0"/>
          <w:smallCaps w:val="0"/>
        </w:rPr>
        <w:fldChar w:fldCharType="end"/>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lang w:eastAsia="zh-CN"/>
        </w:rPr>
        <w:t>现有码头位于</w:t>
      </w:r>
      <w:r>
        <w:rPr>
          <w:rFonts w:ascii="Times New Roman" w:hAnsi="Times New Roman" w:cs="Times New Roman" w:eastAsiaTheme="minorEastAsia"/>
          <w:caps w:val="0"/>
          <w:smallCaps w:val="0"/>
          <w:sz w:val="24"/>
          <w:szCs w:val="24"/>
        </w:rPr>
        <w:t>岳阳港</w:t>
      </w:r>
      <w:r>
        <w:rPr>
          <w:rFonts w:hint="eastAsia" w:ascii="Times New Roman" w:hAnsi="Times New Roman" w:cs="Times New Roman" w:eastAsiaTheme="minorEastAsia"/>
          <w:caps w:val="0"/>
          <w:smallCaps w:val="0"/>
          <w:sz w:val="24"/>
          <w:szCs w:val="24"/>
        </w:rPr>
        <w:t>汨罗港区推山咀作业区</w:t>
      </w: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rPr>
        <w:t>工程上游为正虹科技码头、瑞宏物流码头，下游为中鑫物流码头、客运码头。</w:t>
      </w:r>
      <w:r>
        <w:rPr>
          <w:rFonts w:hint="eastAsia" w:ascii="Times New Roman" w:hAnsi="Times New Roman" w:cs="Times New Roman" w:eastAsiaTheme="minorEastAsia"/>
          <w:caps w:val="0"/>
          <w:smallCaps w:val="0"/>
          <w:sz w:val="24"/>
          <w:szCs w:val="24"/>
          <w:lang w:eastAsia="zh-CN"/>
        </w:rPr>
        <w:t>该码头始建于上世纪</w:t>
      </w:r>
      <w:r>
        <w:rPr>
          <w:rFonts w:hint="eastAsia" w:cs="Times New Roman" w:eastAsiaTheme="minorEastAsia"/>
          <w:caps w:val="0"/>
          <w:smallCaps w:val="0"/>
          <w:sz w:val="24"/>
          <w:szCs w:val="24"/>
          <w:lang w:val="en-US" w:eastAsia="zh-CN"/>
        </w:rPr>
        <w:t>9</w:t>
      </w:r>
      <w:r>
        <w:rPr>
          <w:rFonts w:hint="eastAsia" w:ascii="Times New Roman" w:hAnsi="Times New Roman" w:cs="Times New Roman" w:eastAsiaTheme="minorEastAsia"/>
          <w:caps w:val="0"/>
          <w:smallCaps w:val="0"/>
          <w:sz w:val="24"/>
          <w:szCs w:val="24"/>
          <w:lang w:val="en-US" w:eastAsia="zh-CN"/>
        </w:rPr>
        <w:t>0年代，</w:t>
      </w:r>
      <w:r>
        <w:rPr>
          <w:rFonts w:hint="eastAsia" w:ascii="Times New Roman" w:hAnsi="Times New Roman" w:cs="Times New Roman" w:eastAsiaTheme="minorEastAsia"/>
          <w:caps w:val="0"/>
          <w:smallCaps w:val="0"/>
          <w:kern w:val="2"/>
          <w:sz w:val="24"/>
          <w:szCs w:val="24"/>
          <w:lang w:val="en-US" w:eastAsia="zh-CN" w:bidi="ar-SA"/>
        </w:rPr>
        <w:t>码头等级为500吨级，作为普货码头运营，湖南海丰物流有限公司2010年</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取得码头经营权</w:t>
      </w:r>
      <w:r>
        <w:rPr>
          <w:rFonts w:hint="eastAsia" w:ascii="Times New Roman" w:hAnsi="Times New Roman" w:cs="Times New Roman" w:eastAsiaTheme="minorEastAsia"/>
          <w:caps w:val="0"/>
          <w:smallCaps w:val="0"/>
          <w:kern w:val="2"/>
          <w:sz w:val="24"/>
          <w:szCs w:val="24"/>
          <w:lang w:val="en-US" w:eastAsia="zh-CN" w:bidi="ar-SA"/>
        </w:rPr>
        <w:t>，2011年后方库区建成投入运营。</w:t>
      </w:r>
      <w:r>
        <w:rPr>
          <w:rFonts w:hint="eastAsia" w:ascii="Times New Roman" w:hAnsi="Times New Roman" w:cs="Times New Roman" w:eastAsiaTheme="minorEastAsia"/>
          <w:caps w:val="0"/>
          <w:smallCaps w:val="0"/>
          <w:sz w:val="24"/>
          <w:szCs w:val="24"/>
          <w:lang w:val="en-US" w:eastAsia="zh-CN"/>
        </w:rPr>
        <w:t>现有码头</w:t>
      </w:r>
      <w:r>
        <w:rPr>
          <w:rFonts w:ascii="Times New Roman" w:hAnsi="Times New Roman" w:cs="Times New Roman" w:eastAsiaTheme="minorEastAsia"/>
          <w:caps w:val="0"/>
          <w:smallCaps w:val="0"/>
          <w:sz w:val="24"/>
          <w:szCs w:val="24"/>
        </w:rPr>
        <w:t>位于</w:t>
      </w:r>
      <w:r>
        <w:rPr>
          <w:rFonts w:hint="eastAsia" w:ascii="Times New Roman" w:hAnsi="Times New Roman" w:cs="Times New Roman" w:eastAsiaTheme="minorEastAsia"/>
          <w:caps w:val="0"/>
          <w:smallCaps w:val="0"/>
          <w:sz w:val="24"/>
          <w:szCs w:val="24"/>
        </w:rPr>
        <w:t>已建储罐区位于码头</w:t>
      </w:r>
      <w:r>
        <w:rPr>
          <w:rFonts w:hint="eastAsia" w:ascii="Times New Roman" w:hAnsi="Times New Roman" w:cs="Times New Roman" w:eastAsiaTheme="minorEastAsia"/>
          <w:caps w:val="0"/>
          <w:smallCaps w:val="0"/>
          <w:sz w:val="24"/>
          <w:szCs w:val="24"/>
          <w:lang w:eastAsia="zh-CN"/>
        </w:rPr>
        <w:t>东</w:t>
      </w:r>
      <w:r>
        <w:rPr>
          <w:rFonts w:hint="eastAsia" w:ascii="Times New Roman" w:hAnsi="Times New Roman" w:cs="Times New Roman" w:eastAsiaTheme="minorEastAsia"/>
          <w:caps w:val="0"/>
          <w:smallCaps w:val="0"/>
          <w:sz w:val="24"/>
          <w:szCs w:val="24"/>
        </w:rPr>
        <w:t>侧</w:t>
      </w:r>
      <w:r>
        <w:rPr>
          <w:rFonts w:hint="eastAsia" w:ascii="Times New Roman" w:hAnsi="Times New Roman" w:cs="Times New Roman" w:eastAsiaTheme="minorEastAsia"/>
          <w:caps w:val="0"/>
          <w:smallCaps w:val="0"/>
          <w:sz w:val="24"/>
          <w:szCs w:val="24"/>
          <w:lang w:val="en-US" w:eastAsia="zh-CN"/>
        </w:rPr>
        <w:t>168米</w:t>
      </w: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rPr>
        <w:t>沿江堤建设。</w:t>
      </w:r>
    </w:p>
    <w:p>
      <w:pPr>
        <w:pStyle w:val="2"/>
        <w:ind w:left="0" w:leftChars="0" w:firstLine="0" w:firstLineChars="0"/>
        <w:jc w:val="center"/>
        <w:rPr>
          <w:rFonts w:ascii="Times New Roman" w:hAnsi="Times New Roman" w:cs="Times New Roman" w:eastAsiaTheme="minorEastAsia"/>
          <w:caps w:val="0"/>
          <w:smallCaps w:val="0"/>
          <w:sz w:val="24"/>
          <w:szCs w:val="24"/>
        </w:rPr>
      </w:pPr>
      <w:r>
        <w:rPr>
          <w:rFonts w:ascii="Times New Roman" w:hAnsi="Times New Roman" w:cs="Times New Roman"/>
          <w:caps w:val="0"/>
          <w:smallCaps w:val="0"/>
          <w:sz w:val="24"/>
        </w:rPr>
        <mc:AlternateContent>
          <mc:Choice Requires="wps">
            <w:drawing>
              <wp:anchor distT="0" distB="0" distL="114300" distR="114300" simplePos="0" relativeHeight="251687936" behindDoc="0" locked="0" layoutInCell="1" allowOverlap="1">
                <wp:simplePos x="0" y="0"/>
                <wp:positionH relativeFrom="column">
                  <wp:posOffset>3877945</wp:posOffset>
                </wp:positionH>
                <wp:positionV relativeFrom="paragraph">
                  <wp:posOffset>812165</wp:posOffset>
                </wp:positionV>
                <wp:extent cx="63500" cy="357505"/>
                <wp:effectExtent l="4445" t="635" r="8255" b="3810"/>
                <wp:wrapNone/>
                <wp:docPr id="48" name="直接连接符 48"/>
                <wp:cNvGraphicFramePr/>
                <a:graphic xmlns:a="http://schemas.openxmlformats.org/drawingml/2006/main">
                  <a:graphicData uri="http://schemas.microsoft.com/office/word/2010/wordprocessingShape">
                    <wps:wsp>
                      <wps:cNvCnPr/>
                      <wps:spPr>
                        <a:xfrm flipV="1">
                          <a:off x="4968875" y="3777615"/>
                          <a:ext cx="63500" cy="35750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id="_x0000_s1026" o:spid="_x0000_s1026" o:spt="20" style="position:absolute;left:0pt;flip:y;margin-left:305.35pt;margin-top:63.95pt;height:28.15pt;width:5pt;z-index:251687936;mso-width-relative:page;mso-height-relative:page;" filled="f" stroked="t" coordsize="21600,21600" o:gfxdata="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ZJaji1gAAAAsBAAAPAAAAAAAAAAEAIAAAACIAAABkcnMvZG93bnJl&#10;di54bWxQSwECFAAUAAAACACHTuJAWLO9ov8BAADMAwAADgAAAAAAAAABACAAAAAlAQAAZHJzL2Uy&#10;b0RvYy54bWxQSwUGAAAAAAYABgBZAQAAlgUAAAAA&#10;">
                <v:fill on="f" focussize="0,0"/>
                <v:stroke weight="0.5pt" color="#ED7D31 [3205]" miterlimit="8" joinstyle="miter"/>
                <v:imagedata o:title=""/>
                <o:lock v:ext="edit" aspectratio="f"/>
              </v:line>
            </w:pict>
          </mc:Fallback>
        </mc:AlternateContent>
      </w:r>
      <w:r>
        <w:rPr>
          <w:rFonts w:ascii="Times New Roman" w:hAnsi="Times New Roman" w:cs="Times New Roman"/>
          <w:caps w:val="0"/>
          <w:smallCaps w:val="0"/>
          <w:sz w:val="24"/>
        </w:rPr>
        <mc:AlternateContent>
          <mc:Choice Requires="wps">
            <w:drawing>
              <wp:anchor distT="0" distB="0" distL="114300" distR="114300" simplePos="0" relativeHeight="251688960" behindDoc="0" locked="0" layoutInCell="1" allowOverlap="1">
                <wp:simplePos x="0" y="0"/>
                <wp:positionH relativeFrom="column">
                  <wp:posOffset>2020570</wp:posOffset>
                </wp:positionH>
                <wp:positionV relativeFrom="paragraph">
                  <wp:posOffset>693420</wp:posOffset>
                </wp:positionV>
                <wp:extent cx="1929130" cy="71120"/>
                <wp:effectExtent l="0" t="4445" r="13970" b="19685"/>
                <wp:wrapNone/>
                <wp:docPr id="49" name="直接连接符 49"/>
                <wp:cNvGraphicFramePr/>
                <a:graphic xmlns:a="http://schemas.openxmlformats.org/drawingml/2006/main">
                  <a:graphicData uri="http://schemas.microsoft.com/office/word/2010/wordprocessingShape">
                    <wps:wsp>
                      <wps:cNvCnPr/>
                      <wps:spPr>
                        <a:xfrm flipH="1" flipV="1">
                          <a:off x="3032125" y="3642995"/>
                          <a:ext cx="1929130" cy="7112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id="_x0000_s1026" o:spid="_x0000_s1026" o:spt="20" style="position:absolute;left:0pt;flip:x y;margin-left:159.1pt;margin-top:54.6pt;height:5.6pt;width:151.9pt;z-index:251688960;mso-width-relative:page;mso-height-relative:page;" filled="f" stroked="t" coordsize="21600,21600" o:gfxdata="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MUdhh/YAAAACwEAAA8AAAAAAAAAAQAgAAAAIgAA&#10;AGRycy9kb3ducmV2LnhtbFBLAQIUABQAAAAIAIdO4kD69DzYCAIAANcDAAAOAAAAAAAAAAEAIAAA&#10;ACcBAABkcnMvZTJvRG9jLnhtbFBLBQYAAAAABgAGAFkBAAChBQAAAAA=&#10;">
                <v:fill on="f" focussize="0,0"/>
                <v:stroke weight="0.5pt" color="#ED7D31 [3205]" miterlimit="8" joinstyle="miter"/>
                <v:imagedata o:title=""/>
                <o:lock v:ext="edit" aspectratio="f"/>
              </v:line>
            </w:pict>
          </mc:Fallback>
        </mc:AlternateContent>
      </w:r>
      <w:r>
        <w:rPr>
          <w:rFonts w:ascii="Times New Roman" w:hAnsi="Times New Roman" w:cs="Times New Roman"/>
          <w:caps w:val="0"/>
          <w:smallCaps w:val="0"/>
          <w:sz w:val="24"/>
        </w:rPr>
        <mc:AlternateContent>
          <mc:Choice Requires="wps">
            <w:drawing>
              <wp:anchor distT="0" distB="0" distL="114300" distR="114300" simplePos="0" relativeHeight="251689984" behindDoc="0" locked="0" layoutInCell="1" allowOverlap="1">
                <wp:simplePos x="0" y="0"/>
                <wp:positionH relativeFrom="column">
                  <wp:posOffset>2687955</wp:posOffset>
                </wp:positionH>
                <wp:positionV relativeFrom="paragraph">
                  <wp:posOffset>749935</wp:posOffset>
                </wp:positionV>
                <wp:extent cx="896620" cy="412115"/>
                <wp:effectExtent l="0" t="0" r="0" b="0"/>
                <wp:wrapNone/>
                <wp:docPr id="50" name="矩形 50"/>
                <wp:cNvGraphicFramePr/>
                <a:graphic xmlns:a="http://schemas.openxmlformats.org/drawingml/2006/main">
                  <a:graphicData uri="http://schemas.microsoft.com/office/word/2010/wordprocessingShape">
                    <wps:wsp>
                      <wps:cNvSpPr/>
                      <wps:spPr>
                        <a:xfrm>
                          <a:off x="3984625" y="3769995"/>
                          <a:ext cx="896620" cy="4121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both"/>
                              <w:rPr>
                                <w:rFonts w:hint="eastAsia" w:ascii="黑体" w:hAnsi="黑体" w:eastAsia="黑体" w:cs="黑体"/>
                                <w:b/>
                                <w:bCs/>
                                <w:sz w:val="32"/>
                                <w:szCs w:val="32"/>
                                <w:lang w:eastAsia="zh-CN"/>
                              </w:rPr>
                            </w:pPr>
                            <w:r>
                              <w:rPr>
                                <w:rFonts w:hint="eastAsia" w:ascii="黑体" w:hAnsi="黑体" w:eastAsia="黑体" w:cs="黑体"/>
                                <w:b/>
                                <w:bCs/>
                                <w:color w:val="FF0000"/>
                                <w:sz w:val="32"/>
                                <w:szCs w:val="32"/>
                                <w:lang w:eastAsia="zh-CN"/>
                              </w:rPr>
                              <w:t>罐</w:t>
                            </w:r>
                            <w:r>
                              <w:rPr>
                                <w:rFonts w:hint="eastAsia" w:ascii="黑体" w:hAnsi="黑体" w:eastAsia="黑体" w:cs="黑体"/>
                                <w:b/>
                                <w:bCs/>
                                <w:color w:val="FF0000"/>
                                <w:sz w:val="32"/>
                                <w:szCs w:val="32"/>
                                <w:lang w:val="en-US" w:eastAsia="zh-CN"/>
                              </w:rPr>
                              <w:t xml:space="preserve"> </w:t>
                            </w:r>
                            <w:r>
                              <w:rPr>
                                <w:rFonts w:hint="eastAsia" w:ascii="黑体" w:hAnsi="黑体" w:eastAsia="黑体" w:cs="黑体"/>
                                <w:b/>
                                <w:bCs/>
                                <w:color w:val="FF0000"/>
                                <w:sz w:val="32"/>
                                <w:szCs w:val="32"/>
                                <w:lang w:eastAsia="zh-CN"/>
                              </w:rPr>
                              <w:t>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11.65pt;margin-top:59.05pt;height:32.45pt;width:70.6pt;z-index:251689984;v-text-anchor:middle;mso-width-relative:page;mso-height-relative:page;" filled="f" stroked="f" coordsize="21600,21600" o:gfxdata="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Vi/K+2AAAAAsBAAAPAAAAAAAAAAEAIAAAACIAAABkcnMvZG93bnJldi54&#10;bWxQSwECFAAUAAAACACHTuJAw7HeuGwCAAC6BAAADgAAAAAAAAABACAAAAAnAQAAZHJzL2Uyb0Rv&#10;Yy54bWxQSwUGAAAAAAYABgBZAQAABQYAAAAA&#10;">
                <v:fill on="f" focussize="0,0"/>
                <v:stroke on="f" weight="1pt" miterlimit="8" joinstyle="miter"/>
                <v:imagedata o:title=""/>
                <o:lock v:ext="edit" aspectratio="f"/>
                <v:textbox>
                  <w:txbxContent>
                    <w:p>
                      <w:pPr>
                        <w:ind w:left="0" w:leftChars="0" w:firstLine="0" w:firstLineChars="0"/>
                        <w:jc w:val="both"/>
                        <w:rPr>
                          <w:rFonts w:hint="eastAsia" w:ascii="黑体" w:hAnsi="黑体" w:eastAsia="黑体" w:cs="黑体"/>
                          <w:b/>
                          <w:bCs/>
                          <w:sz w:val="32"/>
                          <w:szCs w:val="32"/>
                          <w:lang w:eastAsia="zh-CN"/>
                        </w:rPr>
                      </w:pPr>
                      <w:r>
                        <w:rPr>
                          <w:rFonts w:hint="eastAsia" w:ascii="黑体" w:hAnsi="黑体" w:eastAsia="黑体" w:cs="黑体"/>
                          <w:b/>
                          <w:bCs/>
                          <w:color w:val="FF0000"/>
                          <w:sz w:val="32"/>
                          <w:szCs w:val="32"/>
                          <w:lang w:eastAsia="zh-CN"/>
                        </w:rPr>
                        <w:t>罐</w:t>
                      </w:r>
                      <w:r>
                        <w:rPr>
                          <w:rFonts w:hint="eastAsia" w:ascii="黑体" w:hAnsi="黑体" w:eastAsia="黑体" w:cs="黑体"/>
                          <w:b/>
                          <w:bCs/>
                          <w:color w:val="FF0000"/>
                          <w:sz w:val="32"/>
                          <w:szCs w:val="32"/>
                          <w:lang w:val="en-US" w:eastAsia="zh-CN"/>
                        </w:rPr>
                        <w:t xml:space="preserve"> </w:t>
                      </w:r>
                      <w:r>
                        <w:rPr>
                          <w:rFonts w:hint="eastAsia" w:ascii="黑体" w:hAnsi="黑体" w:eastAsia="黑体" w:cs="黑体"/>
                          <w:b/>
                          <w:bCs/>
                          <w:color w:val="FF0000"/>
                          <w:sz w:val="32"/>
                          <w:szCs w:val="32"/>
                          <w:lang w:eastAsia="zh-CN"/>
                        </w:rPr>
                        <w:t>区</w:t>
                      </w:r>
                    </w:p>
                  </w:txbxContent>
                </v:textbox>
              </v:rect>
            </w:pict>
          </mc:Fallback>
        </mc:AlternateContent>
      </w:r>
      <w:r>
        <w:rPr>
          <w:rFonts w:ascii="Times New Roman" w:hAnsi="Times New Roman" w:cs="Times New Roman"/>
          <w:caps w:val="0"/>
          <w:smallCaps w:val="0"/>
          <w:sz w:val="24"/>
        </w:rPr>
        <mc:AlternateContent>
          <mc:Choice Requires="wps">
            <w:drawing>
              <wp:anchor distT="0" distB="0" distL="114300" distR="114300" simplePos="0" relativeHeight="251686912" behindDoc="0" locked="0" layoutInCell="1" allowOverlap="1">
                <wp:simplePos x="0" y="0"/>
                <wp:positionH relativeFrom="column">
                  <wp:posOffset>1719580</wp:posOffset>
                </wp:positionH>
                <wp:positionV relativeFrom="paragraph">
                  <wp:posOffset>1090295</wp:posOffset>
                </wp:positionV>
                <wp:extent cx="2127250" cy="71755"/>
                <wp:effectExtent l="0" t="4445" r="6350" b="19050"/>
                <wp:wrapNone/>
                <wp:docPr id="45" name="直接连接符 45"/>
                <wp:cNvGraphicFramePr/>
                <a:graphic xmlns:a="http://schemas.openxmlformats.org/drawingml/2006/main">
                  <a:graphicData uri="http://schemas.microsoft.com/office/word/2010/wordprocessingShape">
                    <wps:wsp>
                      <wps:cNvCnPr/>
                      <wps:spPr>
                        <a:xfrm>
                          <a:off x="2802255" y="4047490"/>
                          <a:ext cx="2127250" cy="71755"/>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id="_x0000_s1026" o:spid="_x0000_s1026" o:spt="20" style="position:absolute;left:0pt;margin-left:135.4pt;margin-top:85.85pt;height:5.65pt;width:167.5pt;z-index:251686912;mso-width-relative:page;mso-height-relative:page;" filled="f" stroked="t" coordsize="21600,21600" o:gfxdata="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LZoaijYAAAACwEAAA8AAAAAAAAAAQAgAAAAIgAAAGRycy9kb3ducmV2Lnht&#10;bFBLAQIUABQAAAAIAIdO4kDQ+WSN+QEAAMMDAAAOAAAAAAAAAAEAIAAAACcBAABkcnMvZTJvRG9j&#10;LnhtbFBLBQYAAAAABgAGAFkBAACSBQAAAAA=&#10;">
                <v:fill on="f" focussize="0,0"/>
                <v:stroke weight="0.5pt" color="#ED7D31 [3205]" miterlimit="8" joinstyle="miter"/>
                <v:imagedata o:title=""/>
                <o:lock v:ext="edit" aspectratio="f"/>
              </v:line>
            </w:pict>
          </mc:Fallback>
        </mc:AlternateContent>
      </w:r>
      <w:r>
        <w:rPr>
          <w:rFonts w:ascii="Times New Roman" w:hAnsi="Times New Roman" w:cs="Times New Roman"/>
          <w:caps w:val="0"/>
          <w:smallCaps w:val="0"/>
          <w:sz w:val="24"/>
        </w:rPr>
        <mc:AlternateContent>
          <mc:Choice Requires="wps">
            <w:drawing>
              <wp:anchor distT="0" distB="0" distL="114300" distR="114300" simplePos="0" relativeHeight="251685888" behindDoc="0" locked="0" layoutInCell="1" allowOverlap="1">
                <wp:simplePos x="0" y="0"/>
                <wp:positionH relativeFrom="column">
                  <wp:posOffset>1711325</wp:posOffset>
                </wp:positionH>
                <wp:positionV relativeFrom="paragraph">
                  <wp:posOffset>685165</wp:posOffset>
                </wp:positionV>
                <wp:extent cx="294005" cy="412750"/>
                <wp:effectExtent l="3810" t="2540" r="6985" b="3810"/>
                <wp:wrapNone/>
                <wp:docPr id="37" name="直接连接符 37"/>
                <wp:cNvGraphicFramePr/>
                <a:graphic xmlns:a="http://schemas.openxmlformats.org/drawingml/2006/main">
                  <a:graphicData uri="http://schemas.microsoft.com/office/word/2010/wordprocessingShape">
                    <wps:wsp>
                      <wps:cNvCnPr/>
                      <wps:spPr>
                        <a:xfrm flipH="1">
                          <a:off x="2794000" y="3761740"/>
                          <a:ext cx="294005" cy="41275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id="_x0000_s1026" o:spid="_x0000_s1026" o:spt="20" style="position:absolute;left:0pt;flip:x;margin-left:134.75pt;margin-top:53.95pt;height:32.5pt;width:23.15pt;z-index:251685888;mso-width-relative:page;mso-height-relative:page;" filled="f" stroked="t" coordsize="21600,21600" o:gfxdata="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7S5L2tgAAAALAQAADwAAAAAAAAABACAAAAAiAAAAZHJzL2Rv&#10;d25yZXYueG1sUEsBAhQAFAAAAAgAh07iQAbCWU8BAgAAzQMAAA4AAAAAAAAAAQAgAAAAJwEAAGRy&#10;cy9lMm9Eb2MueG1sUEsFBgAAAAAGAAYAWQEAAJoFAAAAAA==&#10;">
                <v:fill on="f" focussize="0,0"/>
                <v:stroke weight="0.5pt" color="#ED7D31 [3205]" miterlimit="8" joinstyle="miter"/>
                <v:imagedata o:title=""/>
                <o:lock v:ext="edit" aspectratio="f"/>
              </v:line>
            </w:pict>
          </mc:Fallback>
        </mc:AlternateContent>
      </w:r>
      <w:r>
        <w:rPr>
          <w:rFonts w:ascii="Times New Roman" w:hAnsi="Times New Roman" w:cs="Times New Roman"/>
          <w:caps w:val="0"/>
          <w:smallCaps w:val="0"/>
        </w:rPr>
        <w:drawing>
          <wp:inline distT="0" distB="0" distL="114300" distR="114300">
            <wp:extent cx="5621020" cy="2908935"/>
            <wp:effectExtent l="0" t="0" r="17780" b="5715"/>
            <wp:docPr id="7" name="图片 10" descr="F:\【2020】项目\6.15海丰物流码头\现场图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 descr="F:\【2020】项目\6.15海丰物流码头\现场图01.jpg"/>
                    <pic:cNvPicPr>
                      <a:picLocks noChangeAspect="1"/>
                    </pic:cNvPicPr>
                  </pic:nvPicPr>
                  <pic:blipFill>
                    <a:blip r:embed="rId30"/>
                    <a:srcRect b="10927"/>
                    <a:stretch>
                      <a:fillRect/>
                    </a:stretch>
                  </pic:blipFill>
                  <pic:spPr>
                    <a:xfrm>
                      <a:off x="0" y="0"/>
                      <a:ext cx="5621020" cy="2908935"/>
                    </a:xfrm>
                    <a:prstGeom prst="rect">
                      <a:avLst/>
                    </a:prstGeom>
                    <a:noFill/>
                    <a:ln>
                      <a:noFill/>
                    </a:ln>
                  </pic:spPr>
                </pic:pic>
              </a:graphicData>
            </a:graphic>
          </wp:inline>
        </w:drawing>
      </w:r>
      <w:r>
        <w:rPr>
          <w:rFonts w:ascii="Times New Roman" w:hAnsi="Times New Roman" w:cs="Times New Roman"/>
          <w:caps w:val="0"/>
          <w:smallCaps w:val="0"/>
          <w:sz w:val="24"/>
        </w:rPr>
        <mc:AlternateContent>
          <mc:Choice Requires="wps">
            <w:drawing>
              <wp:anchor distT="0" distB="0" distL="114300" distR="114300" simplePos="0" relativeHeight="251691008" behindDoc="0" locked="0" layoutInCell="1" allowOverlap="1">
                <wp:simplePos x="0" y="0"/>
                <wp:positionH relativeFrom="column">
                  <wp:posOffset>1680210</wp:posOffset>
                </wp:positionH>
                <wp:positionV relativeFrom="paragraph">
                  <wp:posOffset>2011680</wp:posOffset>
                </wp:positionV>
                <wp:extent cx="896620" cy="412115"/>
                <wp:effectExtent l="0" t="0" r="0" b="0"/>
                <wp:wrapNone/>
                <wp:docPr id="51" name="矩形 51"/>
                <wp:cNvGraphicFramePr/>
                <a:graphic xmlns:a="http://schemas.openxmlformats.org/drawingml/2006/main">
                  <a:graphicData uri="http://schemas.microsoft.com/office/word/2010/wordprocessingShape">
                    <wps:wsp>
                      <wps:cNvSpPr/>
                      <wps:spPr>
                        <a:xfrm>
                          <a:off x="0" y="0"/>
                          <a:ext cx="896620" cy="4121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both"/>
                              <w:rPr>
                                <w:rFonts w:hint="eastAsia" w:ascii="黑体" w:hAnsi="黑体" w:eastAsia="黑体" w:cs="黑体"/>
                                <w:b/>
                                <w:bCs/>
                                <w:sz w:val="32"/>
                                <w:szCs w:val="32"/>
                                <w:lang w:eastAsia="zh-CN"/>
                              </w:rPr>
                            </w:pPr>
                            <w:r>
                              <w:rPr>
                                <w:rFonts w:hint="eastAsia" w:ascii="黑体" w:hAnsi="黑体" w:eastAsia="黑体" w:cs="黑体"/>
                                <w:b/>
                                <w:bCs/>
                                <w:color w:val="FF0000"/>
                                <w:sz w:val="32"/>
                                <w:szCs w:val="32"/>
                                <w:lang w:eastAsia="zh-CN"/>
                              </w:rPr>
                              <w:t>码头</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32.3pt;margin-top:158.4pt;height:32.45pt;width:70.6pt;z-index:251691008;v-text-anchor:middle;mso-width-relative:page;mso-height-relative:page;" filled="f" stroked="f" coordsize="21600,21600" o:gfxdata="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AAAAABkcnMvUEsBAhQAFAAAAAgAh07i&#10;QJzfV/bZAAAACwEAAA8AAAAAAAAAAQAgAAAAIgAAAGRycy9kb3ducmV2LnhtbFBLAQIUABQAAAAI&#10;AIdO4kA/solHXgIAAK4EAAAOAAAAAAAAAAEAIAAAACgBAABkcnMvZTJvRG9jLnhtbFBLBQYAAAAA&#10;BgAGAFkBAAD4BQAAAAA=&#10;">
                <v:fill on="f" focussize="0,0"/>
                <v:stroke on="f" weight="1pt" miterlimit="8" joinstyle="miter"/>
                <v:imagedata o:title=""/>
                <o:lock v:ext="edit" aspectratio="f"/>
                <v:textbox>
                  <w:txbxContent>
                    <w:p>
                      <w:pPr>
                        <w:ind w:left="0" w:leftChars="0" w:firstLine="0" w:firstLineChars="0"/>
                        <w:jc w:val="both"/>
                        <w:rPr>
                          <w:rFonts w:hint="eastAsia" w:ascii="黑体" w:hAnsi="黑体" w:eastAsia="黑体" w:cs="黑体"/>
                          <w:b/>
                          <w:bCs/>
                          <w:sz w:val="32"/>
                          <w:szCs w:val="32"/>
                          <w:lang w:eastAsia="zh-CN"/>
                        </w:rPr>
                      </w:pPr>
                      <w:r>
                        <w:rPr>
                          <w:rFonts w:hint="eastAsia" w:ascii="黑体" w:hAnsi="黑体" w:eastAsia="黑体" w:cs="黑体"/>
                          <w:b/>
                          <w:bCs/>
                          <w:color w:val="FF0000"/>
                          <w:sz w:val="32"/>
                          <w:szCs w:val="32"/>
                          <w:lang w:eastAsia="zh-CN"/>
                        </w:rPr>
                        <w:t>码头</w:t>
                      </w:r>
                    </w:p>
                  </w:txbxContent>
                </v:textbox>
              </v:rect>
            </w:pict>
          </mc:Fallback>
        </mc:AlternateContent>
      </w:r>
    </w:p>
    <w:p>
      <w:pPr>
        <w:jc w:val="center"/>
        <w:rPr>
          <w:rFonts w:ascii="Times New Roman" w:hAnsi="Times New Roman" w:cs="Times New Roman" w:eastAsiaTheme="minorEastAsia"/>
          <w:b/>
          <w:caps w:val="0"/>
          <w:smallCaps w:val="0"/>
          <w:color w:val="000000" w:themeColor="text1"/>
          <w:kern w:val="0"/>
          <w:sz w:val="24"/>
          <w:szCs w:val="22"/>
          <w:lang w:val="zh-CN"/>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2"/>
          <w:lang w:val="zh-CN"/>
          <w14:textFill>
            <w14:solidFill>
              <w14:schemeClr w14:val="tx1"/>
            </w14:solidFill>
          </w14:textFill>
        </w:rPr>
        <w:t>图3.</w:t>
      </w:r>
      <w:r>
        <w:rPr>
          <w:rFonts w:hint="eastAsia" w:cs="Times New Roman" w:eastAsiaTheme="minorEastAsia"/>
          <w:b/>
          <w:caps w:val="0"/>
          <w:smallCaps w:val="0"/>
          <w:color w:val="000000" w:themeColor="text1"/>
          <w:kern w:val="0"/>
          <w:sz w:val="24"/>
          <w:szCs w:val="22"/>
          <w:lang w:val="en-US" w:eastAsia="zh-CN"/>
          <w14:textFill>
            <w14:solidFill>
              <w14:schemeClr w14:val="tx1"/>
            </w14:solidFill>
          </w14:textFill>
        </w:rPr>
        <w:t>2</w:t>
      </w:r>
      <w:r>
        <w:rPr>
          <w:rFonts w:ascii="Times New Roman" w:hAnsi="Times New Roman" w:cs="Times New Roman" w:eastAsiaTheme="minorEastAsia"/>
          <w:b/>
          <w:caps w:val="0"/>
          <w:smallCaps w:val="0"/>
          <w:color w:val="000000" w:themeColor="text1"/>
          <w:kern w:val="0"/>
          <w:sz w:val="24"/>
          <w:szCs w:val="22"/>
          <w:lang w:val="zh-CN"/>
          <w14:textFill>
            <w14:solidFill>
              <w14:schemeClr w14:val="tx1"/>
            </w14:solidFill>
          </w14:textFill>
        </w:rPr>
        <w:t>-1码头</w:t>
      </w:r>
      <w:r>
        <w:rPr>
          <w:rFonts w:hint="eastAsia" w:ascii="Times New Roman" w:hAnsi="Times New Roman" w:cs="Times New Roman" w:eastAsiaTheme="minorEastAsia"/>
          <w:b/>
          <w:caps w:val="0"/>
          <w:smallCaps w:val="0"/>
          <w:color w:val="000000" w:themeColor="text1"/>
          <w:kern w:val="0"/>
          <w:sz w:val="24"/>
          <w:szCs w:val="22"/>
          <w14:textFill>
            <w14:solidFill>
              <w14:schemeClr w14:val="tx1"/>
            </w14:solidFill>
          </w14:textFill>
        </w:rPr>
        <w:t>航拍图</w:t>
      </w:r>
    </w:p>
    <w:p>
      <w:pPr>
        <w:spacing w:line="240" w:lineRule="atLeast"/>
        <w:ind w:left="0" w:leftChars="0" w:firstLine="0" w:firstLineChars="0"/>
        <w:jc w:val="center"/>
        <w:rPr>
          <w:rFonts w:ascii="Times New Roman" w:hAnsi="Times New Roman" w:cs="Times New Roman" w:eastAsiaTheme="minorEastAsia"/>
          <w:caps w:val="0"/>
          <w:smallCaps w:val="0"/>
          <w:spacing w:val="4"/>
          <w:kern w:val="0"/>
          <w:sz w:val="28"/>
          <w:szCs w:val="28"/>
        </w:rPr>
      </w:pPr>
      <w:r>
        <w:rPr>
          <w:sz w:val="24"/>
        </w:rPr>
        <mc:AlternateContent>
          <mc:Choice Requires="wps">
            <w:drawing>
              <wp:anchor distT="0" distB="0" distL="114300" distR="114300" simplePos="0" relativeHeight="251692032" behindDoc="0" locked="0" layoutInCell="1" allowOverlap="1">
                <wp:simplePos x="0" y="0"/>
                <wp:positionH relativeFrom="column">
                  <wp:posOffset>1819275</wp:posOffset>
                </wp:positionH>
                <wp:positionV relativeFrom="paragraph">
                  <wp:posOffset>5245735</wp:posOffset>
                </wp:positionV>
                <wp:extent cx="1152525" cy="409575"/>
                <wp:effectExtent l="6350" t="6350" r="288925" b="422275"/>
                <wp:wrapNone/>
                <wp:docPr id="189" name="圆角矩形标注 189"/>
                <wp:cNvGraphicFramePr/>
                <a:graphic xmlns:a="http://schemas.openxmlformats.org/drawingml/2006/main">
                  <a:graphicData uri="http://schemas.microsoft.com/office/word/2010/wordprocessingShape">
                    <wps:wsp>
                      <wps:cNvSpPr/>
                      <wps:spPr>
                        <a:xfrm>
                          <a:off x="1919605" y="6708140"/>
                          <a:ext cx="1152525" cy="409575"/>
                        </a:xfrm>
                        <a:prstGeom prst="wedgeRoundRectCallout">
                          <a:avLst>
                            <a:gd name="adj1" fmla="val 70881"/>
                            <a:gd name="adj2" fmla="val 143953"/>
                            <a:gd name="adj3" fmla="val 16667"/>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jc w:val="center"/>
                              <w:rPr>
                                <w:rFonts w:hint="eastAsia" w:eastAsia="宋体"/>
                                <w:b/>
                                <w:bCs/>
                                <w:lang w:eastAsia="zh-CN"/>
                              </w:rPr>
                            </w:pPr>
                            <w:r>
                              <w:rPr>
                                <w:rFonts w:hint="eastAsia"/>
                                <w:b/>
                                <w:bCs/>
                                <w:lang w:eastAsia="zh-CN"/>
                              </w:rPr>
                              <w:t>项目位置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43.25pt;margin-top:413.05pt;height:32.25pt;width:90.75pt;z-index:251692032;v-text-anchor:middle;mso-width-relative:page;mso-height-relative:page;" filled="f" stroked="t" coordsize="21600,21600" o:gfxdata="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fXoeCNoAAAALAQAADwAAAAAAAAABACAAAAAiAAAAZHJzL2Rvd25yZXYueG1sUEsBAhQAFAAAAAgA&#10;h07iQI43vVDOAgAAeQUAAA4AAAAAAAAAAQAgAAAAKQEAAGRycy9lMm9Eb2MueG1sUEsFBgAAAAAG&#10;AAYAWQEAAGkGAAAAAA==&#10;" adj="26110,41894,14400">
                <v:fill on="f" focussize="0,0"/>
                <v:stroke weight="1pt" color="#FF0000 [3204]" miterlimit="8" joinstyle="miter"/>
                <v:imagedata o:title=""/>
                <o:lock v:ext="edit" aspectratio="f"/>
                <v:textbox>
                  <w:txbxContent>
                    <w:p>
                      <w:pPr>
                        <w:ind w:left="0" w:leftChars="0" w:firstLine="0" w:firstLineChars="0"/>
                        <w:jc w:val="center"/>
                        <w:rPr>
                          <w:rFonts w:hint="eastAsia" w:eastAsia="宋体"/>
                          <w:b/>
                          <w:bCs/>
                          <w:lang w:eastAsia="zh-CN"/>
                        </w:rPr>
                      </w:pPr>
                      <w:r>
                        <w:rPr>
                          <w:rFonts w:hint="eastAsia"/>
                          <w:b/>
                          <w:bCs/>
                          <w:lang w:eastAsia="zh-CN"/>
                        </w:rPr>
                        <w:t>项目位置</w:t>
                      </w:r>
                    </w:p>
                  </w:txbxContent>
                </v:textbox>
              </v:shape>
            </w:pict>
          </mc:Fallback>
        </mc:AlternateContent>
      </w:r>
      <w:r>
        <w:rPr>
          <w:rFonts w:ascii="Times New Roman" w:hAnsi="Times New Roman" w:cs="Times New Roman"/>
          <w:caps w:val="0"/>
          <w:smallCaps w:val="0"/>
          <w:sz w:val="24"/>
        </w:rPr>
        <mc:AlternateContent>
          <mc:Choice Requires="wps">
            <w:drawing>
              <wp:anchor distT="0" distB="0" distL="114300" distR="114300" simplePos="0" relativeHeight="251684864" behindDoc="0" locked="0" layoutInCell="1" allowOverlap="1">
                <wp:simplePos x="0" y="0"/>
                <wp:positionH relativeFrom="column">
                  <wp:posOffset>3110230</wp:posOffset>
                </wp:positionH>
                <wp:positionV relativeFrom="paragraph">
                  <wp:posOffset>5890260</wp:posOffset>
                </wp:positionV>
                <wp:extent cx="258445" cy="333375"/>
                <wp:effectExtent l="23495" t="38735" r="41910" b="46990"/>
                <wp:wrapNone/>
                <wp:docPr id="31" name="十字星 31"/>
                <wp:cNvGraphicFramePr/>
                <a:graphic xmlns:a="http://schemas.openxmlformats.org/drawingml/2006/main">
                  <a:graphicData uri="http://schemas.microsoft.com/office/word/2010/wordprocessingShape">
                    <wps:wsp>
                      <wps:cNvSpPr/>
                      <wps:spPr>
                        <a:xfrm>
                          <a:off x="4051935" y="7471410"/>
                          <a:ext cx="258445" cy="333375"/>
                        </a:xfrm>
                        <a:prstGeom prst="star4">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87" type="#_x0000_t187" style="position:absolute;left:0pt;margin-left:244.9pt;margin-top:463.8pt;height:26.25pt;width:20.35pt;z-index:251684864;v-text-anchor:middle;mso-width-relative:page;mso-height-relative:page;" fillcolor="#ED7D31 [3205]" filled="t" stroked="t" coordsize="21600,21600" o:gfxdata="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" adj="8100">
                <v:fill on="t" focussize="0,0"/>
                <v:stroke weight="1pt" color="#AE5A21 [3205]" miterlimit="8" joinstyle="miter"/>
                <v:imagedata o:title=""/>
                <o:lock v:ext="edit" aspectratio="f"/>
              </v:shape>
            </w:pict>
          </mc:Fallback>
        </mc:AlternateContent>
      </w:r>
      <w:r>
        <w:rPr>
          <w:rFonts w:ascii="Times New Roman" w:hAnsi="Times New Roman" w:cs="Times New Roman"/>
          <w:caps w:val="0"/>
          <w:smallCaps w:val="0"/>
          <w:sz w:val="24"/>
        </w:rPr>
        <w:drawing>
          <wp:inline distT="0" distB="0" distL="114300" distR="114300">
            <wp:extent cx="5276850" cy="7658100"/>
            <wp:effectExtent l="0" t="0" r="0" b="0"/>
            <wp:docPr id="188" name="图片 188" descr="16429909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1642990977(1)"/>
                    <pic:cNvPicPr>
                      <a:picLocks noChangeAspect="1"/>
                    </pic:cNvPicPr>
                  </pic:nvPicPr>
                  <pic:blipFill>
                    <a:blip r:embed="rId31"/>
                    <a:stretch>
                      <a:fillRect/>
                    </a:stretch>
                  </pic:blipFill>
                  <pic:spPr>
                    <a:xfrm>
                      <a:off x="0" y="0"/>
                      <a:ext cx="5276850" cy="7658100"/>
                    </a:xfrm>
                    <a:prstGeom prst="rect">
                      <a:avLst/>
                    </a:prstGeom>
                  </pic:spPr>
                </pic:pic>
              </a:graphicData>
            </a:graphic>
          </wp:inline>
        </w:drawing>
      </w:r>
    </w:p>
    <w:p>
      <w:pPr>
        <w:adjustRightInd w:val="0"/>
        <w:snapToGrid w:val="0"/>
        <w:spacing w:line="360" w:lineRule="auto"/>
        <w:ind w:firstLine="482" w:firstLineChars="200"/>
        <w:jc w:val="center"/>
        <w:rPr>
          <w:rFonts w:ascii="Times New Roman" w:hAnsi="Times New Roman" w:cs="Times New Roman" w:eastAsiaTheme="minorEastAsia"/>
          <w:b/>
          <w:caps w:val="0"/>
          <w:smallCaps w:val="0"/>
          <w:color w:val="000000" w:themeColor="text1"/>
          <w:kern w:val="0"/>
          <w:sz w:val="24"/>
          <w:szCs w:val="22"/>
          <w:lang w:val="zh-CN"/>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2"/>
          <w:lang w:val="zh-CN"/>
          <w14:textFill>
            <w14:solidFill>
              <w14:schemeClr w14:val="tx1"/>
            </w14:solidFill>
          </w14:textFill>
        </w:rPr>
        <w:t>图3.</w:t>
      </w:r>
      <w:r>
        <w:rPr>
          <w:rFonts w:hint="eastAsia" w:cs="Times New Roman" w:eastAsiaTheme="minorEastAsia"/>
          <w:b/>
          <w:caps w:val="0"/>
          <w:smallCaps w:val="0"/>
          <w:color w:val="000000" w:themeColor="text1"/>
          <w:kern w:val="0"/>
          <w:sz w:val="24"/>
          <w:szCs w:val="22"/>
          <w:lang w:val="en-US" w:eastAsia="zh-CN"/>
          <w14:textFill>
            <w14:solidFill>
              <w14:schemeClr w14:val="tx1"/>
            </w14:solidFill>
          </w14:textFill>
        </w:rPr>
        <w:t>2</w:t>
      </w:r>
      <w:r>
        <w:rPr>
          <w:rFonts w:ascii="Times New Roman" w:hAnsi="Times New Roman" w:cs="Times New Roman" w:eastAsiaTheme="minorEastAsia"/>
          <w:b/>
          <w:caps w:val="0"/>
          <w:smallCaps w:val="0"/>
          <w:color w:val="000000" w:themeColor="text1"/>
          <w:kern w:val="0"/>
          <w:sz w:val="24"/>
          <w:szCs w:val="22"/>
          <w:lang w:val="zh-CN"/>
          <w14:textFill>
            <w14:solidFill>
              <w14:schemeClr w14:val="tx1"/>
            </w14:solidFill>
          </w14:textFill>
        </w:rPr>
        <w:t>-2码头</w:t>
      </w:r>
      <w:r>
        <w:rPr>
          <w:rFonts w:hint="eastAsia" w:cs="Times New Roman" w:eastAsiaTheme="minorEastAsia"/>
          <w:b/>
          <w:caps w:val="0"/>
          <w:smallCaps w:val="0"/>
          <w:color w:val="000000" w:themeColor="text1"/>
          <w:kern w:val="0"/>
          <w:sz w:val="24"/>
          <w:szCs w:val="22"/>
          <w:lang w:val="zh-CN"/>
          <w14:textFill>
            <w14:solidFill>
              <w14:schemeClr w14:val="tx1"/>
            </w14:solidFill>
          </w14:textFill>
        </w:rPr>
        <w:t>位置图</w:t>
      </w:r>
    </w:p>
    <w:p>
      <w:pPr>
        <w:adjustRightInd w:val="0"/>
        <w:snapToGrid w:val="0"/>
        <w:spacing w:line="360" w:lineRule="auto"/>
        <w:ind w:left="0" w:leftChars="0" w:firstLine="0" w:firstLineChars="0"/>
        <w:jc w:val="center"/>
        <w:rPr>
          <w:rFonts w:ascii="Times New Roman" w:hAnsi="Times New Roman" w:cs="Times New Roman" w:eastAsiaTheme="minorEastAsia"/>
          <w:b/>
          <w:caps w:val="0"/>
          <w:smallCaps w:val="0"/>
          <w:color w:val="000000" w:themeColor="text1"/>
          <w:kern w:val="0"/>
          <w:sz w:val="24"/>
          <w:szCs w:val="22"/>
          <w:lang w:val="zh-CN"/>
          <w14:textFill>
            <w14:solidFill>
              <w14:schemeClr w14:val="tx1"/>
            </w14:solidFill>
          </w14:textFill>
        </w:rPr>
      </w:pPr>
    </w:p>
    <w:p>
      <w:pPr>
        <w:adjustRightInd w:val="0"/>
        <w:snapToGrid w:val="0"/>
        <w:spacing w:line="360" w:lineRule="auto"/>
        <w:ind w:firstLine="482" w:firstLineChars="200"/>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p>
    <w:p>
      <w:pPr>
        <w:pStyle w:val="6"/>
        <w:bidi w:val="0"/>
        <w:rPr>
          <w:rFonts w:hint="eastAsia"/>
          <w:lang w:eastAsia="zh-CN"/>
        </w:rPr>
      </w:pPr>
      <w:r>
        <w:rPr>
          <w:rFonts w:hint="eastAsia"/>
          <w:lang w:eastAsia="zh-CN"/>
        </w:rPr>
        <w:t>环保手续履行情况</w:t>
      </w:r>
    </w:p>
    <w:p>
      <w:pPr>
        <w:pStyle w:val="2"/>
        <w:rPr>
          <w:rFonts w:hint="eastAsia" w:ascii="Times New Roman" w:hAnsi="Times New Roman" w:cs="Times New Roman" w:eastAsiaTheme="minorEastAsia"/>
          <w:caps w:val="0"/>
          <w:smallCaps w:val="0"/>
          <w:kern w:val="2"/>
          <w:sz w:val="24"/>
          <w:szCs w:val="24"/>
          <w:lang w:val="en-US" w:eastAsia="zh-CN" w:bidi="ar-SA"/>
        </w:rPr>
      </w:pPr>
      <w:r>
        <w:rPr>
          <w:rFonts w:hint="eastAsia" w:ascii="Times New Roman" w:hAnsi="Times New Roman" w:cs="Times New Roman" w:eastAsiaTheme="minorEastAsia"/>
          <w:caps w:val="0"/>
          <w:smallCaps w:val="0"/>
          <w:kern w:val="2"/>
          <w:sz w:val="24"/>
          <w:szCs w:val="24"/>
          <w:lang w:val="en-US" w:eastAsia="zh-CN" w:bidi="ar-SA"/>
        </w:rPr>
        <w:t>根据业主提供资料及《岳阳港总体规划（2017-2035年）环境影响报告书》，该码头始建于上世纪</w:t>
      </w:r>
      <w:r>
        <w:rPr>
          <w:rFonts w:hint="eastAsia" w:cs="Times New Roman" w:eastAsiaTheme="minorEastAsia"/>
          <w:caps w:val="0"/>
          <w:smallCaps w:val="0"/>
          <w:kern w:val="2"/>
          <w:sz w:val="24"/>
          <w:szCs w:val="24"/>
          <w:lang w:val="en-US" w:eastAsia="zh-CN" w:bidi="ar-SA"/>
        </w:rPr>
        <w:t>90</w:t>
      </w:r>
      <w:r>
        <w:rPr>
          <w:rFonts w:hint="eastAsia" w:ascii="Times New Roman" w:hAnsi="Times New Roman" w:cs="Times New Roman" w:eastAsiaTheme="minorEastAsia"/>
          <w:caps w:val="0"/>
          <w:smallCaps w:val="0"/>
          <w:kern w:val="2"/>
          <w:sz w:val="24"/>
          <w:szCs w:val="24"/>
          <w:lang w:val="en-US" w:eastAsia="zh-CN" w:bidi="ar-SA"/>
        </w:rPr>
        <w:t>年代，码头等级为500吨级，作为普货码头运营，主要用途为普通货物中转、装卸、储存，无环评手续。</w:t>
      </w:r>
    </w:p>
    <w:p>
      <w:pPr>
        <w:pStyle w:val="6"/>
        <w:bidi w:val="0"/>
        <w:rPr>
          <w:rFonts w:hint="eastAsia"/>
          <w:lang w:val="en-US" w:eastAsia="zh-CN"/>
        </w:rPr>
      </w:pPr>
      <w:r>
        <w:rPr>
          <w:rFonts w:hint="eastAsia"/>
          <w:lang w:val="en-US" w:eastAsia="zh-CN"/>
        </w:rPr>
        <w:t>现有码头运营情况</w:t>
      </w:r>
    </w:p>
    <w:p>
      <w:pPr>
        <w:pStyle w:val="2"/>
        <w:rPr>
          <w:rFonts w:hint="eastAsia"/>
          <w:lang w:val="en-US" w:eastAsia="zh-CN"/>
        </w:rPr>
      </w:pPr>
      <w:r>
        <w:rPr>
          <w:rFonts w:hint="eastAsia" w:cs="Times New Roman"/>
          <w:caps w:val="0"/>
          <w:smallCaps w:val="0"/>
          <w:lang w:val="en-US" w:eastAsia="zh-CN"/>
        </w:rPr>
        <w:t>现有码头原作为普货码头营运，该码头于2010年由湖南海丰物流有限公司取得经营许可。湖南海丰物流有限公司运输货种主要为石油沥青，与码头运输货种不匹配，该码头已停运。</w:t>
      </w:r>
    </w:p>
    <w:p>
      <w:pPr>
        <w:pStyle w:val="6"/>
        <w:bidi w:val="0"/>
        <w:rPr>
          <w:rFonts w:hint="eastAsia"/>
          <w:lang w:val="en-US" w:eastAsia="zh-CN"/>
        </w:rPr>
      </w:pPr>
      <w:r>
        <w:rPr>
          <w:rFonts w:hint="eastAsia"/>
          <w:lang w:val="en-US" w:eastAsia="zh-CN"/>
        </w:rPr>
        <w:t>现有码头建设情况</w:t>
      </w:r>
    </w:p>
    <w:p>
      <w:pPr>
        <w:pStyle w:val="2"/>
        <w:rPr>
          <w:rFonts w:hint="eastAsia" w:ascii="Times New Roman" w:hAnsi="Times New Roman" w:cs="Times New Roman" w:eastAsiaTheme="minorEastAsia"/>
          <w:caps w:val="0"/>
          <w:smallCaps w:val="0"/>
          <w:sz w:val="24"/>
          <w:szCs w:val="24"/>
        </w:rPr>
      </w:pPr>
      <w:r>
        <w:rPr>
          <w:rFonts w:hint="eastAsia" w:cs="Times New Roman"/>
          <w:b/>
          <w:bCs/>
          <w:caps w:val="0"/>
          <w:smallCaps w:val="0"/>
          <w:lang w:val="en-US" w:eastAsia="zh-CN"/>
        </w:rPr>
        <w:t>1、基本建设情况</w:t>
      </w:r>
    </w:p>
    <w:p>
      <w:pPr>
        <w:bidi w:val="0"/>
        <w:rPr>
          <w:rFonts w:hint="eastAsia"/>
        </w:rPr>
      </w:pPr>
      <w:r>
        <w:rPr>
          <w:rFonts w:hint="eastAsia"/>
        </w:rPr>
        <w:t>海丰物流</w:t>
      </w:r>
      <w:r>
        <w:t>码头</w:t>
      </w:r>
      <w:r>
        <w:rPr>
          <w:rFonts w:hint="eastAsia"/>
        </w:rPr>
        <w:t>为斜坡式码头，</w:t>
      </w:r>
      <w:r>
        <w:t>占用岸线总长度为150m</w:t>
      </w:r>
      <w:r>
        <w:rPr>
          <w:rFonts w:hint="eastAsia"/>
        </w:rPr>
        <w:t>，</w:t>
      </w:r>
      <w:r>
        <w:rPr>
          <w:rFonts w:hint="eastAsia"/>
          <w:lang w:val="en-US" w:eastAsia="zh-CN"/>
        </w:rPr>
        <w:t>到港船舶采用丁靠方式进行停泊装卸，斜坡道总长140m，</w:t>
      </w:r>
      <w:r>
        <w:rPr>
          <w:rFonts w:hint="eastAsia"/>
        </w:rPr>
        <w:t>宽46.0m。码头上、下游岸均为挡土墙，挡土墙长度140.0m。斜坡坡顶段地基为粘土，挡土墙采用带钢筋混凝土底板的普通重力式结构；在斜坡下游段，地基为鹅卵石，挡土墙采用衡重力式结构形式。</w:t>
      </w:r>
    </w:p>
    <w:p>
      <w:pPr>
        <w:bidi w:val="0"/>
        <w:rPr>
          <w:rFonts w:hint="eastAsia"/>
        </w:rPr>
      </w:pPr>
      <w:r>
        <w:rPr>
          <w:rFonts w:hint="eastAsia"/>
        </w:rPr>
        <w:t>斜坡道与外界疏港路通过顺岸道路连接</w:t>
      </w:r>
      <w:r>
        <w:rPr>
          <w:rFonts w:hint="eastAsia"/>
          <w:lang w:val="en-US" w:eastAsia="zh-CN"/>
        </w:rPr>
        <w:t>。</w:t>
      </w:r>
    </w:p>
    <w:p>
      <w:pPr>
        <w:pStyle w:val="2"/>
        <w:rPr>
          <w:rFonts w:hint="eastAsia" w:cs="Times New Roman"/>
          <w:b/>
          <w:bCs/>
          <w:caps w:val="0"/>
          <w:smallCaps w:val="0"/>
          <w:lang w:val="en-US" w:eastAsia="zh-CN"/>
        </w:rPr>
      </w:pPr>
      <w:r>
        <w:rPr>
          <w:rFonts w:hint="eastAsia" w:cs="Times New Roman"/>
          <w:b/>
          <w:bCs/>
          <w:caps w:val="0"/>
          <w:smallCaps w:val="0"/>
          <w:lang w:val="en-US" w:eastAsia="zh-CN"/>
        </w:rPr>
        <w:t>2、码头规模</w:t>
      </w:r>
    </w:p>
    <w:p>
      <w:pPr>
        <w:bidi w:val="0"/>
        <w:rPr>
          <w:rFonts w:hint="eastAsia"/>
          <w:lang w:val="en-US" w:eastAsia="zh-CN"/>
        </w:rPr>
      </w:pPr>
      <w:r>
        <w:rPr>
          <w:rFonts w:hint="eastAsia"/>
          <w:lang w:val="en-US" w:eastAsia="zh-CN"/>
        </w:rPr>
        <w:t>现有码头为500吨级泊位1个，吞吐量30万吨/年。码头为浆砌块石直立式挡墙组成的斜坡码头，码头长度140m，斜坡道上游侧码头前沿无系船柱。</w:t>
      </w:r>
    </w:p>
    <w:p>
      <w:pPr>
        <w:spacing w:line="560" w:lineRule="exact"/>
        <w:ind w:firstLine="560"/>
        <w:rPr>
          <w:rFonts w:hint="eastAsia" w:cs="Times New Roman" w:eastAsiaTheme="minorEastAsia"/>
          <w:caps w:val="0"/>
          <w:smallCaps w:val="0"/>
          <w:sz w:val="24"/>
          <w:szCs w:val="24"/>
          <w:lang w:val="en-US" w:eastAsia="zh-CN"/>
        </w:rPr>
      </w:pPr>
      <w:r>
        <w:rPr>
          <w:rFonts w:hint="eastAsia" w:cs="Times New Roman" w:eastAsiaTheme="minorEastAsia"/>
          <w:b/>
          <w:bCs/>
          <w:caps w:val="0"/>
          <w:smallCaps w:val="0"/>
          <w:sz w:val="24"/>
          <w:szCs w:val="24"/>
          <w:lang w:val="en-US" w:eastAsia="zh-CN"/>
        </w:rPr>
        <w:t>3、公用设施建设情况</w:t>
      </w:r>
    </w:p>
    <w:p>
      <w:pPr>
        <w:bidi w:val="0"/>
        <w:rPr>
          <w:rFonts w:hint="eastAsia"/>
          <w:lang w:val="en-US" w:eastAsia="zh-CN"/>
        </w:rPr>
      </w:pPr>
      <w:r>
        <w:rPr>
          <w:rFonts w:hint="eastAsia"/>
          <w:lang w:val="en-US" w:eastAsia="zh-CN"/>
        </w:rPr>
        <w:t>（1）供电</w:t>
      </w:r>
    </w:p>
    <w:p>
      <w:pPr>
        <w:bidi w:val="0"/>
        <w:rPr>
          <w:rFonts w:hint="eastAsia"/>
          <w:lang w:val="en-US" w:eastAsia="zh-CN"/>
        </w:rPr>
      </w:pPr>
      <w:r>
        <w:rPr>
          <w:rFonts w:hint="eastAsia"/>
          <w:lang w:val="en-US" w:eastAsia="zh-CN"/>
        </w:rPr>
        <w:t>现有码头未配套建设照明设施，且无配备岸电设施，需在码头提质改造时新建。</w:t>
      </w:r>
    </w:p>
    <w:p>
      <w:pPr>
        <w:bidi w:val="0"/>
        <w:rPr>
          <w:rFonts w:hint="default"/>
          <w:lang w:val="en-US" w:eastAsia="zh-CN"/>
        </w:rPr>
      </w:pPr>
      <w:r>
        <w:rPr>
          <w:rFonts w:hint="eastAsia"/>
          <w:lang w:val="en-US" w:eastAsia="zh-CN"/>
        </w:rPr>
        <w:t>（2）给排水</w:t>
      </w:r>
    </w:p>
    <w:p>
      <w:pPr>
        <w:bidi w:val="0"/>
        <w:rPr>
          <w:rFonts w:hint="eastAsia"/>
          <w:lang w:val="en-US" w:eastAsia="zh-CN"/>
        </w:rPr>
      </w:pPr>
      <w:r>
        <w:rPr>
          <w:rFonts w:hint="eastAsia"/>
          <w:lang w:val="en-US" w:eastAsia="zh-CN"/>
        </w:rPr>
        <w:t>现有码头无给水、排水相关设施，无给水、排水管道，需在码头提质改造时新建给水管道、雨污分流排水管道。员工用水、排水依托后方厂区。</w:t>
      </w:r>
    </w:p>
    <w:p>
      <w:pPr>
        <w:bidi w:val="0"/>
        <w:rPr>
          <w:rFonts w:hint="eastAsia"/>
          <w:lang w:val="en-US" w:eastAsia="zh-CN"/>
        </w:rPr>
      </w:pPr>
      <w:r>
        <w:rPr>
          <w:rFonts w:hint="eastAsia"/>
          <w:lang w:val="en-US" w:eastAsia="zh-CN"/>
        </w:rPr>
        <w:t>（3）消防</w:t>
      </w:r>
    </w:p>
    <w:p>
      <w:pPr>
        <w:bidi w:val="0"/>
        <w:rPr>
          <w:rFonts w:hint="eastAsia"/>
          <w:lang w:val="en-US" w:eastAsia="zh-CN"/>
        </w:rPr>
      </w:pPr>
      <w:r>
        <w:rPr>
          <w:rFonts w:hint="eastAsia"/>
          <w:lang w:val="en-US" w:eastAsia="zh-CN"/>
        </w:rPr>
        <w:t>现有码头无消防设施。项目提质改造是需新建消防水或消防泡沫管道。</w:t>
      </w:r>
    </w:p>
    <w:p>
      <w:pPr>
        <w:pStyle w:val="2"/>
        <w:rPr>
          <w:rFonts w:hint="eastAsia" w:cs="Times New Roman"/>
          <w:b/>
          <w:bCs/>
          <w:caps w:val="0"/>
          <w:smallCaps w:val="0"/>
          <w:u w:val="single"/>
          <w:lang w:val="en-US" w:eastAsia="zh-CN"/>
        </w:rPr>
      </w:pPr>
      <w:r>
        <w:rPr>
          <w:rFonts w:hint="eastAsia" w:cs="Times New Roman"/>
          <w:b/>
          <w:bCs/>
          <w:caps w:val="0"/>
          <w:smallCaps w:val="0"/>
          <w:u w:val="single"/>
          <w:lang w:val="en-US" w:eastAsia="zh-CN"/>
        </w:rPr>
        <w:t>4、环保设施建设情况</w:t>
      </w:r>
    </w:p>
    <w:p>
      <w:pPr>
        <w:pStyle w:val="2"/>
        <w:rPr>
          <w:rFonts w:hint="eastAsia" w:cs="Times New Roman"/>
          <w:caps w:val="0"/>
          <w:smallCaps w:val="0"/>
          <w:u w:val="single"/>
          <w:lang w:val="en-US" w:eastAsia="zh-CN"/>
        </w:rPr>
      </w:pPr>
      <w:r>
        <w:rPr>
          <w:rFonts w:hint="eastAsia" w:cs="Times New Roman"/>
          <w:caps w:val="0"/>
          <w:smallCaps w:val="0"/>
          <w:u w:val="single"/>
          <w:lang w:val="en-US" w:eastAsia="zh-CN"/>
        </w:rPr>
        <w:t>（1）废水处理设施</w:t>
      </w:r>
    </w:p>
    <w:p>
      <w:pPr>
        <w:pStyle w:val="2"/>
        <w:rPr>
          <w:rFonts w:hint="eastAsia" w:cs="Times New Roman"/>
          <w:caps w:val="0"/>
          <w:smallCaps w:val="0"/>
          <w:u w:val="single"/>
          <w:lang w:val="en-US" w:eastAsia="zh-CN"/>
        </w:rPr>
      </w:pPr>
      <w:r>
        <w:rPr>
          <w:rFonts w:hint="eastAsia" w:cs="Times New Roman"/>
          <w:caps w:val="0"/>
          <w:smallCaps w:val="0"/>
          <w:u w:val="single"/>
          <w:lang w:val="en-US" w:eastAsia="zh-CN"/>
        </w:rPr>
        <w:t>现有码头平台无船舶生活污水、油污废水收集设施以及雨水收集设施。需在码头提质改造时新增雨污废水收集处理设施。</w:t>
      </w:r>
    </w:p>
    <w:p>
      <w:pPr>
        <w:pStyle w:val="2"/>
        <w:rPr>
          <w:rFonts w:hint="eastAsia" w:cs="Times New Roman"/>
          <w:caps w:val="0"/>
          <w:smallCaps w:val="0"/>
          <w:u w:val="single"/>
          <w:lang w:val="en-US" w:eastAsia="zh-CN"/>
        </w:rPr>
      </w:pPr>
      <w:r>
        <w:rPr>
          <w:rFonts w:hint="eastAsia" w:cs="Times New Roman"/>
          <w:caps w:val="0"/>
          <w:smallCaps w:val="0"/>
          <w:u w:val="single"/>
          <w:lang w:val="en-US" w:eastAsia="zh-CN"/>
        </w:rPr>
        <w:t>（2）废气处理设施</w:t>
      </w:r>
    </w:p>
    <w:p>
      <w:pPr>
        <w:pStyle w:val="2"/>
        <w:rPr>
          <w:rFonts w:hint="eastAsia" w:cs="Times New Roman"/>
          <w:caps w:val="0"/>
          <w:smallCaps w:val="0"/>
          <w:u w:val="single"/>
          <w:lang w:val="en-US" w:eastAsia="zh-CN"/>
        </w:rPr>
      </w:pPr>
      <w:r>
        <w:rPr>
          <w:rFonts w:hint="eastAsia" w:cs="Times New Roman"/>
          <w:caps w:val="0"/>
          <w:smallCaps w:val="0"/>
          <w:u w:val="single"/>
          <w:lang w:val="en-US" w:eastAsia="zh-CN"/>
        </w:rPr>
        <w:t>现有码头无废气收集处理设施。无法收集处理船舶沥青装载过程产生的废气。需在码头提质改造时新增废气收集处置设施。</w:t>
      </w:r>
    </w:p>
    <w:p>
      <w:pPr>
        <w:pStyle w:val="2"/>
        <w:rPr>
          <w:rFonts w:hint="eastAsia" w:cs="Times New Roman"/>
          <w:caps w:val="0"/>
          <w:smallCaps w:val="0"/>
          <w:u w:val="single"/>
          <w:lang w:val="en-US" w:eastAsia="zh-CN"/>
        </w:rPr>
      </w:pPr>
      <w:r>
        <w:rPr>
          <w:rFonts w:hint="eastAsia" w:cs="Times New Roman"/>
          <w:caps w:val="0"/>
          <w:smallCaps w:val="0"/>
          <w:u w:val="single"/>
          <w:lang w:val="en-US" w:eastAsia="zh-CN"/>
        </w:rPr>
        <w:t>（3）固废处置设施</w:t>
      </w:r>
    </w:p>
    <w:p>
      <w:pPr>
        <w:pStyle w:val="2"/>
        <w:rPr>
          <w:rFonts w:hint="eastAsia" w:cs="Times New Roman"/>
          <w:caps w:val="0"/>
          <w:smallCaps w:val="0"/>
          <w:u w:val="single"/>
          <w:lang w:val="en-US" w:eastAsia="zh-CN"/>
        </w:rPr>
      </w:pPr>
      <w:r>
        <w:rPr>
          <w:rFonts w:hint="eastAsia" w:cs="Times New Roman"/>
          <w:caps w:val="0"/>
          <w:smallCaps w:val="0"/>
          <w:u w:val="single"/>
          <w:lang w:val="en-US" w:eastAsia="zh-CN"/>
        </w:rPr>
        <w:t>现有码头无固废收集设施。依托后方库区固体废物收集设施。</w:t>
      </w:r>
    </w:p>
    <w:p>
      <w:pPr>
        <w:pStyle w:val="2"/>
        <w:rPr>
          <w:rFonts w:hint="eastAsia" w:cs="Times New Roman"/>
          <w:b/>
          <w:bCs/>
          <w:caps w:val="0"/>
          <w:smallCaps w:val="0"/>
          <w:lang w:val="en-US" w:eastAsia="zh-CN"/>
        </w:rPr>
      </w:pPr>
      <w:r>
        <w:rPr>
          <w:rFonts w:hint="eastAsia" w:cs="Times New Roman"/>
          <w:b/>
          <w:bCs/>
          <w:caps w:val="0"/>
          <w:smallCaps w:val="0"/>
          <w:lang w:val="en-US" w:eastAsia="zh-CN"/>
        </w:rPr>
        <w:t>5、装卸设施</w:t>
      </w:r>
    </w:p>
    <w:p>
      <w:pPr>
        <w:pStyle w:val="2"/>
        <w:rPr>
          <w:rFonts w:hint="eastAsia" w:cs="Times New Roman"/>
          <w:caps w:val="0"/>
          <w:smallCaps w:val="0"/>
          <w:lang w:val="en-US" w:eastAsia="zh-CN"/>
        </w:rPr>
      </w:pPr>
      <w:r>
        <w:rPr>
          <w:rFonts w:hint="eastAsia" w:cs="Times New Roman"/>
          <w:caps w:val="0"/>
          <w:smallCaps w:val="0"/>
          <w:lang w:val="en-US" w:eastAsia="zh-CN"/>
        </w:rPr>
        <w:t>现有码头设有水泥墩柱固定的一根输送管道，该输送管道较为破旧，已废弃。</w:t>
      </w:r>
      <w:r>
        <w:rPr>
          <w:rFonts w:hint="eastAsia" w:cs="Times New Roman"/>
          <w:b/>
          <w:bCs/>
          <w:caps w:val="0"/>
          <w:smallCaps w:val="0"/>
          <w:lang w:val="en-US" w:eastAsia="zh-CN"/>
        </w:rPr>
        <w:t>目前，码头不进行装卸作业，库区沥青装卸采用陆运。</w:t>
      </w:r>
    </w:p>
    <w:p>
      <w:pPr>
        <w:pStyle w:val="2"/>
        <w:rPr>
          <w:rFonts w:hint="eastAsia" w:cs="Times New Roman"/>
          <w:b/>
          <w:bCs/>
          <w:caps w:val="0"/>
          <w:smallCaps w:val="0"/>
          <w:lang w:val="en-US" w:eastAsia="zh-CN"/>
        </w:rPr>
      </w:pPr>
      <w:r>
        <w:rPr>
          <w:rFonts w:hint="eastAsia" w:cs="Times New Roman"/>
          <w:b/>
          <w:bCs/>
          <w:caps w:val="0"/>
          <w:smallCaps w:val="0"/>
          <w:lang w:val="en-US" w:eastAsia="zh-CN"/>
        </w:rPr>
        <w:t>6、装卸工艺现状</w:t>
      </w:r>
    </w:p>
    <w:p>
      <w:pPr>
        <w:pStyle w:val="2"/>
        <w:rPr>
          <w:rFonts w:hint="eastAsia" w:cs="Times New Roman"/>
          <w:caps w:val="0"/>
          <w:smallCaps w:val="0"/>
          <w:lang w:val="en-US" w:eastAsia="zh-CN"/>
        </w:rPr>
      </w:pPr>
      <w:r>
        <w:rPr>
          <w:rFonts w:hint="eastAsia" w:cs="Times New Roman"/>
          <w:caps w:val="0"/>
          <w:smallCaps w:val="0"/>
          <w:lang w:val="en-US" w:eastAsia="zh-CN"/>
        </w:rPr>
        <w:t>现有码头已停运，不进行装卸作业，无装卸工艺。</w:t>
      </w:r>
    </w:p>
    <w:p>
      <w:pPr>
        <w:pStyle w:val="5"/>
        <w:bidi w:val="0"/>
      </w:pPr>
      <w:bookmarkStart w:id="25" w:name="_Toc30704"/>
      <w:r>
        <w:rPr>
          <w:rFonts w:hint="eastAsia"/>
        </w:rPr>
        <w:t>现有罐区概况</w:t>
      </w:r>
      <w:bookmarkEnd w:id="25"/>
    </w:p>
    <w:p>
      <w:pPr>
        <w:rPr>
          <w:rFonts w:hint="eastAsia" w:eastAsia="宋体"/>
          <w:lang w:eastAsia="zh-CN"/>
        </w:rPr>
      </w:pPr>
      <w:r>
        <w:rPr>
          <w:rFonts w:hint="eastAsia"/>
          <w:lang w:eastAsia="zh-CN"/>
        </w:rPr>
        <w:t>本项目为码头提质改造项目，在本报告中现有罐区是指本次提质改造码头涉及到的后方配套设施现状。</w:t>
      </w:r>
    </w:p>
    <w:p>
      <w:pPr>
        <w:pStyle w:val="6"/>
        <w:bidi w:val="0"/>
      </w:pPr>
      <w:r>
        <w:rPr>
          <w:rFonts w:hint="eastAsia"/>
          <w:lang w:eastAsia="zh-CN"/>
        </w:rPr>
        <w:t>环保手续履行情况</w:t>
      </w:r>
    </w:p>
    <w:p>
      <w:pPr>
        <w:rPr>
          <w:rFonts w:hint="eastAsia" w:ascii="Times New Roman" w:hAnsi="Times New Roman" w:eastAsiaTheme="minorEastAsia"/>
          <w:sz w:val="24"/>
          <w:szCs w:val="24"/>
          <w:lang w:val="en-US" w:eastAsia="zh-CN"/>
        </w:rPr>
      </w:pPr>
      <w:r>
        <w:rPr>
          <w:rFonts w:hint="eastAsia"/>
          <w:lang w:eastAsia="zh-CN"/>
        </w:rPr>
        <w:t>湖南海丰物流有限公司原为湖南海丰石油化工有限公司，企业于</w:t>
      </w:r>
      <w:r>
        <w:rPr>
          <w:rFonts w:hint="eastAsia"/>
          <w:lang w:val="en-US" w:eastAsia="zh-CN"/>
        </w:rPr>
        <w:t>2010年在岳阳市屈原管理区营田镇推山咀建设湘北沥青库</w:t>
      </w:r>
      <w:r>
        <w:rPr>
          <w:rFonts w:hint="default" w:ascii="Times New Roman" w:hAnsi="Times New Roman" w:eastAsiaTheme="minorEastAsia"/>
          <w:sz w:val="24"/>
          <w:szCs w:val="24"/>
          <w:lang w:val="en-US" w:eastAsia="zh-CN"/>
        </w:rPr>
        <w:t>（100</w:t>
      </w:r>
      <w:r>
        <w:rPr>
          <w:rFonts w:hint="eastAsia" w:eastAsiaTheme="minorEastAsia"/>
          <w:sz w:val="24"/>
          <w:szCs w:val="24"/>
          <w:lang w:val="en-US" w:eastAsia="zh-CN"/>
        </w:rPr>
        <w:t>0</w:t>
      </w:r>
      <w:r>
        <w:rPr>
          <w:rFonts w:hint="default" w:ascii="Times New Roman" w:hAnsi="Times New Roman" w:eastAsiaTheme="minorEastAsia"/>
          <w:sz w:val="24"/>
          <w:szCs w:val="24"/>
          <w:lang w:val="en-US" w:eastAsia="zh-CN"/>
        </w:rPr>
        <w:t>0m</w:t>
      </w:r>
      <w:r>
        <w:rPr>
          <w:rFonts w:hint="default" w:ascii="Times New Roman" w:hAnsi="Times New Roman" w:eastAsiaTheme="minorEastAsia"/>
          <w:sz w:val="24"/>
          <w:szCs w:val="24"/>
          <w:vertAlign w:val="superscript"/>
          <w:lang w:val="en-US" w:eastAsia="zh-CN"/>
        </w:rPr>
        <w:t>3</w:t>
      </w:r>
      <w:r>
        <w:rPr>
          <w:rFonts w:hint="default" w:ascii="Times New Roman" w:hAnsi="Times New Roman" w:eastAsiaTheme="minorEastAsia"/>
          <w:sz w:val="24"/>
          <w:szCs w:val="24"/>
          <w:lang w:val="en-US" w:eastAsia="zh-CN"/>
        </w:rPr>
        <w:t>）建设项目</w:t>
      </w:r>
      <w:r>
        <w:rPr>
          <w:rFonts w:hint="eastAsia" w:eastAsiaTheme="minorEastAsia"/>
          <w:sz w:val="24"/>
          <w:szCs w:val="24"/>
          <w:lang w:val="en-US" w:eastAsia="zh-CN"/>
        </w:rPr>
        <w:t>，该项目于2010年5月28日由岳阳市环境保护局屈原管理区分局对该项目进行环评批复，2015</w:t>
      </w:r>
      <w:r>
        <w:rPr>
          <w:rFonts w:hint="default" w:ascii="Times New Roman" w:hAnsi="Times New Roman" w:eastAsiaTheme="minorEastAsia"/>
          <w:sz w:val="24"/>
          <w:szCs w:val="24"/>
          <w:lang w:val="en-US" w:eastAsia="zh-CN"/>
        </w:rPr>
        <w:t>年9月20日岳阳市环境保护局屈原管理区分局出具的“湖南海丰物流有限公司湘北沥青库（100</w:t>
      </w:r>
      <w:r>
        <w:rPr>
          <w:rFonts w:hint="eastAsia" w:eastAsiaTheme="minorEastAsia"/>
          <w:sz w:val="24"/>
          <w:szCs w:val="24"/>
          <w:lang w:val="en-US" w:eastAsia="zh-CN"/>
        </w:rPr>
        <w:t>0</w:t>
      </w:r>
      <w:r>
        <w:rPr>
          <w:rFonts w:hint="default" w:ascii="Times New Roman" w:hAnsi="Times New Roman" w:eastAsiaTheme="minorEastAsia"/>
          <w:sz w:val="24"/>
          <w:szCs w:val="24"/>
          <w:lang w:val="en-US" w:eastAsia="zh-CN"/>
        </w:rPr>
        <w:t>0m</w:t>
      </w:r>
      <w:r>
        <w:rPr>
          <w:rFonts w:hint="default" w:ascii="Times New Roman" w:hAnsi="Times New Roman" w:eastAsiaTheme="minorEastAsia"/>
          <w:sz w:val="24"/>
          <w:szCs w:val="24"/>
          <w:vertAlign w:val="superscript"/>
          <w:lang w:val="en-US" w:eastAsia="zh-CN"/>
        </w:rPr>
        <w:t>3</w:t>
      </w:r>
      <w:r>
        <w:rPr>
          <w:rFonts w:hint="default" w:ascii="Times New Roman" w:hAnsi="Times New Roman" w:eastAsiaTheme="minorEastAsia"/>
          <w:sz w:val="24"/>
          <w:szCs w:val="24"/>
          <w:lang w:val="en-US" w:eastAsia="zh-CN"/>
        </w:rPr>
        <w:t>）建设项目竣工环境保护验收意见”</w:t>
      </w:r>
      <w:r>
        <w:rPr>
          <w:rFonts w:hint="eastAsia" w:eastAsiaTheme="minorEastAsia"/>
          <w:sz w:val="24"/>
          <w:szCs w:val="24"/>
          <w:lang w:val="en-US" w:eastAsia="zh-CN"/>
        </w:rPr>
        <w:t>；2017年4月19日，岳阳市环境保护局屈原管理区分局对</w:t>
      </w:r>
      <w:r>
        <w:rPr>
          <w:rFonts w:hint="default" w:ascii="Times New Roman" w:hAnsi="Times New Roman" w:eastAsiaTheme="minorEastAsia"/>
          <w:sz w:val="24"/>
          <w:szCs w:val="24"/>
          <w:lang w:val="en-US" w:eastAsia="zh-CN"/>
        </w:rPr>
        <w:t>湖南海丰物流有限公司2017年度库区改扩建工程</w:t>
      </w:r>
      <w:r>
        <w:rPr>
          <w:rFonts w:hint="eastAsia" w:eastAsiaTheme="minorEastAsia"/>
          <w:sz w:val="24"/>
          <w:szCs w:val="24"/>
          <w:lang w:val="en-US" w:eastAsia="zh-CN"/>
        </w:rPr>
        <w:t>进行了环评批复，2019年企业对该项目开展自主验收，2020年4月1日送于岳阳市生态环境局屈原分局进行了备案；</w:t>
      </w:r>
      <w:r>
        <w:rPr>
          <w:rFonts w:hint="default" w:ascii="Times New Roman" w:hAnsi="Times New Roman" w:eastAsiaTheme="minorEastAsia"/>
          <w:sz w:val="24"/>
          <w:szCs w:val="24"/>
          <w:lang w:val="en-US" w:eastAsia="zh-CN"/>
        </w:rPr>
        <w:t>20</w:t>
      </w:r>
      <w:r>
        <w:rPr>
          <w:rFonts w:hint="eastAsia" w:ascii="Times New Roman" w:hAnsi="Times New Roman" w:eastAsiaTheme="minorEastAsia"/>
          <w:sz w:val="24"/>
          <w:szCs w:val="24"/>
          <w:lang w:val="en-US" w:eastAsia="zh-CN"/>
        </w:rPr>
        <w:t>21</w:t>
      </w:r>
      <w:r>
        <w:rPr>
          <w:rFonts w:hint="default" w:ascii="Times New Roman" w:hAnsi="Times New Roman" w:eastAsiaTheme="minorEastAsia"/>
          <w:sz w:val="24"/>
          <w:szCs w:val="24"/>
          <w:lang w:val="en-US" w:eastAsia="zh-CN"/>
        </w:rPr>
        <w:t>年2月</w:t>
      </w:r>
      <w:r>
        <w:rPr>
          <w:rFonts w:hint="eastAsia" w:ascii="Times New Roman" w:hAnsi="Times New Roman" w:eastAsiaTheme="minorEastAsia"/>
          <w:sz w:val="24"/>
          <w:szCs w:val="24"/>
          <w:lang w:val="en-US" w:eastAsia="zh-CN"/>
        </w:rPr>
        <w:t>1</w:t>
      </w:r>
      <w:r>
        <w:rPr>
          <w:rFonts w:hint="default" w:ascii="Times New Roman" w:hAnsi="Times New Roman" w:eastAsiaTheme="minorEastAsia"/>
          <w:sz w:val="24"/>
          <w:szCs w:val="24"/>
          <w:lang w:val="en-US" w:eastAsia="zh-CN"/>
        </w:rPr>
        <w:t>日取得岳阳市环境保护局屈原管理区分局出具的</w:t>
      </w:r>
      <w:r>
        <w:rPr>
          <w:rFonts w:hint="eastAsia" w:ascii="Times New Roman" w:hAnsi="Times New Roman" w:eastAsiaTheme="minorEastAsia"/>
          <w:sz w:val="24"/>
          <w:szCs w:val="24"/>
          <w:lang w:val="en-US" w:eastAsia="zh-CN"/>
        </w:rPr>
        <w:t>《</w:t>
      </w:r>
      <w:r>
        <w:rPr>
          <w:rFonts w:hint="default" w:ascii="Times New Roman" w:hAnsi="Times New Roman" w:eastAsiaTheme="minorEastAsia"/>
          <w:sz w:val="24"/>
          <w:szCs w:val="24"/>
          <w:lang w:val="en-US" w:eastAsia="zh-CN"/>
        </w:rPr>
        <w:t>关于</w:t>
      </w:r>
      <w:r>
        <w:rPr>
          <w:rFonts w:hint="default" w:ascii="Times New Roman" w:hAnsi="Times New Roman" w:eastAsiaTheme="minorEastAsia"/>
          <w:sz w:val="24"/>
          <w:szCs w:val="24"/>
        </w:rPr>
        <w:t>湖南海丰物流有限公司</w:t>
      </w:r>
      <w:r>
        <w:rPr>
          <w:rFonts w:hint="default" w:ascii="Times New Roman" w:hAnsi="Times New Roman" w:eastAsiaTheme="minorEastAsia"/>
          <w:sz w:val="24"/>
          <w:szCs w:val="24"/>
          <w:lang w:eastAsia="zh-CN"/>
        </w:rPr>
        <w:t>锅炉改造</w:t>
      </w:r>
      <w:r>
        <w:rPr>
          <w:rFonts w:hint="default" w:ascii="Times New Roman" w:hAnsi="Times New Roman" w:eastAsiaTheme="minorEastAsia"/>
          <w:sz w:val="24"/>
          <w:szCs w:val="24"/>
        </w:rPr>
        <w:t>工程</w:t>
      </w:r>
      <w:r>
        <w:rPr>
          <w:rFonts w:hint="default" w:ascii="Times New Roman" w:hAnsi="Times New Roman" w:eastAsiaTheme="minorEastAsia"/>
          <w:sz w:val="24"/>
          <w:szCs w:val="24"/>
          <w:lang w:val="en-US" w:eastAsia="zh-CN"/>
        </w:rPr>
        <w:t>环境影响评价的审批意见》（岳环屈分批[20</w:t>
      </w:r>
      <w:r>
        <w:rPr>
          <w:rFonts w:hint="eastAsia" w:ascii="Times New Roman" w:hAnsi="Times New Roman" w:eastAsiaTheme="minorEastAsia"/>
          <w:sz w:val="24"/>
          <w:szCs w:val="24"/>
          <w:lang w:val="en-US" w:eastAsia="zh-CN"/>
        </w:rPr>
        <w:t>21</w:t>
      </w:r>
      <w:r>
        <w:rPr>
          <w:rFonts w:hint="default" w:ascii="Times New Roman" w:hAnsi="Times New Roman" w:eastAsiaTheme="minorEastAsia"/>
          <w:sz w:val="24"/>
          <w:szCs w:val="24"/>
          <w:lang w:val="en-US" w:eastAsia="zh-CN"/>
        </w:rPr>
        <w:t>]</w:t>
      </w:r>
      <w:r>
        <w:rPr>
          <w:rFonts w:hint="eastAsia" w:ascii="Times New Roman" w:hAnsi="Times New Roman" w:eastAsiaTheme="minorEastAsia"/>
          <w:sz w:val="24"/>
          <w:szCs w:val="24"/>
          <w:lang w:val="en-US" w:eastAsia="zh-CN"/>
        </w:rPr>
        <w:t>11</w:t>
      </w:r>
      <w:r>
        <w:rPr>
          <w:rFonts w:hint="default" w:ascii="Times New Roman" w:hAnsi="Times New Roman" w:eastAsiaTheme="minorEastAsia"/>
          <w:sz w:val="24"/>
          <w:szCs w:val="24"/>
          <w:lang w:val="en-US" w:eastAsia="zh-CN"/>
        </w:rPr>
        <w:t>号），</w:t>
      </w:r>
      <w:r>
        <w:rPr>
          <w:rFonts w:hint="eastAsia" w:ascii="Times New Roman" w:hAnsi="Times New Roman" w:eastAsiaTheme="minorEastAsia"/>
          <w:sz w:val="24"/>
          <w:szCs w:val="24"/>
          <w:lang w:val="en-US" w:eastAsia="zh-CN"/>
        </w:rPr>
        <w:t>并于2021年5月进行了自主验收。</w:t>
      </w:r>
    </w:p>
    <w:p>
      <w:pPr>
        <w:pStyle w:val="6"/>
        <w:bidi w:val="0"/>
        <w:rPr>
          <w:rFonts w:hint="default"/>
          <w:lang w:val="en-US" w:eastAsia="zh-CN"/>
        </w:rPr>
      </w:pPr>
      <w:r>
        <w:rPr>
          <w:rFonts w:hint="eastAsia"/>
          <w:lang w:val="en-US" w:eastAsia="zh-CN"/>
        </w:rPr>
        <w:t>现有罐区基本情况</w:t>
      </w:r>
    </w:p>
    <w:p>
      <w:pPr>
        <w:adjustRightInd w:val="0"/>
        <w:snapToGrid w:val="0"/>
        <w:spacing w:line="360" w:lineRule="auto"/>
        <w:ind w:firstLine="480" w:firstLineChars="200"/>
        <w:rPr>
          <w:rFonts w:hint="default" w:ascii="Times New Roman" w:hAnsi="Times New Roman" w:cs="Times New Roman" w:eastAsiaTheme="minorEastAsia"/>
          <w:caps w:val="0"/>
          <w:smallCaps w:val="0"/>
          <w:sz w:val="24"/>
          <w:szCs w:val="24"/>
          <w:lang w:val="en-US" w:eastAsia="zh-CN"/>
        </w:rPr>
      </w:pPr>
      <w:r>
        <w:rPr>
          <w:rFonts w:hint="default" w:ascii="Times New Roman" w:hAnsi="Times New Roman" w:cs="Times New Roman" w:eastAsiaTheme="minorEastAsia"/>
          <w:caps w:val="0"/>
          <w:smallCaps w:val="0"/>
          <w:sz w:val="24"/>
          <w:szCs w:val="24"/>
          <w:lang w:val="en-US" w:eastAsia="zh-CN"/>
        </w:rPr>
        <w:t>湖南海丰物流有限公司</w:t>
      </w:r>
      <w:r>
        <w:rPr>
          <w:rFonts w:hint="eastAsia" w:ascii="Times New Roman" w:hAnsi="Times New Roman" w:cs="Times New Roman" w:eastAsiaTheme="minorEastAsia"/>
          <w:caps w:val="0"/>
          <w:smallCaps w:val="0"/>
          <w:sz w:val="24"/>
          <w:szCs w:val="24"/>
          <w:lang w:val="en-US" w:eastAsia="zh-CN"/>
        </w:rPr>
        <w:t>罐区</w:t>
      </w:r>
      <w:r>
        <w:rPr>
          <w:rFonts w:hint="default" w:ascii="Times New Roman" w:hAnsi="Times New Roman" w:cs="Times New Roman" w:eastAsiaTheme="minorEastAsia"/>
          <w:caps w:val="0"/>
          <w:smallCaps w:val="0"/>
          <w:sz w:val="24"/>
          <w:szCs w:val="24"/>
          <w:lang w:val="en-US" w:eastAsia="zh-CN"/>
        </w:rPr>
        <w:t>位于</w:t>
      </w:r>
      <w:r>
        <w:rPr>
          <w:rFonts w:hint="eastAsia" w:ascii="Times New Roman" w:hAnsi="Times New Roman" w:cs="Times New Roman" w:eastAsiaTheme="minorEastAsia"/>
          <w:caps w:val="0"/>
          <w:smallCaps w:val="0"/>
          <w:sz w:val="24"/>
          <w:szCs w:val="24"/>
        </w:rPr>
        <w:t>本码头的东侧，</w:t>
      </w:r>
      <w:r>
        <w:rPr>
          <w:rFonts w:hint="eastAsia" w:ascii="Times New Roman" w:hAnsi="Times New Roman" w:cs="Times New Roman" w:eastAsiaTheme="minorEastAsia"/>
          <w:caps w:val="0"/>
          <w:smallCaps w:val="0"/>
          <w:sz w:val="24"/>
          <w:szCs w:val="24"/>
          <w:lang w:val="en-US" w:eastAsia="zh-CN"/>
        </w:rPr>
        <w:t>紧靠现有斜坡码头，</w:t>
      </w:r>
      <w:r>
        <w:rPr>
          <w:rFonts w:hint="default" w:ascii="Times New Roman" w:hAnsi="Times New Roman" w:cs="Times New Roman" w:eastAsiaTheme="minorEastAsia"/>
          <w:caps w:val="0"/>
          <w:smallCaps w:val="0"/>
          <w:sz w:val="24"/>
          <w:szCs w:val="24"/>
        </w:rPr>
        <w:t>总用地面积16400平方米，建筑面积7397.5平方米</w:t>
      </w:r>
      <w:r>
        <w:rPr>
          <w:rFonts w:hint="default" w:ascii="Times New Roman" w:hAnsi="Times New Roman" w:cs="Times New Roman" w:eastAsiaTheme="minorEastAsia"/>
          <w:caps w:val="0"/>
          <w:smallCaps w:val="0"/>
          <w:sz w:val="24"/>
          <w:szCs w:val="24"/>
          <w:lang w:eastAsia="zh-CN"/>
        </w:rPr>
        <w:t>。</w:t>
      </w:r>
    </w:p>
    <w:p>
      <w:pPr>
        <w:pStyle w:val="109"/>
        <w:tabs>
          <w:tab w:val="left" w:pos="900"/>
        </w:tabs>
        <w:adjustRightInd w:val="0"/>
        <w:snapToGrid w:val="0"/>
        <w:spacing w:line="360" w:lineRule="auto"/>
        <w:ind w:firstLine="480"/>
        <w:rPr>
          <w:rFonts w:hint="eastAsia" w:ascii="Times New Roman" w:hAnsi="Times New Roman" w:cs="Times New Roman"/>
          <w:bCs/>
          <w:caps w:val="0"/>
          <w:smallCaps w:val="0"/>
          <w:color w:val="000000"/>
          <w:sz w:val="24"/>
          <w:szCs w:val="24"/>
        </w:rPr>
      </w:pPr>
      <w:r>
        <w:rPr>
          <w:rFonts w:hint="eastAsia" w:ascii="Times New Roman" w:hAnsi="Times New Roman" w:cs="Times New Roman"/>
          <w:caps w:val="0"/>
          <w:smallCaps w:val="0"/>
          <w:color w:val="000000" w:themeColor="text1"/>
          <w14:textFill>
            <w14:solidFill>
              <w14:schemeClr w14:val="tx1"/>
            </w14:solidFill>
          </w14:textFill>
        </w:rPr>
        <w:t>现有储罐区主要储存沥青，并配备有锅炉为沥青罐保温，罐区所有储罐由海丰物流公司统一经营，目前运行正常。</w:t>
      </w:r>
      <w:r>
        <w:rPr>
          <w:rFonts w:hint="eastAsia" w:cs="Times New Roman"/>
          <w:caps w:val="0"/>
          <w:smallCaps w:val="0"/>
          <w:color w:val="000000" w:themeColor="text1"/>
          <w:lang w:eastAsia="zh-CN"/>
          <w14:textFill>
            <w14:solidFill>
              <w14:schemeClr w14:val="tx1"/>
            </w14:solidFill>
          </w14:textFill>
        </w:rPr>
        <w:t>储存基质沥青（石油沥青）的储罐</w:t>
      </w:r>
      <w:r>
        <w:rPr>
          <w:rFonts w:hint="eastAsia" w:ascii="Times New Roman" w:hAnsi="Times New Roman" w:cs="Times New Roman"/>
          <w:bCs/>
          <w:caps w:val="0"/>
          <w:smallCaps w:val="0"/>
          <w:color w:val="000000"/>
        </w:rPr>
        <w:t>主要</w:t>
      </w:r>
      <w:r>
        <w:rPr>
          <w:rFonts w:hint="eastAsia" w:cs="Times New Roman"/>
          <w:bCs/>
          <w:caps w:val="0"/>
          <w:smallCaps w:val="0"/>
          <w:color w:val="000000"/>
          <w:lang w:eastAsia="zh-CN"/>
        </w:rPr>
        <w:t>有</w:t>
      </w:r>
      <w:r>
        <w:rPr>
          <w:rFonts w:hint="eastAsia" w:ascii="Times New Roman" w:hAnsi="Times New Roman" w:cs="Times New Roman"/>
          <w:bCs/>
          <w:caps w:val="0"/>
          <w:smallCaps w:val="0"/>
          <w:color w:val="000000"/>
        </w:rPr>
        <w:t>2个5</w:t>
      </w:r>
      <w:r>
        <w:rPr>
          <w:rFonts w:hint="eastAsia" w:ascii="Times New Roman" w:hAnsi="Times New Roman" w:cs="Times New Roman"/>
          <w:bCs/>
          <w:caps w:val="0"/>
          <w:smallCaps w:val="0"/>
          <w:color w:val="000000"/>
          <w:lang w:val="en-US" w:eastAsia="zh-CN"/>
        </w:rPr>
        <w:t>5</w:t>
      </w:r>
      <w:r>
        <w:rPr>
          <w:rFonts w:hint="eastAsia" w:ascii="Times New Roman" w:hAnsi="Times New Roman" w:cs="Times New Roman"/>
          <w:bCs/>
          <w:caps w:val="0"/>
          <w:smallCaps w:val="0"/>
          <w:color w:val="000000"/>
        </w:rPr>
        <w:t>00m</w:t>
      </w:r>
      <w:r>
        <w:rPr>
          <w:rFonts w:hint="eastAsia" w:ascii="Times New Roman" w:hAnsi="Times New Roman" w:cs="Times New Roman"/>
          <w:bCs/>
          <w:caps w:val="0"/>
          <w:smallCaps w:val="0"/>
          <w:color w:val="000000"/>
          <w:vertAlign w:val="superscript"/>
        </w:rPr>
        <w:t>3</w:t>
      </w:r>
      <w:r>
        <w:rPr>
          <w:rFonts w:hint="eastAsia" w:ascii="Times New Roman" w:hAnsi="Times New Roman" w:cs="Times New Roman"/>
          <w:bCs/>
          <w:caps w:val="0"/>
          <w:smallCaps w:val="0"/>
          <w:color w:val="000000"/>
          <w:lang w:eastAsia="zh-CN"/>
        </w:rPr>
        <w:t>、</w:t>
      </w:r>
      <w:r>
        <w:rPr>
          <w:rFonts w:hint="eastAsia" w:ascii="Times New Roman" w:hAnsi="Times New Roman" w:cs="Times New Roman"/>
          <w:bCs/>
          <w:caps w:val="0"/>
          <w:smallCaps w:val="0"/>
          <w:color w:val="000000"/>
          <w:lang w:val="en-US" w:eastAsia="zh-CN"/>
        </w:rPr>
        <w:t>1</w:t>
      </w:r>
      <w:r>
        <w:rPr>
          <w:rFonts w:hint="eastAsia" w:ascii="Times New Roman" w:hAnsi="Times New Roman" w:cs="Times New Roman"/>
          <w:bCs/>
          <w:caps w:val="0"/>
          <w:smallCaps w:val="0"/>
          <w:color w:val="000000"/>
        </w:rPr>
        <w:t>个</w:t>
      </w:r>
      <w:r>
        <w:rPr>
          <w:rFonts w:hint="eastAsia" w:ascii="Times New Roman" w:hAnsi="Times New Roman" w:cs="Times New Roman"/>
          <w:bCs/>
          <w:caps w:val="0"/>
          <w:smallCaps w:val="0"/>
          <w:color w:val="000000"/>
          <w:lang w:val="en-US" w:eastAsia="zh-CN"/>
        </w:rPr>
        <w:t>49</w:t>
      </w:r>
      <w:r>
        <w:rPr>
          <w:rFonts w:hint="eastAsia" w:ascii="Times New Roman" w:hAnsi="Times New Roman" w:cs="Times New Roman"/>
          <w:bCs/>
          <w:caps w:val="0"/>
          <w:smallCaps w:val="0"/>
          <w:color w:val="000000"/>
        </w:rPr>
        <w:t>00m</w:t>
      </w:r>
      <w:r>
        <w:rPr>
          <w:rFonts w:hint="eastAsia" w:ascii="Times New Roman" w:hAnsi="Times New Roman" w:cs="Times New Roman"/>
          <w:bCs/>
          <w:caps w:val="0"/>
          <w:smallCaps w:val="0"/>
          <w:color w:val="000000"/>
          <w:vertAlign w:val="superscript"/>
        </w:rPr>
        <w:t>3</w:t>
      </w:r>
      <w:r>
        <w:rPr>
          <w:rFonts w:hint="eastAsia" w:ascii="Times New Roman" w:hAnsi="Times New Roman" w:cs="Times New Roman"/>
          <w:bCs/>
          <w:caps w:val="0"/>
          <w:smallCaps w:val="0"/>
          <w:color w:val="000000"/>
          <w:lang w:eastAsia="zh-CN"/>
        </w:rPr>
        <w:t>、</w:t>
      </w:r>
      <w:r>
        <w:rPr>
          <w:rFonts w:hint="eastAsia" w:ascii="Times New Roman" w:hAnsi="Times New Roman" w:cs="Times New Roman"/>
          <w:bCs/>
          <w:caps w:val="0"/>
          <w:smallCaps w:val="0"/>
          <w:color w:val="000000"/>
          <w:lang w:val="en-US" w:eastAsia="zh-CN"/>
        </w:rPr>
        <w:t>3</w:t>
      </w:r>
      <w:r>
        <w:rPr>
          <w:rFonts w:hint="eastAsia" w:ascii="Times New Roman" w:hAnsi="Times New Roman" w:cs="Times New Roman"/>
          <w:bCs/>
          <w:caps w:val="0"/>
          <w:smallCaps w:val="0"/>
          <w:color w:val="000000"/>
        </w:rPr>
        <w:t>个</w:t>
      </w:r>
      <w:r>
        <w:rPr>
          <w:rFonts w:hint="eastAsia" w:ascii="Times New Roman" w:hAnsi="Times New Roman" w:cs="Times New Roman"/>
          <w:bCs/>
          <w:caps w:val="0"/>
          <w:smallCaps w:val="0"/>
          <w:color w:val="000000"/>
          <w:lang w:val="en-US" w:eastAsia="zh-CN"/>
        </w:rPr>
        <w:t>2</w:t>
      </w:r>
      <w:r>
        <w:rPr>
          <w:rFonts w:hint="eastAsia" w:ascii="Times New Roman" w:hAnsi="Times New Roman" w:cs="Times New Roman"/>
          <w:bCs/>
          <w:caps w:val="0"/>
          <w:smallCaps w:val="0"/>
          <w:color w:val="000000"/>
        </w:rPr>
        <w:t>500m</w:t>
      </w:r>
      <w:r>
        <w:rPr>
          <w:rFonts w:hint="eastAsia" w:ascii="Times New Roman" w:hAnsi="Times New Roman" w:cs="Times New Roman"/>
          <w:bCs/>
          <w:caps w:val="0"/>
          <w:smallCaps w:val="0"/>
          <w:color w:val="000000"/>
          <w:vertAlign w:val="superscript"/>
        </w:rPr>
        <w:t>3</w:t>
      </w:r>
      <w:r>
        <w:rPr>
          <w:rFonts w:hint="eastAsia" w:ascii="Times New Roman" w:hAnsi="Times New Roman" w:cs="Times New Roman"/>
          <w:bCs/>
          <w:caps w:val="0"/>
          <w:smallCaps w:val="0"/>
          <w:color w:val="000000"/>
          <w:vertAlign w:val="baseline"/>
          <w:lang w:eastAsia="zh-CN"/>
        </w:rPr>
        <w:t>、</w:t>
      </w:r>
      <w:r>
        <w:rPr>
          <w:rFonts w:hint="eastAsia" w:ascii="Times New Roman" w:hAnsi="Times New Roman" w:cs="Times New Roman"/>
          <w:bCs/>
          <w:caps w:val="0"/>
          <w:smallCaps w:val="0"/>
          <w:color w:val="000000"/>
        </w:rPr>
        <w:t>2个500m</w:t>
      </w:r>
      <w:r>
        <w:rPr>
          <w:rFonts w:hint="eastAsia" w:ascii="Times New Roman" w:hAnsi="Times New Roman" w:cs="Times New Roman"/>
          <w:bCs/>
          <w:caps w:val="0"/>
          <w:smallCaps w:val="0"/>
          <w:color w:val="000000"/>
          <w:vertAlign w:val="superscript"/>
        </w:rPr>
        <w:t>3</w:t>
      </w:r>
      <w:r>
        <w:rPr>
          <w:rFonts w:hint="eastAsia" w:ascii="Times New Roman" w:hAnsi="Times New Roman" w:cs="Times New Roman"/>
          <w:bCs/>
          <w:caps w:val="0"/>
          <w:smallCaps w:val="0"/>
          <w:color w:val="000000"/>
        </w:rPr>
        <w:t>基质沥青储罐</w:t>
      </w:r>
      <w:r>
        <w:rPr>
          <w:rFonts w:hint="eastAsia" w:ascii="Times New Roman" w:hAnsi="Times New Roman" w:cs="Times New Roman"/>
          <w:bCs/>
          <w:caps w:val="0"/>
          <w:smallCaps w:val="0"/>
          <w:color w:val="000000"/>
          <w:sz w:val="24"/>
          <w:szCs w:val="24"/>
        </w:rPr>
        <w:t>。</w:t>
      </w:r>
    </w:p>
    <w:p>
      <w:pPr>
        <w:pStyle w:val="109"/>
        <w:tabs>
          <w:tab w:val="left" w:pos="900"/>
        </w:tabs>
        <w:adjustRightInd w:val="0"/>
        <w:snapToGrid w:val="0"/>
        <w:spacing w:line="360" w:lineRule="auto"/>
        <w:ind w:firstLine="480"/>
        <w:rPr>
          <w:rFonts w:hint="eastAsia" w:ascii="Times New Roman" w:hAnsi="Times New Roman" w:eastAsia="宋体" w:cs="Times New Roman"/>
          <w:caps w:val="0"/>
          <w:smallCaps w:val="0"/>
          <w:color w:val="000000" w:themeColor="text1"/>
          <w14:textFill>
            <w14:solidFill>
              <w14:schemeClr w14:val="tx1"/>
            </w14:solidFill>
          </w14:textFill>
        </w:rPr>
      </w:pPr>
      <w:r>
        <w:rPr>
          <w:rFonts w:hint="eastAsia" w:ascii="Times New Roman" w:hAnsi="Times New Roman" w:eastAsia="宋体" w:cs="Times New Roman"/>
          <w:caps w:val="0"/>
          <w:smallCaps w:val="0"/>
          <w:color w:val="000000" w:themeColor="text1"/>
          <w14:textFill>
            <w14:solidFill>
              <w14:schemeClr w14:val="tx1"/>
            </w14:solidFill>
          </w14:textFill>
        </w:rPr>
        <w:t>现</w:t>
      </w:r>
      <w:r>
        <w:rPr>
          <w:rFonts w:hint="eastAsia" w:ascii="Times New Roman" w:hAnsi="Times New Roman" w:eastAsia="宋体" w:cs="Times New Roman"/>
          <w:caps w:val="0"/>
          <w:smallCaps w:val="0"/>
          <w:color w:val="000000" w:themeColor="text1"/>
          <w:lang w:eastAsia="zh-CN"/>
          <w14:textFill>
            <w14:solidFill>
              <w14:schemeClr w14:val="tx1"/>
            </w14:solidFill>
          </w14:textFill>
        </w:rPr>
        <w:t>锅炉房里设置有</w:t>
      </w:r>
      <w:r>
        <w:rPr>
          <w:rFonts w:hint="eastAsia" w:ascii="Times New Roman" w:hAnsi="Times New Roman" w:eastAsia="宋体" w:cs="Times New Roman"/>
          <w:caps w:val="0"/>
          <w:smallCaps w:val="0"/>
          <w:color w:val="000000" w:themeColor="text1"/>
          <w:lang w:val="en-US" w:eastAsia="zh-CN"/>
          <w14:textFill>
            <w14:solidFill>
              <w14:schemeClr w14:val="tx1"/>
            </w14:solidFill>
          </w14:textFill>
        </w:rPr>
        <w:t>2台</w:t>
      </w:r>
      <w:r>
        <w:rPr>
          <w:rFonts w:hint="eastAsia" w:ascii="Times New Roman" w:hAnsi="Times New Roman" w:eastAsia="宋体" w:cs="Times New Roman"/>
          <w:caps w:val="0"/>
          <w:smallCaps w:val="0"/>
          <w:color w:val="000000" w:themeColor="text1"/>
          <w14:textFill>
            <w14:solidFill>
              <w14:schemeClr w14:val="tx1"/>
            </w14:solidFill>
          </w14:textFill>
        </w:rPr>
        <w:t>4T燃油锅炉（以0#柴油为燃料</w:t>
      </w:r>
      <w:r>
        <w:rPr>
          <w:rFonts w:hint="eastAsia" w:ascii="Times New Roman" w:hAnsi="Times New Roman" w:eastAsia="宋体" w:cs="Times New Roman"/>
          <w:caps w:val="0"/>
          <w:smallCaps w:val="0"/>
          <w:color w:val="000000" w:themeColor="text1"/>
          <w:lang w:eastAsia="zh-CN"/>
          <w14:textFill>
            <w14:solidFill>
              <w14:schemeClr w14:val="tx1"/>
            </w14:solidFill>
          </w14:textFill>
        </w:rPr>
        <w:t>，</w:t>
      </w:r>
      <w:r>
        <w:rPr>
          <w:rFonts w:hint="eastAsia" w:ascii="Times New Roman" w:hAnsi="Times New Roman" w:eastAsia="宋体" w:cs="Times New Roman"/>
          <w:caps w:val="0"/>
          <w:smallCaps w:val="0"/>
          <w:color w:val="000000" w:themeColor="text1"/>
          <w14:textFill>
            <w14:solidFill>
              <w14:schemeClr w14:val="tx1"/>
            </w14:solidFill>
          </w14:textFill>
        </w:rPr>
        <w:t>一用一备）；1个50t0#柴油罐于锅炉房北侧。</w:t>
      </w:r>
    </w:p>
    <w:p>
      <w:pPr>
        <w:ind w:firstLine="0" w:firstLineChars="0"/>
        <w:jc w:val="center"/>
        <w:rPr>
          <w:rFonts w:ascii="Times New Roman" w:hAnsi="Times New Roman" w:cs="Times New Roman"/>
          <w:b/>
          <w:caps w:val="0"/>
          <w:smallCaps w:val="0"/>
          <w:color w:val="000000"/>
          <w:sz w:val="21"/>
          <w:szCs w:val="21"/>
          <w:u w:val="none"/>
        </w:rPr>
      </w:pPr>
      <w:r>
        <w:rPr>
          <w:rFonts w:hint="eastAsia" w:ascii="Times New Roman" w:hAnsi="Times New Roman" w:cs="Times New Roman"/>
          <w:b/>
          <w:caps w:val="0"/>
          <w:smallCaps w:val="0"/>
          <w:u w:val="none"/>
        </w:rPr>
        <w:t>表</w:t>
      </w:r>
      <w:r>
        <w:rPr>
          <w:rFonts w:ascii="Times New Roman" w:hAnsi="Times New Roman" w:cs="Times New Roman"/>
          <w:b/>
          <w:caps w:val="0"/>
          <w:smallCaps w:val="0"/>
          <w:u w:val="none"/>
        </w:rPr>
        <w:t>3.</w:t>
      </w:r>
      <w:r>
        <w:rPr>
          <w:rFonts w:hint="eastAsia" w:cs="Times New Roman"/>
          <w:b/>
          <w:caps w:val="0"/>
          <w:smallCaps w:val="0"/>
          <w:u w:val="none"/>
          <w:lang w:val="en-US" w:eastAsia="zh-CN"/>
        </w:rPr>
        <w:t>3</w:t>
      </w:r>
      <w:r>
        <w:rPr>
          <w:rFonts w:ascii="Times New Roman" w:hAnsi="Times New Roman" w:cs="Times New Roman"/>
          <w:b/>
          <w:caps w:val="0"/>
          <w:smallCaps w:val="0"/>
          <w:u w:val="none"/>
        </w:rPr>
        <w:t>-1</w:t>
      </w:r>
      <w:r>
        <w:rPr>
          <w:rFonts w:hint="eastAsia" w:ascii="Times New Roman" w:hAnsi="Times New Roman" w:cs="Times New Roman"/>
          <w:b/>
          <w:caps w:val="0"/>
          <w:smallCaps w:val="0"/>
          <w:u w:val="none"/>
          <w:lang w:eastAsia="zh-CN"/>
        </w:rPr>
        <w:t>罐区</w:t>
      </w:r>
      <w:r>
        <w:rPr>
          <w:rFonts w:hint="eastAsia" w:ascii="Times New Roman" w:hAnsi="Times New Roman" w:cs="Times New Roman"/>
          <w:b/>
          <w:caps w:val="0"/>
          <w:smallCaps w:val="0"/>
          <w:color w:val="000000"/>
          <w:sz w:val="21"/>
          <w:szCs w:val="21"/>
          <w:u w:val="none"/>
          <w:lang w:eastAsia="zh-CN"/>
        </w:rPr>
        <w:t>现有工程</w:t>
      </w:r>
      <w:r>
        <w:rPr>
          <w:rFonts w:hint="eastAsia" w:ascii="Times New Roman" w:hAnsi="Times New Roman" w:cs="Times New Roman"/>
          <w:b/>
          <w:caps w:val="0"/>
          <w:smallCaps w:val="0"/>
          <w:color w:val="000000"/>
          <w:sz w:val="21"/>
          <w:szCs w:val="21"/>
          <w:u w:val="none"/>
        </w:rPr>
        <w:t>内容一览表</w:t>
      </w:r>
    </w:p>
    <w:tbl>
      <w:tblPr>
        <w:tblStyle w:val="7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796"/>
        <w:gridCol w:w="2000"/>
        <w:gridCol w:w="5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jc w:val="center"/>
        </w:trPr>
        <w:tc>
          <w:tcPr>
            <w:tcW w:w="758"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工程类别</w:t>
            </w:r>
          </w:p>
        </w:tc>
        <w:tc>
          <w:tcPr>
            <w:tcW w:w="279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单项工程名称</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工程内容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主体工程</w:t>
            </w:r>
          </w:p>
        </w:tc>
        <w:tc>
          <w:tcPr>
            <w:tcW w:w="2796" w:type="dxa"/>
            <w:gridSpan w:val="2"/>
            <w:noWrap w:val="0"/>
            <w:vAlign w:val="center"/>
          </w:tcPr>
          <w:p>
            <w:pPr>
              <w:pStyle w:val="117"/>
              <w:bidi w:val="0"/>
              <w:ind w:firstLine="0" w:firstLineChars="0"/>
              <w:rPr>
                <w:rFonts w:hint="default" w:ascii="Times New Roman" w:hAnsi="Times New Roman" w:eastAsia="宋体" w:cs="Times New Roman"/>
                <w:caps w:val="0"/>
                <w:smallCaps w:val="0"/>
                <w:kern w:val="0"/>
                <w:sz w:val="21"/>
                <w:szCs w:val="24"/>
                <w:lang w:val="en-US" w:eastAsia="zh-CN" w:bidi="ar-SA"/>
              </w:rPr>
            </w:pPr>
            <w:r>
              <w:rPr>
                <w:rFonts w:hint="default" w:ascii="Times New Roman" w:hAnsi="Times New Roman" w:cs="Times New Roman"/>
                <w:caps w:val="0"/>
                <w:smallCaps w:val="0"/>
              </w:rPr>
              <w:t>基质沥青</w:t>
            </w:r>
            <w:r>
              <w:rPr>
                <w:rFonts w:hint="default" w:ascii="Times New Roman" w:hAnsi="Times New Roman" w:cs="Times New Roman"/>
                <w:caps w:val="0"/>
                <w:smallCaps w:val="0"/>
                <w:lang w:val="en-US" w:eastAsia="zh-CN"/>
              </w:rPr>
              <w:t>储罐区</w:t>
            </w:r>
          </w:p>
        </w:tc>
        <w:tc>
          <w:tcPr>
            <w:tcW w:w="5233" w:type="dxa"/>
            <w:noWrap w:val="0"/>
            <w:vAlign w:val="center"/>
          </w:tcPr>
          <w:p>
            <w:pPr>
              <w:pStyle w:val="117"/>
              <w:bidi w:val="0"/>
              <w:ind w:firstLine="0" w:firstLineChars="0"/>
              <w:rPr>
                <w:rFonts w:hint="default" w:ascii="Times New Roman" w:hAnsi="Times New Roman" w:eastAsia="宋体" w:cs="Times New Roman"/>
                <w:caps w:val="0"/>
                <w:smallCaps w:val="0"/>
                <w:kern w:val="0"/>
                <w:sz w:val="21"/>
                <w:szCs w:val="24"/>
                <w:lang w:val="en-US" w:eastAsia="zh-CN" w:bidi="ar-SA"/>
              </w:rPr>
            </w:pPr>
            <w:r>
              <w:rPr>
                <w:rFonts w:hint="default" w:ascii="Times New Roman" w:hAnsi="Times New Roman" w:cs="Times New Roman"/>
                <w:caps w:val="0"/>
                <w:smallCaps w:val="0"/>
              </w:rPr>
              <w:t>主要为3</w:t>
            </w:r>
            <w:r>
              <w:rPr>
                <w:rFonts w:hint="default" w:ascii="Times New Roman" w:hAnsi="Times New Roman" w:cs="Times New Roman"/>
                <w:caps w:val="0"/>
                <w:smallCaps w:val="0"/>
                <w:lang w:val="en-US" w:eastAsia="zh-CN"/>
              </w:rPr>
              <w:t>座</w:t>
            </w:r>
            <w:r>
              <w:rPr>
                <w:rFonts w:hint="default" w:ascii="Times New Roman" w:hAnsi="Times New Roman" w:cs="Times New Roman"/>
                <w:caps w:val="0"/>
                <w:smallCaps w:val="0"/>
              </w:rPr>
              <w:t>2500m</w:t>
            </w:r>
            <w:r>
              <w:rPr>
                <w:rFonts w:hint="default" w:ascii="Times New Roman" w:hAnsi="Times New Roman" w:cs="Times New Roman"/>
                <w:caps w:val="0"/>
                <w:smallCaps w:val="0"/>
                <w:vertAlign w:val="superscript"/>
              </w:rPr>
              <w:t>3</w:t>
            </w:r>
            <w:r>
              <w:rPr>
                <w:rFonts w:hint="default" w:ascii="Times New Roman" w:hAnsi="Times New Roman" w:cs="Times New Roman"/>
                <w:caps w:val="0"/>
                <w:smallCaps w:val="0"/>
                <w:lang w:eastAsia="zh-CN"/>
              </w:rPr>
              <w:t>、</w:t>
            </w:r>
            <w:r>
              <w:rPr>
                <w:rFonts w:hint="default" w:ascii="Times New Roman" w:hAnsi="Times New Roman" w:cs="Times New Roman"/>
                <w:caps w:val="0"/>
                <w:smallCaps w:val="0"/>
              </w:rPr>
              <w:t>1</w:t>
            </w:r>
            <w:r>
              <w:rPr>
                <w:rFonts w:hint="default" w:ascii="Times New Roman" w:hAnsi="Times New Roman" w:cs="Times New Roman"/>
                <w:caps w:val="0"/>
                <w:smallCaps w:val="0"/>
                <w:lang w:val="en-US" w:eastAsia="zh-CN"/>
              </w:rPr>
              <w:t>座</w:t>
            </w:r>
            <w:r>
              <w:rPr>
                <w:rFonts w:hint="default" w:ascii="Times New Roman" w:hAnsi="Times New Roman" w:cs="Times New Roman"/>
                <w:caps w:val="0"/>
                <w:smallCaps w:val="0"/>
              </w:rPr>
              <w:t>4900m</w:t>
            </w:r>
            <w:r>
              <w:rPr>
                <w:rFonts w:hint="default" w:ascii="Times New Roman" w:hAnsi="Times New Roman" w:cs="Times New Roman"/>
                <w:caps w:val="0"/>
                <w:smallCaps w:val="0"/>
                <w:vertAlign w:val="superscript"/>
              </w:rPr>
              <w:t>3</w:t>
            </w:r>
            <w:r>
              <w:rPr>
                <w:rFonts w:hint="default" w:ascii="Times New Roman" w:hAnsi="Times New Roman" w:cs="Times New Roman"/>
                <w:caps w:val="0"/>
                <w:smallCaps w:val="0"/>
              </w:rPr>
              <w:t>基质沥青储罐</w:t>
            </w:r>
            <w:r>
              <w:rPr>
                <w:rFonts w:hint="default" w:ascii="Times New Roman" w:hAnsi="Times New Roman" w:cs="Times New Roman"/>
                <w:caps w:val="0"/>
                <w:smallCaps w:val="0"/>
                <w:lang w:eastAsia="zh-CN"/>
              </w:rPr>
              <w:t>、</w:t>
            </w:r>
            <w:r>
              <w:rPr>
                <w:rFonts w:hint="default" w:ascii="Times New Roman" w:hAnsi="Times New Roman" w:cs="Times New Roman"/>
                <w:caps w:val="0"/>
                <w:smallCaps w:val="0"/>
                <w:lang w:val="en-US" w:eastAsia="zh-CN"/>
              </w:rPr>
              <w:t>2座5500m</w:t>
            </w:r>
            <w:r>
              <w:rPr>
                <w:rFonts w:hint="default" w:ascii="Times New Roman" w:hAnsi="Times New Roman" w:cs="Times New Roman"/>
                <w:caps w:val="0"/>
                <w:smallCaps w:val="0"/>
                <w:vertAlign w:val="superscript"/>
                <w:lang w:val="en-US" w:eastAsia="zh-CN"/>
              </w:rPr>
              <w:t>3</w:t>
            </w:r>
            <w:r>
              <w:rPr>
                <w:rFonts w:hint="default" w:ascii="Times New Roman" w:hAnsi="Times New Roman" w:cs="Times New Roman"/>
                <w:caps w:val="0"/>
                <w:smallCaps w:val="0"/>
              </w:rPr>
              <w:t>基质沥青储罐</w:t>
            </w:r>
            <w:r>
              <w:rPr>
                <w:rFonts w:hint="default" w:ascii="Times New Roman" w:hAnsi="Times New Roman" w:cs="Times New Roman"/>
                <w:caps w:val="0"/>
                <w:smallCaps w:val="0"/>
                <w:lang w:eastAsia="zh-CN"/>
              </w:rPr>
              <w:t>、</w:t>
            </w:r>
            <w:r>
              <w:rPr>
                <w:rFonts w:hint="default" w:ascii="Times New Roman" w:hAnsi="Times New Roman" w:cs="Times New Roman"/>
                <w:caps w:val="0"/>
                <w:smallCaps w:val="0"/>
                <w:lang w:val="en-US" w:eastAsia="zh-CN"/>
              </w:rPr>
              <w:t>2座500m</w:t>
            </w:r>
            <w:r>
              <w:rPr>
                <w:rFonts w:hint="default" w:ascii="Times New Roman" w:hAnsi="Times New Roman" w:cs="Times New Roman"/>
                <w:caps w:val="0"/>
                <w:smallCaps w:val="0"/>
                <w:vertAlign w:val="superscript"/>
                <w:lang w:val="en-US" w:eastAsia="zh-CN"/>
              </w:rPr>
              <w:t>3</w:t>
            </w:r>
            <w:r>
              <w:rPr>
                <w:rFonts w:hint="default" w:ascii="Times New Roman" w:hAnsi="Times New Roman" w:cs="Times New Roman"/>
                <w:caps w:val="0"/>
                <w:smallCaps w:val="0"/>
              </w:rPr>
              <w:t>基质沥青储罐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辅助工程</w:t>
            </w:r>
          </w:p>
        </w:tc>
        <w:tc>
          <w:tcPr>
            <w:tcW w:w="279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试验区</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建筑面积50m</w:t>
            </w:r>
            <w:r>
              <w:rPr>
                <w:rFonts w:hint="default" w:ascii="Times New Roman" w:hAnsi="Times New Roman" w:cs="Times New Roman"/>
                <w:caps w:val="0"/>
                <w:smallCaps w:val="0"/>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279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办公生活区</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建筑面积300m</w:t>
            </w:r>
            <w:r>
              <w:rPr>
                <w:rFonts w:hint="default" w:ascii="Times New Roman" w:hAnsi="Times New Roman" w:cs="Times New Roman"/>
                <w:caps w:val="0"/>
                <w:smallCaps w:val="0"/>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279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锅炉</w:t>
            </w:r>
            <w:r>
              <w:rPr>
                <w:rFonts w:hint="default" w:ascii="Times New Roman" w:hAnsi="Times New Roman" w:cs="Times New Roman"/>
                <w:caps w:val="0"/>
                <w:smallCaps w:val="0"/>
                <w:lang w:val="en-US" w:eastAsia="zh-CN"/>
              </w:rPr>
              <w:t>房</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现有</w:t>
            </w:r>
            <w:r>
              <w:rPr>
                <w:rFonts w:hint="eastAsia" w:ascii="Times New Roman" w:hAnsi="Times New Roman" w:cs="Times New Roman"/>
                <w:caps w:val="0"/>
                <w:smallCaps w:val="0"/>
                <w:lang w:val="en-US" w:eastAsia="zh-CN"/>
              </w:rPr>
              <w:t>2台</w:t>
            </w:r>
            <w:r>
              <w:rPr>
                <w:rFonts w:hint="default" w:ascii="Times New Roman" w:hAnsi="Times New Roman" w:cs="Times New Roman"/>
                <w:caps w:val="0"/>
                <w:smallCaps w:val="0"/>
                <w:lang w:eastAsia="zh-CN"/>
              </w:rPr>
              <w:t>4t/h</w:t>
            </w:r>
            <w:r>
              <w:rPr>
                <w:rFonts w:hint="default" w:ascii="Times New Roman" w:hAnsi="Times New Roman" w:cs="Times New Roman"/>
                <w:caps w:val="0"/>
                <w:smallCaps w:val="0"/>
              </w:rPr>
              <w:t>导热油锅炉</w:t>
            </w:r>
            <w:r>
              <w:rPr>
                <w:rFonts w:hint="eastAsia" w:ascii="Times New Roman" w:hAnsi="Times New Roman" w:cs="Times New Roman"/>
                <w:caps w:val="0"/>
                <w:smallCaps w:val="0"/>
                <w:lang w:eastAsia="zh-CN"/>
              </w:rPr>
              <w:t>（燃料为柴油，一用一备）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758"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贮运工程</w:t>
            </w:r>
          </w:p>
        </w:tc>
        <w:tc>
          <w:tcPr>
            <w:tcW w:w="279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柴油储罐</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1</w:t>
            </w:r>
            <w:r>
              <w:rPr>
                <w:rFonts w:hint="default" w:ascii="Times New Roman" w:hAnsi="Times New Roman" w:cs="Times New Roman"/>
                <w:caps w:val="0"/>
                <w:smallCaps w:val="0"/>
                <w:lang w:val="en-US" w:eastAsia="zh-CN"/>
              </w:rPr>
              <w:t>座</w:t>
            </w:r>
            <w:r>
              <w:rPr>
                <w:rFonts w:hint="default" w:ascii="Times New Roman" w:hAnsi="Times New Roman" w:cs="Times New Roman"/>
                <w:caps w:val="0"/>
                <w:smallCaps w:val="0"/>
              </w:rPr>
              <w:t>50</w:t>
            </w:r>
            <w:r>
              <w:rPr>
                <w:rFonts w:hint="default" w:ascii="Times New Roman" w:hAnsi="Times New Roman" w:cs="Times New Roman"/>
                <w:caps w:val="0"/>
                <w:smallCaps w:val="0"/>
                <w:lang w:val="en-US" w:eastAsia="zh-CN"/>
              </w:rPr>
              <w:t>m</w:t>
            </w:r>
            <w:r>
              <w:rPr>
                <w:rFonts w:hint="default" w:ascii="Times New Roman" w:hAnsi="Times New Roman" w:cs="Times New Roman"/>
                <w:caps w:val="0"/>
                <w:smallCaps w:val="0"/>
                <w:vertAlign w:val="superscript"/>
                <w:lang w:val="en-US" w:eastAsia="zh-CN"/>
              </w:rPr>
              <w:t>3</w:t>
            </w:r>
            <w:r>
              <w:rPr>
                <w:rFonts w:hint="default" w:ascii="Times New Roman" w:hAnsi="Times New Roman" w:cs="Times New Roman"/>
                <w:caps w:val="0"/>
                <w:smallCaps w:val="0"/>
              </w:rPr>
              <w:t>柴油储罐，位于锅炉房北侧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2796" w:type="dxa"/>
            <w:gridSpan w:val="2"/>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输送工程</w:t>
            </w:r>
          </w:p>
        </w:tc>
        <w:tc>
          <w:tcPr>
            <w:tcW w:w="5233"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厂内沥青采用泵连接管道输送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公用工程</w:t>
            </w:r>
          </w:p>
        </w:tc>
        <w:tc>
          <w:tcPr>
            <w:tcW w:w="279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供电</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配电间，由当地市政电网供给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279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给水</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给水系统，由当地市政管网供给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环保工程</w:t>
            </w:r>
          </w:p>
        </w:tc>
        <w:tc>
          <w:tcPr>
            <w:tcW w:w="796"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废气治理设施</w:t>
            </w:r>
          </w:p>
        </w:tc>
        <w:tc>
          <w:tcPr>
            <w:tcW w:w="200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储罐大小呼吸废气</w:t>
            </w:r>
            <w:r>
              <w:rPr>
                <w:rFonts w:hint="eastAsia" w:ascii="Times New Roman" w:hAnsi="Times New Roman" w:cs="Times New Roman"/>
                <w:caps w:val="0"/>
                <w:smallCaps w:val="0"/>
                <w:lang w:eastAsia="zh-CN"/>
              </w:rPr>
              <w:t>和装卸废气</w:t>
            </w:r>
            <w:r>
              <w:rPr>
                <w:rFonts w:hint="default" w:ascii="Times New Roman" w:hAnsi="Times New Roman" w:cs="Times New Roman"/>
                <w:caps w:val="0"/>
                <w:smallCaps w:val="0"/>
              </w:rPr>
              <w:t>（主要是苯并芘和沥青烟）</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废气回收装置（密闭管道和集气罩）+过滤箱冷凝（水作为冷凝介质）+高压电捕+UV光解</w:t>
            </w:r>
            <w:r>
              <w:rPr>
                <w:rFonts w:hint="default" w:ascii="Times New Roman" w:hAnsi="Times New Roman" w:cs="Times New Roman"/>
                <w:caps w:val="0"/>
                <w:smallCaps w:val="0"/>
                <w:lang w:val="en-US" w:eastAsia="zh-CN"/>
              </w:rPr>
              <w:t>+</w:t>
            </w:r>
            <w:r>
              <w:rPr>
                <w:rFonts w:hint="default" w:ascii="Times New Roman" w:hAnsi="Times New Roman" w:cs="Times New Roman"/>
                <w:caps w:val="0"/>
                <w:smallCaps w:val="0"/>
              </w:rPr>
              <w:t>活性炭吸附+</w:t>
            </w:r>
            <w:r>
              <w:rPr>
                <w:rFonts w:hint="eastAsia" w:ascii="Times New Roman" w:hAnsi="Times New Roman" w:cs="Times New Roman"/>
                <w:caps w:val="0"/>
                <w:smallCaps w:val="0"/>
                <w:lang w:val="en-US" w:eastAsia="zh-CN"/>
              </w:rPr>
              <w:t>30</w:t>
            </w:r>
            <w:r>
              <w:rPr>
                <w:rFonts w:hint="default" w:ascii="Times New Roman" w:hAnsi="Times New Roman" w:cs="Times New Roman"/>
                <w:caps w:val="0"/>
                <w:smallCaps w:val="0"/>
              </w:rPr>
              <w:t>m高排气筒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6"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796" w:type="dxa"/>
            <w:vMerge w:val="continue"/>
            <w:noWrap w:val="0"/>
            <w:vAlign w:val="center"/>
          </w:tcPr>
          <w:p>
            <w:pPr>
              <w:pStyle w:val="117"/>
              <w:bidi w:val="0"/>
              <w:rPr>
                <w:rFonts w:hint="default" w:ascii="Times New Roman" w:hAnsi="Times New Roman" w:cs="Times New Roman"/>
                <w:caps w:val="0"/>
                <w:smallCaps w:val="0"/>
              </w:rPr>
            </w:pPr>
          </w:p>
        </w:tc>
        <w:tc>
          <w:tcPr>
            <w:tcW w:w="200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锅炉废气</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燃烧废气经水磨脱硫除尘设施处理后从</w:t>
            </w:r>
            <w:r>
              <w:rPr>
                <w:rFonts w:hint="eastAsia" w:ascii="Times New Roman" w:hAnsi="Times New Roman" w:cs="Times New Roman"/>
                <w:caps w:val="0"/>
                <w:smallCaps w:val="0"/>
                <w:lang w:val="en-US" w:eastAsia="zh-CN"/>
              </w:rPr>
              <w:t>35</w:t>
            </w:r>
            <w:r>
              <w:rPr>
                <w:rFonts w:hint="default" w:ascii="Times New Roman" w:hAnsi="Times New Roman" w:cs="Times New Roman"/>
                <w:caps w:val="0"/>
                <w:smallCaps w:val="0"/>
                <w:lang w:eastAsia="zh-CN"/>
              </w:rPr>
              <w:t>m</w:t>
            </w:r>
            <w:r>
              <w:rPr>
                <w:rFonts w:hint="default" w:ascii="Times New Roman" w:hAnsi="Times New Roman" w:cs="Times New Roman"/>
                <w:caps w:val="0"/>
                <w:smallCaps w:val="0"/>
              </w:rPr>
              <w:t>高排气筒达标外排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796"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废水治理设施</w:t>
            </w:r>
          </w:p>
        </w:tc>
        <w:tc>
          <w:tcPr>
            <w:tcW w:w="200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生活废水</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化粪池（容积约2m</w:t>
            </w:r>
            <w:r>
              <w:rPr>
                <w:rFonts w:hint="default" w:ascii="Times New Roman" w:hAnsi="Times New Roman" w:cs="Times New Roman"/>
                <w:caps w:val="0"/>
                <w:smallCaps w:val="0"/>
                <w:vertAlign w:val="superscript"/>
              </w:rPr>
              <w:t>3</w:t>
            </w:r>
            <w:r>
              <w:rPr>
                <w:rFonts w:hint="default" w:ascii="Times New Roman" w:hAnsi="Times New Roman" w:cs="Times New Roman"/>
                <w:caps w:val="0"/>
                <w:smallCaps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796" w:type="dxa"/>
            <w:vMerge w:val="continue"/>
            <w:noWrap w:val="0"/>
            <w:vAlign w:val="center"/>
          </w:tcPr>
          <w:p>
            <w:pPr>
              <w:pStyle w:val="117"/>
              <w:bidi w:val="0"/>
              <w:rPr>
                <w:rFonts w:hint="default" w:ascii="Times New Roman" w:hAnsi="Times New Roman" w:cs="Times New Roman"/>
                <w:caps w:val="0"/>
                <w:smallCaps w:val="0"/>
              </w:rPr>
            </w:pPr>
          </w:p>
        </w:tc>
        <w:tc>
          <w:tcPr>
            <w:tcW w:w="200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初期雨水</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初期雨水收集池（90m</w:t>
            </w:r>
            <w:r>
              <w:rPr>
                <w:rFonts w:hint="default" w:ascii="Times New Roman" w:hAnsi="Times New Roman" w:cs="Times New Roman"/>
                <w:caps w:val="0"/>
                <w:smallCaps w:val="0"/>
                <w:vertAlign w:val="superscript"/>
              </w:rPr>
              <w:t>3</w:t>
            </w:r>
            <w:r>
              <w:rPr>
                <w:rFonts w:hint="default" w:ascii="Times New Roman" w:hAnsi="Times New Roman" w:cs="Times New Roman"/>
                <w:caps w:val="0"/>
                <w:smallCaps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796" w:type="dxa"/>
            <w:vMerge w:val="continue"/>
            <w:noWrap w:val="0"/>
            <w:vAlign w:val="center"/>
          </w:tcPr>
          <w:p>
            <w:pPr>
              <w:pStyle w:val="117"/>
              <w:bidi w:val="0"/>
              <w:rPr>
                <w:rFonts w:hint="default" w:ascii="Times New Roman" w:hAnsi="Times New Roman" w:cs="Times New Roman"/>
                <w:caps w:val="0"/>
                <w:smallCaps w:val="0"/>
              </w:rPr>
            </w:pPr>
          </w:p>
        </w:tc>
        <w:tc>
          <w:tcPr>
            <w:tcW w:w="200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脱硫废水循环池</w:t>
            </w:r>
          </w:p>
        </w:tc>
        <w:tc>
          <w:tcPr>
            <w:tcW w:w="5233" w:type="dxa"/>
            <w:noWrap w:val="0"/>
            <w:vAlign w:val="center"/>
          </w:tcPr>
          <w:p>
            <w:pPr>
              <w:pStyle w:val="117"/>
              <w:bidi w:val="0"/>
              <w:rPr>
                <w:rFonts w:hint="default" w:ascii="Times New Roman" w:hAnsi="Times New Roman" w:cs="Times New Roman"/>
                <w:caps w:val="0"/>
                <w:smallCaps w:val="0"/>
                <w:lang w:eastAsia="zh-CN"/>
              </w:rPr>
            </w:pPr>
            <w:r>
              <w:rPr>
                <w:rFonts w:hint="default" w:ascii="Times New Roman" w:hAnsi="Times New Roman" w:cs="Times New Roman"/>
                <w:caps w:val="0"/>
                <w:smallCaps w:val="0"/>
              </w:rPr>
              <w:t>脱硫废水循环池</w:t>
            </w:r>
            <w:r>
              <w:rPr>
                <w:rFonts w:hint="default" w:ascii="Times New Roman" w:hAnsi="Times New Roman" w:cs="Times New Roman"/>
                <w:caps w:val="0"/>
                <w:smallCaps w:val="0"/>
                <w:lang w:eastAsia="zh-CN"/>
              </w:rPr>
              <w:t>（</w:t>
            </w:r>
            <w:r>
              <w:rPr>
                <w:rFonts w:hint="default" w:ascii="Times New Roman" w:hAnsi="Times New Roman" w:cs="Times New Roman"/>
                <w:caps w:val="0"/>
                <w:smallCaps w:val="0"/>
                <w:lang w:val="en-US" w:eastAsia="zh-CN"/>
              </w:rPr>
              <w:t>1</w:t>
            </w:r>
            <w:r>
              <w:rPr>
                <w:rFonts w:hint="default" w:ascii="Times New Roman" w:hAnsi="Times New Roman" w:cs="Times New Roman"/>
                <w:caps w:val="0"/>
                <w:smallCaps w:val="0"/>
              </w:rPr>
              <w:t>m</w:t>
            </w:r>
            <w:r>
              <w:rPr>
                <w:rFonts w:hint="default" w:ascii="Times New Roman" w:hAnsi="Times New Roman" w:cs="Times New Roman"/>
                <w:caps w:val="0"/>
                <w:smallCaps w:val="0"/>
                <w:vertAlign w:val="superscript"/>
              </w:rPr>
              <w:t>3</w:t>
            </w:r>
            <w:r>
              <w:rPr>
                <w:rFonts w:hint="default" w:ascii="Times New Roman" w:hAnsi="Times New Roman" w:cs="Times New Roman"/>
                <w:caps w:val="0"/>
                <w:smallCaps w:val="0"/>
                <w:lang w:eastAsia="zh-CN"/>
              </w:rPr>
              <w:t>）</w:t>
            </w:r>
            <w:r>
              <w:rPr>
                <w:rFonts w:hint="eastAsia" w:ascii="Times New Roman" w:hAnsi="Times New Roman" w:cs="Times New Roman"/>
                <w:caps w:val="0"/>
                <w:smallCaps w:val="0"/>
                <w:lang w:eastAsia="zh-CN"/>
              </w:rPr>
              <w:t>，循环利用不外排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279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噪声治理设施</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设备减震、隔声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796"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固废治理设施</w:t>
            </w:r>
          </w:p>
        </w:tc>
        <w:tc>
          <w:tcPr>
            <w:tcW w:w="200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废活性炭</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设危险废物暂存间20m</w:t>
            </w:r>
            <w:r>
              <w:rPr>
                <w:rFonts w:hint="default" w:ascii="Times New Roman" w:hAnsi="Times New Roman" w:cs="Times New Roman"/>
                <w:caps w:val="0"/>
                <w:smallCaps w:val="0"/>
                <w:vertAlign w:val="superscript"/>
              </w:rPr>
              <w:t>2</w:t>
            </w:r>
            <w:r>
              <w:rPr>
                <w:rFonts w:hint="default" w:ascii="Times New Roman" w:hAnsi="Times New Roman" w:cs="Times New Roman"/>
                <w:caps w:val="0"/>
                <w:smallCaps w:val="0"/>
              </w:rPr>
              <w:t>，地面已进行防渗处理，定期交由湖南瀚洋环保科技有限公司外运处置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796" w:type="dxa"/>
            <w:vMerge w:val="continue"/>
            <w:noWrap w:val="0"/>
            <w:vAlign w:val="center"/>
          </w:tcPr>
          <w:p>
            <w:pPr>
              <w:pStyle w:val="117"/>
              <w:bidi w:val="0"/>
              <w:rPr>
                <w:rFonts w:hint="default" w:ascii="Times New Roman" w:hAnsi="Times New Roman" w:cs="Times New Roman"/>
                <w:caps w:val="0"/>
                <w:smallCaps w:val="0"/>
              </w:rPr>
            </w:pPr>
          </w:p>
        </w:tc>
        <w:tc>
          <w:tcPr>
            <w:tcW w:w="2000"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废氢氧化钠包装袋</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设危险废物暂存间20m</w:t>
            </w:r>
            <w:r>
              <w:rPr>
                <w:rFonts w:hint="default" w:ascii="Times New Roman" w:hAnsi="Times New Roman" w:cs="Times New Roman"/>
                <w:caps w:val="0"/>
                <w:smallCaps w:val="0"/>
                <w:vertAlign w:val="superscript"/>
              </w:rPr>
              <w:t>2</w:t>
            </w:r>
            <w:r>
              <w:rPr>
                <w:rFonts w:hint="default" w:ascii="Times New Roman" w:hAnsi="Times New Roman" w:cs="Times New Roman"/>
                <w:caps w:val="0"/>
                <w:smallCaps w:val="0"/>
              </w:rPr>
              <w:t>，地面已进行防渗处理，定期交由湖南瀚洋环保科技有限公司外运处置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796" w:type="dxa"/>
            <w:vMerge w:val="continue"/>
            <w:noWrap w:val="0"/>
            <w:vAlign w:val="center"/>
          </w:tcPr>
          <w:p>
            <w:pPr>
              <w:pStyle w:val="117"/>
              <w:bidi w:val="0"/>
              <w:rPr>
                <w:rFonts w:hint="default" w:ascii="Times New Roman" w:hAnsi="Times New Roman" w:cs="Times New Roman"/>
                <w:caps w:val="0"/>
                <w:smallCaps w:val="0"/>
              </w:rPr>
            </w:pPr>
          </w:p>
        </w:tc>
        <w:tc>
          <w:tcPr>
            <w:tcW w:w="200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废导热油</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定期检查、更换后，交由湖南瀚洋环保科技有限公司处理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796" w:type="dxa"/>
            <w:vMerge w:val="continue"/>
            <w:noWrap w:val="0"/>
            <w:vAlign w:val="center"/>
          </w:tcPr>
          <w:p>
            <w:pPr>
              <w:pStyle w:val="117"/>
              <w:bidi w:val="0"/>
              <w:rPr>
                <w:rFonts w:hint="default" w:ascii="Times New Roman" w:hAnsi="Times New Roman" w:cs="Times New Roman"/>
                <w:caps w:val="0"/>
                <w:smallCaps w:val="0"/>
              </w:rPr>
            </w:pPr>
          </w:p>
        </w:tc>
        <w:tc>
          <w:tcPr>
            <w:tcW w:w="200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生活垃圾</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经垃圾桶收集后由当地环卫部门收集清运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758" w:type="dxa"/>
            <w:vMerge w:val="continue"/>
            <w:noWrap w:val="0"/>
            <w:vAlign w:val="center"/>
          </w:tcPr>
          <w:p>
            <w:pPr>
              <w:pStyle w:val="117"/>
              <w:bidi w:val="0"/>
              <w:rPr>
                <w:rFonts w:hint="default" w:ascii="Times New Roman" w:hAnsi="Times New Roman" w:cs="Times New Roman"/>
                <w:caps w:val="0"/>
                <w:smallCaps w:val="0"/>
              </w:rPr>
            </w:pPr>
          </w:p>
        </w:tc>
        <w:tc>
          <w:tcPr>
            <w:tcW w:w="2796" w:type="dxa"/>
            <w:gridSpan w:val="2"/>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绿化</w:t>
            </w:r>
          </w:p>
        </w:tc>
        <w:tc>
          <w:tcPr>
            <w:tcW w:w="523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绿化面积约2460m</w:t>
            </w:r>
            <w:r>
              <w:rPr>
                <w:rFonts w:hint="default" w:ascii="Times New Roman" w:hAnsi="Times New Roman" w:cs="Times New Roman"/>
                <w:caps w:val="0"/>
                <w:smallCaps w:val="0"/>
                <w:vertAlign w:val="superscript"/>
              </w:rPr>
              <w:t>2</w:t>
            </w:r>
          </w:p>
        </w:tc>
      </w:tr>
    </w:tbl>
    <w:p>
      <w:pPr>
        <w:pStyle w:val="6"/>
        <w:bidi w:val="0"/>
      </w:pPr>
      <w:r>
        <w:rPr>
          <w:rFonts w:hint="eastAsia"/>
          <w:lang w:eastAsia="zh-CN"/>
        </w:rPr>
        <w:t>现有罐区装卸工艺流程</w:t>
      </w:r>
    </w:p>
    <w:p/>
    <w:p>
      <w:pPr>
        <w:ind w:firstLine="480"/>
        <w:jc w:val="left"/>
        <w:rPr>
          <w:color w:val="000000"/>
        </w:rPr>
      </w:pPr>
      <w:r>
        <w:rPr>
          <w:b/>
          <w:color w:val="000000"/>
        </w:rPr>
        <mc:AlternateContent>
          <mc:Choice Requires="wpg">
            <w:drawing>
              <wp:anchor distT="0" distB="0" distL="114300" distR="114300" simplePos="0" relativeHeight="251693056" behindDoc="0" locked="0" layoutInCell="1" allowOverlap="1">
                <wp:simplePos x="0" y="0"/>
                <wp:positionH relativeFrom="column">
                  <wp:posOffset>149860</wp:posOffset>
                </wp:positionH>
                <wp:positionV relativeFrom="paragraph">
                  <wp:posOffset>245110</wp:posOffset>
                </wp:positionV>
                <wp:extent cx="5469255" cy="2527935"/>
                <wp:effectExtent l="0" t="0" r="0" b="0"/>
                <wp:wrapNone/>
                <wp:docPr id="215" name="组合 215"/>
                <wp:cNvGraphicFramePr/>
                <a:graphic xmlns:a="http://schemas.openxmlformats.org/drawingml/2006/main">
                  <a:graphicData uri="http://schemas.microsoft.com/office/word/2010/wordprocessingGroup">
                    <wpg:wgp>
                      <wpg:cNvGrpSpPr/>
                      <wpg:grpSpPr>
                        <a:xfrm>
                          <a:off x="0" y="0"/>
                          <a:ext cx="5469255" cy="2527935"/>
                          <a:chOff x="1766" y="3464"/>
                          <a:chExt cx="8613" cy="3981"/>
                        </a:xfrm>
                      </wpg:grpSpPr>
                      <wps:wsp>
                        <wps:cNvPr id="3" name="文本框 3"/>
                        <wps:cNvSpPr txBox="1"/>
                        <wps:spPr>
                          <a:xfrm>
                            <a:off x="1766" y="4429"/>
                            <a:ext cx="1603" cy="434"/>
                          </a:xfrm>
                          <a:prstGeom prst="rect">
                            <a:avLst/>
                          </a:prstGeom>
                          <a:noFill/>
                          <a:ln>
                            <a:noFill/>
                          </a:ln>
                        </wps:spPr>
                        <wps:txbx>
                          <w:txbxContent>
                            <w:p>
                              <w:pPr>
                                <w:spacing w:line="240" w:lineRule="auto"/>
                                <w:ind w:firstLine="360" w:firstLineChars="0"/>
                                <w:jc w:val="left"/>
                                <w:rPr>
                                  <w:sz w:val="21"/>
                                  <w:szCs w:val="21"/>
                                </w:rPr>
                              </w:pPr>
                              <w:r>
                                <w:rPr>
                                  <w:rFonts w:hint="eastAsia"/>
                                  <w:sz w:val="21"/>
                                  <w:szCs w:val="21"/>
                                </w:rPr>
                                <w:t>基质沥青</w:t>
                              </w:r>
                            </w:p>
                          </w:txbxContent>
                        </wps:txbx>
                        <wps:bodyPr upright="1"/>
                      </wps:wsp>
                      <wps:wsp>
                        <wps:cNvPr id="14" name="直接箭头连接符 14"/>
                        <wps:cNvCnPr/>
                        <wps:spPr>
                          <a:xfrm>
                            <a:off x="3138" y="4660"/>
                            <a:ext cx="1440" cy="13"/>
                          </a:xfrm>
                          <a:prstGeom prst="straightConnector1">
                            <a:avLst/>
                          </a:prstGeom>
                          <a:ln w="9525" cap="flat" cmpd="sng">
                            <a:solidFill>
                              <a:srgbClr val="000000"/>
                            </a:solidFill>
                            <a:prstDash val="solid"/>
                            <a:headEnd type="none" w="med" len="med"/>
                            <a:tailEnd type="triangle" w="med" len="med"/>
                          </a:ln>
                        </wps:spPr>
                        <wps:bodyPr/>
                      </wps:wsp>
                      <wps:wsp>
                        <wps:cNvPr id="190" name="文本框 190"/>
                        <wps:cNvSpPr txBox="1"/>
                        <wps:spPr>
                          <a:xfrm>
                            <a:off x="2635" y="4103"/>
                            <a:ext cx="2079" cy="489"/>
                          </a:xfrm>
                          <a:prstGeom prst="rect">
                            <a:avLst/>
                          </a:prstGeom>
                          <a:noFill/>
                          <a:ln>
                            <a:noFill/>
                          </a:ln>
                        </wps:spPr>
                        <wps:txbx>
                          <w:txbxContent>
                            <w:p>
                              <w:pPr>
                                <w:spacing w:line="240" w:lineRule="auto"/>
                                <w:ind w:firstLine="420" w:firstLineChars="0"/>
                                <w:jc w:val="left"/>
                                <w:rPr>
                                  <w:sz w:val="21"/>
                                  <w:szCs w:val="21"/>
                                </w:rPr>
                              </w:pPr>
                              <w:r>
                                <w:rPr>
                                  <w:rFonts w:hint="eastAsia"/>
                                  <w:sz w:val="21"/>
                                  <w:szCs w:val="21"/>
                                </w:rPr>
                                <w:t>运输车辆、泵</w:t>
                              </w:r>
                            </w:p>
                          </w:txbxContent>
                        </wps:txbx>
                        <wps:bodyPr upright="1"/>
                      </wps:wsp>
                      <wps:wsp>
                        <wps:cNvPr id="191" name="文本框 191"/>
                        <wps:cNvSpPr txBox="1"/>
                        <wps:spPr>
                          <a:xfrm>
                            <a:off x="4578" y="4429"/>
                            <a:ext cx="1984" cy="516"/>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480"/>
                                <w:jc w:val="left"/>
                                <w:rPr>
                                  <w:sz w:val="21"/>
                                  <w:szCs w:val="21"/>
                                </w:rPr>
                              </w:pPr>
                              <w:r>
                                <w:rPr>
                                  <w:rFonts w:hint="eastAsia"/>
                                </w:rPr>
                                <w:t>储罐</w:t>
                              </w:r>
                            </w:p>
                          </w:txbxContent>
                        </wps:txbx>
                        <wps:bodyPr upright="1"/>
                      </wps:wsp>
                      <wps:wsp>
                        <wps:cNvPr id="197" name="直接箭头连接符 197"/>
                        <wps:cNvCnPr/>
                        <wps:spPr>
                          <a:xfrm>
                            <a:off x="6562" y="4673"/>
                            <a:ext cx="1888" cy="0"/>
                          </a:xfrm>
                          <a:prstGeom prst="straightConnector1">
                            <a:avLst/>
                          </a:prstGeom>
                          <a:ln w="9525" cap="flat" cmpd="sng">
                            <a:solidFill>
                              <a:srgbClr val="000000"/>
                            </a:solidFill>
                            <a:prstDash val="solid"/>
                            <a:headEnd type="none" w="med" len="med"/>
                            <a:tailEnd type="triangle" w="med" len="med"/>
                          </a:ln>
                        </wps:spPr>
                        <wps:bodyPr/>
                      </wps:wsp>
                      <wps:wsp>
                        <wps:cNvPr id="199" name="文本框 199"/>
                        <wps:cNvSpPr txBox="1"/>
                        <wps:spPr>
                          <a:xfrm>
                            <a:off x="8450" y="4429"/>
                            <a:ext cx="1929" cy="869"/>
                          </a:xfrm>
                          <a:prstGeom prst="rect">
                            <a:avLst/>
                          </a:prstGeom>
                          <a:noFill/>
                          <a:ln>
                            <a:noFill/>
                          </a:ln>
                        </wps:spPr>
                        <wps:txbx>
                          <w:txbxContent>
                            <w:p>
                              <w:pPr>
                                <w:spacing w:line="240" w:lineRule="auto"/>
                                <w:ind w:firstLine="0" w:firstLineChars="0"/>
                                <w:jc w:val="left"/>
                                <w:rPr>
                                  <w:sz w:val="21"/>
                                  <w:szCs w:val="21"/>
                                </w:rPr>
                              </w:pPr>
                              <w:r>
                                <w:rPr>
                                  <w:rFonts w:hint="eastAsia"/>
                                  <w:sz w:val="21"/>
                                  <w:szCs w:val="21"/>
                                </w:rPr>
                                <w:t>装车栈台罐车或汽车发货</w:t>
                              </w:r>
                            </w:p>
                          </w:txbxContent>
                        </wps:txbx>
                        <wps:bodyPr upright="1"/>
                      </wps:wsp>
                      <wps:wsp>
                        <wps:cNvPr id="200" name="文本框 200"/>
                        <wps:cNvSpPr txBox="1"/>
                        <wps:spPr>
                          <a:xfrm>
                            <a:off x="6670" y="4103"/>
                            <a:ext cx="1535" cy="394"/>
                          </a:xfrm>
                          <a:prstGeom prst="rect">
                            <a:avLst/>
                          </a:prstGeom>
                          <a:noFill/>
                          <a:ln>
                            <a:noFill/>
                          </a:ln>
                        </wps:spPr>
                        <wps:txbx>
                          <w:txbxContent>
                            <w:p>
                              <w:pPr>
                                <w:spacing w:line="240" w:lineRule="auto"/>
                                <w:ind w:firstLine="0" w:firstLineChars="0"/>
                                <w:jc w:val="left"/>
                                <w:rPr>
                                  <w:sz w:val="21"/>
                                  <w:szCs w:val="21"/>
                                </w:rPr>
                              </w:pPr>
                              <w:r>
                                <w:rPr>
                                  <w:rFonts w:hint="eastAsia"/>
                                  <w:sz w:val="21"/>
                                  <w:szCs w:val="21"/>
                                </w:rPr>
                                <w:t>计量、装车泵</w:t>
                              </w:r>
                            </w:p>
                          </w:txbxContent>
                        </wps:txbx>
                        <wps:bodyPr upright="1"/>
                      </wps:wsp>
                      <wps:wsp>
                        <wps:cNvPr id="201" name="直接箭头连接符 201"/>
                        <wps:cNvCnPr/>
                        <wps:spPr>
                          <a:xfrm flipV="1">
                            <a:off x="5488" y="3899"/>
                            <a:ext cx="0" cy="530"/>
                          </a:xfrm>
                          <a:prstGeom prst="straightConnector1">
                            <a:avLst/>
                          </a:prstGeom>
                          <a:ln w="9525" cap="flat" cmpd="sng">
                            <a:solidFill>
                              <a:srgbClr val="000000"/>
                            </a:solidFill>
                            <a:prstDash val="dash"/>
                            <a:headEnd type="none" w="med" len="med"/>
                            <a:tailEnd type="triangle" w="med" len="med"/>
                          </a:ln>
                        </wps:spPr>
                        <wps:bodyPr/>
                      </wps:wsp>
                      <wps:wsp>
                        <wps:cNvPr id="202" name="文本框 202"/>
                        <wps:cNvSpPr txBox="1"/>
                        <wps:spPr>
                          <a:xfrm>
                            <a:off x="4578" y="3464"/>
                            <a:ext cx="1902" cy="435"/>
                          </a:xfrm>
                          <a:prstGeom prst="rect">
                            <a:avLst/>
                          </a:prstGeom>
                          <a:noFill/>
                          <a:ln>
                            <a:noFill/>
                          </a:ln>
                        </wps:spPr>
                        <wps:txbx>
                          <w:txbxContent>
                            <w:p>
                              <w:pPr>
                                <w:spacing w:line="240" w:lineRule="auto"/>
                                <w:ind w:firstLine="0" w:firstLineChars="0"/>
                                <w:jc w:val="center"/>
                                <w:rPr>
                                  <w:sz w:val="21"/>
                                  <w:szCs w:val="21"/>
                                </w:rPr>
                              </w:pPr>
                              <w:r>
                                <w:rPr>
                                  <w:rFonts w:hint="eastAsia"/>
                                  <w:sz w:val="21"/>
                                  <w:szCs w:val="21"/>
                                </w:rPr>
                                <w:t>非甲烷总烃</w:t>
                              </w:r>
                            </w:p>
                          </w:txbxContent>
                        </wps:txbx>
                        <wps:bodyPr upright="1"/>
                      </wps:wsp>
                      <wps:wsp>
                        <wps:cNvPr id="203" name="直接箭头连接符 203"/>
                        <wps:cNvCnPr/>
                        <wps:spPr>
                          <a:xfrm>
                            <a:off x="4211" y="4673"/>
                            <a:ext cx="0" cy="625"/>
                          </a:xfrm>
                          <a:prstGeom prst="straightConnector1">
                            <a:avLst/>
                          </a:prstGeom>
                          <a:ln w="9525" cap="flat" cmpd="sng">
                            <a:solidFill>
                              <a:srgbClr val="000000"/>
                            </a:solidFill>
                            <a:prstDash val="dash"/>
                            <a:headEnd type="none" w="med" len="med"/>
                            <a:tailEnd type="triangle" w="med" len="med"/>
                          </a:ln>
                        </wps:spPr>
                        <wps:bodyPr/>
                      </wps:wsp>
                      <wps:wsp>
                        <wps:cNvPr id="204" name="文本框 204"/>
                        <wps:cNvSpPr txBox="1"/>
                        <wps:spPr>
                          <a:xfrm>
                            <a:off x="3736" y="5393"/>
                            <a:ext cx="978" cy="435"/>
                          </a:xfrm>
                          <a:prstGeom prst="rect">
                            <a:avLst/>
                          </a:prstGeom>
                          <a:noFill/>
                          <a:ln>
                            <a:noFill/>
                          </a:ln>
                        </wps:spPr>
                        <wps:txbx>
                          <w:txbxContent>
                            <w:p>
                              <w:pPr>
                                <w:spacing w:line="240" w:lineRule="auto"/>
                                <w:ind w:firstLine="0" w:firstLineChars="0"/>
                                <w:jc w:val="left"/>
                                <w:rPr>
                                  <w:sz w:val="21"/>
                                  <w:szCs w:val="21"/>
                                </w:rPr>
                              </w:pPr>
                              <w:r>
                                <w:rPr>
                                  <w:rFonts w:hint="eastAsia"/>
                                  <w:sz w:val="21"/>
                                  <w:szCs w:val="21"/>
                                </w:rPr>
                                <w:t xml:space="preserve"> 噪声</w:t>
                              </w:r>
                            </w:p>
                          </w:txbxContent>
                        </wps:txbx>
                        <wps:bodyPr upright="1"/>
                      </wps:wsp>
                      <wps:wsp>
                        <wps:cNvPr id="205" name="文本框 205"/>
                        <wps:cNvSpPr txBox="1"/>
                        <wps:spPr>
                          <a:xfrm>
                            <a:off x="2771" y="4945"/>
                            <a:ext cx="1277" cy="448"/>
                          </a:xfrm>
                          <a:prstGeom prst="rect">
                            <a:avLst/>
                          </a:prstGeom>
                          <a:noFill/>
                          <a:ln>
                            <a:noFill/>
                          </a:ln>
                        </wps:spPr>
                        <wps:txbx>
                          <w:txbxContent>
                            <w:p>
                              <w:pPr>
                                <w:spacing w:line="240" w:lineRule="auto"/>
                                <w:ind w:firstLine="0" w:firstLineChars="0"/>
                                <w:jc w:val="left"/>
                                <w:rPr>
                                  <w:sz w:val="21"/>
                                  <w:szCs w:val="21"/>
                                </w:rPr>
                              </w:pPr>
                              <w:r>
                                <w:rPr>
                                  <w:rFonts w:hint="eastAsia"/>
                                  <w:sz w:val="21"/>
                                  <w:szCs w:val="21"/>
                                </w:rPr>
                                <w:t>卸油管道</w:t>
                              </w:r>
                            </w:p>
                          </w:txbxContent>
                        </wps:txbx>
                        <wps:bodyPr upright="1"/>
                      </wps:wsp>
                      <wps:wsp>
                        <wps:cNvPr id="206" name="文本框 206"/>
                        <wps:cNvSpPr txBox="1"/>
                        <wps:spPr>
                          <a:xfrm>
                            <a:off x="4578" y="6249"/>
                            <a:ext cx="2092" cy="503"/>
                          </a:xfrm>
                          <a:prstGeom prst="rect">
                            <a:avLst/>
                          </a:prstGeom>
                          <a:noFill/>
                          <a:ln w="9525" cap="flat" cmpd="sng">
                            <a:solidFill>
                              <a:srgbClr val="000000"/>
                            </a:solidFill>
                            <a:prstDash val="solid"/>
                            <a:miter/>
                            <a:headEnd type="none" w="med" len="med"/>
                            <a:tailEnd type="none" w="med" len="med"/>
                          </a:ln>
                        </wps:spPr>
                        <wps:txbx>
                          <w:txbxContent>
                            <w:p>
                              <w:pPr>
                                <w:spacing w:line="240" w:lineRule="auto"/>
                                <w:ind w:firstLine="420"/>
                                <w:jc w:val="left"/>
                                <w:rPr>
                                  <w:sz w:val="21"/>
                                  <w:szCs w:val="21"/>
                                </w:rPr>
                              </w:pPr>
                              <w:r>
                                <w:rPr>
                                  <w:rFonts w:hint="eastAsia"/>
                                  <w:sz w:val="21"/>
                                  <w:szCs w:val="21"/>
                                </w:rPr>
                                <w:t>导热油炉房</w:t>
                              </w:r>
                            </w:p>
                          </w:txbxContent>
                        </wps:txbx>
                        <wps:bodyPr upright="1"/>
                      </wps:wsp>
                      <wps:wsp>
                        <wps:cNvPr id="207" name="直接箭头连接符 207"/>
                        <wps:cNvCnPr/>
                        <wps:spPr>
                          <a:xfrm flipH="1" flipV="1">
                            <a:off x="5570" y="4945"/>
                            <a:ext cx="27" cy="1304"/>
                          </a:xfrm>
                          <a:prstGeom prst="straightConnector1">
                            <a:avLst/>
                          </a:prstGeom>
                          <a:ln w="9525" cap="flat" cmpd="sng">
                            <a:solidFill>
                              <a:srgbClr val="000000"/>
                            </a:solidFill>
                            <a:prstDash val="dash"/>
                            <a:headEnd type="none" w="med" len="med"/>
                            <a:tailEnd type="triangle" w="med" len="med"/>
                          </a:ln>
                        </wps:spPr>
                        <wps:bodyPr/>
                      </wps:wsp>
                      <wps:wsp>
                        <wps:cNvPr id="208" name="文本框 208"/>
                        <wps:cNvSpPr txBox="1"/>
                        <wps:spPr>
                          <a:xfrm>
                            <a:off x="6018" y="5461"/>
                            <a:ext cx="937" cy="435"/>
                          </a:xfrm>
                          <a:prstGeom prst="rect">
                            <a:avLst/>
                          </a:prstGeom>
                          <a:noFill/>
                          <a:ln>
                            <a:noFill/>
                          </a:ln>
                        </wps:spPr>
                        <wps:txbx>
                          <w:txbxContent>
                            <w:p>
                              <w:pPr>
                                <w:spacing w:line="240" w:lineRule="auto"/>
                                <w:ind w:firstLine="0" w:firstLineChars="0"/>
                                <w:rPr>
                                  <w:sz w:val="21"/>
                                  <w:szCs w:val="21"/>
                                </w:rPr>
                              </w:pPr>
                              <w:r>
                                <w:rPr>
                                  <w:rFonts w:hint="eastAsia"/>
                                  <w:sz w:val="21"/>
                                  <w:szCs w:val="21"/>
                                </w:rPr>
                                <w:t>废气</w:t>
                              </w:r>
                            </w:p>
                          </w:txbxContent>
                        </wps:txbx>
                        <wps:bodyPr upright="1"/>
                      </wps:wsp>
                      <wps:wsp>
                        <wps:cNvPr id="209" name="直接箭头连接符 209"/>
                        <wps:cNvCnPr/>
                        <wps:spPr>
                          <a:xfrm>
                            <a:off x="6317" y="4945"/>
                            <a:ext cx="14" cy="611"/>
                          </a:xfrm>
                          <a:prstGeom prst="straightConnector1">
                            <a:avLst/>
                          </a:prstGeom>
                          <a:ln w="9525" cap="flat" cmpd="sng">
                            <a:solidFill>
                              <a:srgbClr val="000000"/>
                            </a:solidFill>
                            <a:prstDash val="dash"/>
                            <a:headEnd type="none" w="med" len="med"/>
                            <a:tailEnd type="triangle" w="med" len="med"/>
                          </a:ln>
                        </wps:spPr>
                        <wps:bodyPr/>
                      </wps:wsp>
                      <wps:wsp>
                        <wps:cNvPr id="210" name="直接箭头连接符 210"/>
                        <wps:cNvCnPr/>
                        <wps:spPr>
                          <a:xfrm flipV="1">
                            <a:off x="6331" y="5828"/>
                            <a:ext cx="0" cy="421"/>
                          </a:xfrm>
                          <a:prstGeom prst="straightConnector1">
                            <a:avLst/>
                          </a:prstGeom>
                          <a:ln w="9525" cap="flat" cmpd="sng">
                            <a:solidFill>
                              <a:srgbClr val="000000"/>
                            </a:solidFill>
                            <a:prstDash val="dash"/>
                            <a:headEnd type="none" w="med" len="med"/>
                            <a:tailEnd type="triangle" w="med" len="med"/>
                          </a:ln>
                        </wps:spPr>
                        <wps:bodyPr/>
                      </wps:wsp>
                      <wps:wsp>
                        <wps:cNvPr id="211" name="直接箭头连接符 211"/>
                        <wps:cNvCnPr/>
                        <wps:spPr>
                          <a:xfrm>
                            <a:off x="5597" y="6752"/>
                            <a:ext cx="0" cy="434"/>
                          </a:xfrm>
                          <a:prstGeom prst="straightConnector1">
                            <a:avLst/>
                          </a:prstGeom>
                          <a:ln w="9525" cap="flat" cmpd="sng">
                            <a:solidFill>
                              <a:srgbClr val="000000"/>
                            </a:solidFill>
                            <a:prstDash val="dash"/>
                            <a:headEnd type="none" w="med" len="med"/>
                            <a:tailEnd type="triangle" w="med" len="med"/>
                          </a:ln>
                        </wps:spPr>
                        <wps:bodyPr/>
                      </wps:wsp>
                      <wps:wsp>
                        <wps:cNvPr id="212" name="文本框 212"/>
                        <wps:cNvSpPr txBox="1"/>
                        <wps:spPr>
                          <a:xfrm>
                            <a:off x="5787" y="7051"/>
                            <a:ext cx="883" cy="394"/>
                          </a:xfrm>
                          <a:prstGeom prst="rect">
                            <a:avLst/>
                          </a:prstGeom>
                          <a:noFill/>
                          <a:ln>
                            <a:noFill/>
                          </a:ln>
                        </wps:spPr>
                        <wps:txbx>
                          <w:txbxContent>
                            <w:p>
                              <w:pPr>
                                <w:spacing w:line="240" w:lineRule="auto"/>
                                <w:ind w:firstLine="0" w:firstLineChars="0"/>
                                <w:jc w:val="left"/>
                                <w:rPr>
                                  <w:sz w:val="21"/>
                                  <w:szCs w:val="21"/>
                                </w:rPr>
                              </w:pPr>
                              <w:r>
                                <w:rPr>
                                  <w:rFonts w:hint="eastAsia"/>
                                  <w:sz w:val="21"/>
                                  <w:szCs w:val="21"/>
                                </w:rPr>
                                <w:t>噪声</w:t>
                              </w:r>
                            </w:p>
                          </w:txbxContent>
                        </wps:txbx>
                        <wps:bodyPr upright="1"/>
                      </wps:wsp>
                      <wps:wsp>
                        <wps:cNvPr id="213" name="直接箭头连接符 213"/>
                        <wps:cNvCnPr/>
                        <wps:spPr>
                          <a:xfrm>
                            <a:off x="7186" y="4673"/>
                            <a:ext cx="14" cy="965"/>
                          </a:xfrm>
                          <a:prstGeom prst="straightConnector1">
                            <a:avLst/>
                          </a:prstGeom>
                          <a:ln w="9525" cap="flat" cmpd="sng">
                            <a:solidFill>
                              <a:srgbClr val="000000"/>
                            </a:solidFill>
                            <a:prstDash val="dash"/>
                            <a:headEnd type="none" w="med" len="med"/>
                            <a:tailEnd type="triangle" w="med" len="med"/>
                          </a:ln>
                        </wps:spPr>
                        <wps:bodyPr/>
                      </wps:wsp>
                      <wps:wsp>
                        <wps:cNvPr id="214" name="文本框 214"/>
                        <wps:cNvSpPr txBox="1"/>
                        <wps:spPr>
                          <a:xfrm>
                            <a:off x="7417" y="5638"/>
                            <a:ext cx="788" cy="407"/>
                          </a:xfrm>
                          <a:prstGeom prst="rect">
                            <a:avLst/>
                          </a:prstGeom>
                          <a:noFill/>
                          <a:ln>
                            <a:noFill/>
                          </a:ln>
                        </wps:spPr>
                        <wps:txbx>
                          <w:txbxContent>
                            <w:p>
                              <w:pPr>
                                <w:spacing w:line="240" w:lineRule="auto"/>
                                <w:ind w:firstLine="0" w:firstLineChars="0"/>
                                <w:jc w:val="left"/>
                                <w:rPr>
                                  <w:sz w:val="21"/>
                                  <w:szCs w:val="21"/>
                                </w:rPr>
                              </w:pPr>
                              <w:r>
                                <w:rPr>
                                  <w:rFonts w:hint="eastAsia"/>
                                  <w:sz w:val="21"/>
                                  <w:szCs w:val="21"/>
                                </w:rPr>
                                <w:t>噪声</w:t>
                              </w:r>
                            </w:p>
                          </w:txbxContent>
                        </wps:txbx>
                        <wps:bodyPr upright="1"/>
                      </wps:wsp>
                    </wpg:wgp>
                  </a:graphicData>
                </a:graphic>
              </wp:anchor>
            </w:drawing>
          </mc:Choice>
          <mc:Fallback>
            <w:pict>
              <v:group id="_x0000_s1026" o:spid="_x0000_s1026" o:spt="203" style="position:absolute;left:0pt;margin-left:11.8pt;margin-top:19.3pt;height:199.05pt;width:430.65pt;z-index:251693056;mso-width-relative:page;mso-height-relative:page;" coordorigin="1766,3464" coordsize="8613,3981" o:gfxdata="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">
                <o:lock v:ext="edit" aspectratio="f"/>
                <v:shape id="_x0000_s1026" o:spid="_x0000_s1026" o:spt="202" type="#_x0000_t202" style="position:absolute;left:1766;top:4429;height:434;width:1603;" filled="f" stroked="f" coordsize="21600,21600" o:gfxdata="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c9MLgugAAANoA&#10;AAAPAAAAAAAAAAEAIAAAACIAAABkcnMvZG93bnJldi54bWxQSwECFAAUAAAACACHTuJAMy8FnjsA&#10;AAA5AAAAEAAAAAAAAAABACAAAAAJAQAAZHJzL3NoYXBleG1sLnhtbFBLBQYAAAAABgAGAFsBAACz&#10;AwAAAAA=&#10;">
                  <v:fill on="f" focussize="0,0"/>
                  <v:stroke on="f"/>
                  <v:imagedata o:title=""/>
                  <o:lock v:ext="edit" aspectratio="f"/>
                  <v:textbox>
                    <w:txbxContent>
                      <w:p>
                        <w:pPr>
                          <w:spacing w:line="240" w:lineRule="auto"/>
                          <w:ind w:firstLine="360" w:firstLineChars="0"/>
                          <w:jc w:val="left"/>
                          <w:rPr>
                            <w:sz w:val="21"/>
                            <w:szCs w:val="21"/>
                          </w:rPr>
                        </w:pPr>
                        <w:r>
                          <w:rPr>
                            <w:rFonts w:hint="eastAsia"/>
                            <w:sz w:val="21"/>
                            <w:szCs w:val="21"/>
                          </w:rPr>
                          <w:t>基质沥青</w:t>
                        </w:r>
                      </w:p>
                    </w:txbxContent>
                  </v:textbox>
                </v:shape>
                <v:shape id="_x0000_s1026" o:spid="_x0000_s1026" o:spt="32" type="#_x0000_t32" style="position:absolute;left:3138;top:4660;height:13;width:1440;" filled="f" stroked="t" coordsize="21600,21600" o:gfxdata="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Lfv+bsAAADb&#10;AAAADwAAAAAAAAABACAAAAAiAAAAZHJzL2Rvd25yZXYueG1sUEsBAhQAFAAAAAgAh07iQDMvBZ47&#10;AAAAOQAAABAAAAAAAAAAAQAgAAAACgEAAGRycy9zaGFwZXhtbC54bWxQSwUGAAAAAAYABgBbAQAA&#10;tAMAAAAA&#10;">
                  <v:fill on="f" focussize="0,0"/>
                  <v:stroke color="#000000" joinstyle="round" endarrow="block"/>
                  <v:imagedata o:title=""/>
                  <o:lock v:ext="edit" aspectratio="f"/>
                </v:shape>
                <v:shape id="_x0000_s1026" o:spid="_x0000_s1026" o:spt="202" type="#_x0000_t202" style="position:absolute;left:2635;top:4103;height:489;width:2079;" filled="f" stroked="f" coordsize="21600,21600" o:gfxdata="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gSN6r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spacing w:line="240" w:lineRule="auto"/>
                          <w:ind w:firstLine="420" w:firstLineChars="0"/>
                          <w:jc w:val="left"/>
                          <w:rPr>
                            <w:sz w:val="21"/>
                            <w:szCs w:val="21"/>
                          </w:rPr>
                        </w:pPr>
                        <w:r>
                          <w:rPr>
                            <w:rFonts w:hint="eastAsia"/>
                            <w:sz w:val="21"/>
                            <w:szCs w:val="21"/>
                          </w:rPr>
                          <w:t>运输车辆、泵</w:t>
                        </w:r>
                      </w:p>
                    </w:txbxContent>
                  </v:textbox>
                </v:shape>
                <v:shape id="_x0000_s1026" o:spid="_x0000_s1026" o:spt="202" type="#_x0000_t202" style="position:absolute;left:4578;top:4429;height:516;width:1984;" fillcolor="#FFFFFF" filled="t" stroked="t" coordsize="21600,21600" o:gfxdata="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jIC7e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pPr>
                          <w:spacing w:line="240" w:lineRule="auto"/>
                          <w:ind w:firstLine="480"/>
                          <w:jc w:val="left"/>
                          <w:rPr>
                            <w:sz w:val="21"/>
                            <w:szCs w:val="21"/>
                          </w:rPr>
                        </w:pPr>
                        <w:r>
                          <w:rPr>
                            <w:rFonts w:hint="eastAsia"/>
                          </w:rPr>
                          <w:t>储罐</w:t>
                        </w:r>
                      </w:p>
                    </w:txbxContent>
                  </v:textbox>
                </v:shape>
                <v:shape id="_x0000_s1026" o:spid="_x0000_s1026" o:spt="32" type="#_x0000_t32" style="position:absolute;left:6562;top:4673;height:0;width:1888;" filled="f" stroked="t" coordsize="21600,21600" o:gfxdata="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2fxP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202" type="#_x0000_t202" style="position:absolute;left:8450;top:4429;height:869;width:1929;" filled="f" stroked="f" coordsize="21600,21600" o:gfxdata="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z4kd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spacing w:line="240" w:lineRule="auto"/>
                          <w:ind w:firstLine="0" w:firstLineChars="0"/>
                          <w:jc w:val="left"/>
                          <w:rPr>
                            <w:sz w:val="21"/>
                            <w:szCs w:val="21"/>
                          </w:rPr>
                        </w:pPr>
                        <w:r>
                          <w:rPr>
                            <w:rFonts w:hint="eastAsia"/>
                            <w:sz w:val="21"/>
                            <w:szCs w:val="21"/>
                          </w:rPr>
                          <w:t>装车栈台罐车或汽车发货</w:t>
                        </w:r>
                      </w:p>
                    </w:txbxContent>
                  </v:textbox>
                </v:shape>
                <v:shape id="_x0000_s1026" o:spid="_x0000_s1026" o:spt="202" type="#_x0000_t202" style="position:absolute;left:6670;top:4103;height:394;width:1535;" filled="f" stroked="f" coordsize="21600,21600" o:gfxdata="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St5Eb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spacing w:line="240" w:lineRule="auto"/>
                          <w:ind w:firstLine="0" w:firstLineChars="0"/>
                          <w:jc w:val="left"/>
                          <w:rPr>
                            <w:sz w:val="21"/>
                            <w:szCs w:val="21"/>
                          </w:rPr>
                        </w:pPr>
                        <w:r>
                          <w:rPr>
                            <w:rFonts w:hint="eastAsia"/>
                            <w:sz w:val="21"/>
                            <w:szCs w:val="21"/>
                          </w:rPr>
                          <w:t>计量、装车泵</w:t>
                        </w:r>
                      </w:p>
                    </w:txbxContent>
                  </v:textbox>
                </v:shape>
                <v:shape id="_x0000_s1026" o:spid="_x0000_s1026" o:spt="32" type="#_x0000_t32" style="position:absolute;left:5488;top:3899;flip:y;height:530;width:0;" filled="f" stroked="t" coordsize="21600,21600" o:gfxdata="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Qf8iLsAAADc&#10;AAAADwAAAAAAAAABACAAAAAiAAAAZHJzL2Rvd25yZXYueG1sUEsBAhQAFAAAAAgAh07iQDMvBZ47&#10;AAAAOQAAABAAAAAAAAAAAQAgAAAACgEAAGRycy9zaGFwZXhtbC54bWxQSwUGAAAAAAYABgBbAQAA&#10;tAMAAAAA&#10;">
                  <v:fill on="f" focussize="0,0"/>
                  <v:stroke color="#000000" joinstyle="round" dashstyle="dash" endarrow="block"/>
                  <v:imagedata o:title=""/>
                  <o:lock v:ext="edit" aspectratio="f"/>
                </v:shape>
                <v:shape id="_x0000_s1026" o:spid="_x0000_s1026" o:spt="202" type="#_x0000_t202" style="position:absolute;left:4578;top:3464;height:435;width:1902;" filled="f" stroked="f" coordsize="21600,21600" o:gfxdata="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tUL9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240" w:lineRule="auto"/>
                          <w:ind w:firstLine="0" w:firstLineChars="0"/>
                          <w:jc w:val="center"/>
                          <w:rPr>
                            <w:sz w:val="21"/>
                            <w:szCs w:val="21"/>
                          </w:rPr>
                        </w:pPr>
                        <w:r>
                          <w:rPr>
                            <w:rFonts w:hint="eastAsia"/>
                            <w:sz w:val="21"/>
                            <w:szCs w:val="21"/>
                          </w:rPr>
                          <w:t>非甲烷总烃</w:t>
                        </w:r>
                      </w:p>
                    </w:txbxContent>
                  </v:textbox>
                </v:shape>
                <v:shape id="_x0000_s1026" o:spid="_x0000_s1026" o:spt="32" type="#_x0000_t32" style="position:absolute;left:4211;top:4673;height:625;width:0;" filled="f" stroked="t" coordsize="21600,21600" o:gfxdata="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6hk8vQAA&#10;ANwAAAAPAAAAAAAAAAEAIAAAACIAAABkcnMvZG93bnJldi54bWxQSwECFAAUAAAACACHTuJAMy8F&#10;njsAAAA5AAAAEAAAAAAAAAABACAAAAAMAQAAZHJzL3NoYXBleG1sLnhtbFBLBQYAAAAABgAGAFsB&#10;AAC2AwAAAAA=&#10;">
                  <v:fill on="f" focussize="0,0"/>
                  <v:stroke color="#000000" joinstyle="round" dashstyle="dash" endarrow="block"/>
                  <v:imagedata o:title=""/>
                  <o:lock v:ext="edit" aspectratio="f"/>
                </v:shape>
                <v:shape id="_x0000_s1026" o:spid="_x0000_s1026" o:spt="202" type="#_x0000_t202" style="position:absolute;left:3736;top:5393;height:435;width:978;" filled="f" stroked="f" coordsize="21600,21600" o:gfxdata="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OEH8S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240" w:lineRule="auto"/>
                          <w:ind w:firstLine="0" w:firstLineChars="0"/>
                          <w:jc w:val="left"/>
                          <w:rPr>
                            <w:sz w:val="21"/>
                            <w:szCs w:val="21"/>
                          </w:rPr>
                        </w:pPr>
                        <w:r>
                          <w:rPr>
                            <w:rFonts w:hint="eastAsia"/>
                            <w:sz w:val="21"/>
                            <w:szCs w:val="21"/>
                          </w:rPr>
                          <w:t xml:space="preserve"> 噪声</w:t>
                        </w:r>
                      </w:p>
                    </w:txbxContent>
                  </v:textbox>
                </v:shape>
                <v:shape id="_x0000_s1026" o:spid="_x0000_s1026" o:spt="202" type="#_x0000_t202" style="position:absolute;left:2771;top:4945;height:448;width:1277;" filled="f" stroked="f" coordsize="21600,21600" o:gfxdata="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Vzaib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spacing w:line="240" w:lineRule="auto"/>
                          <w:ind w:firstLine="0" w:firstLineChars="0"/>
                          <w:jc w:val="left"/>
                          <w:rPr>
                            <w:sz w:val="21"/>
                            <w:szCs w:val="21"/>
                          </w:rPr>
                        </w:pPr>
                        <w:r>
                          <w:rPr>
                            <w:rFonts w:hint="eastAsia"/>
                            <w:sz w:val="21"/>
                            <w:szCs w:val="21"/>
                          </w:rPr>
                          <w:t>卸油管道</w:t>
                        </w:r>
                      </w:p>
                    </w:txbxContent>
                  </v:textbox>
                </v:shape>
                <v:shape id="_x0000_s1026" o:spid="_x0000_s1026" o:spt="202" type="#_x0000_t202" style="position:absolute;left:4578;top:6249;height:503;width:2092;" filled="f" stroked="t" coordsize="21600,21600" o:gfxdata="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ePTu/&#10;AAAA3AAAAA8AAAAAAAAAAQAgAAAAIgAAAGRycy9kb3ducmV2LnhtbFBLAQIUABQAAAAIAIdO4kAz&#10;LwWeOwAAADkAAAAQAAAAAAAAAAEAIAAAAA4BAABkcnMvc2hhcGV4bWwueG1sUEsFBgAAAAAGAAYA&#10;WwEAALgDAAAAAA==&#10;">
                  <v:fill on="f" focussize="0,0"/>
                  <v:stroke color="#000000" joinstyle="miter"/>
                  <v:imagedata o:title=""/>
                  <o:lock v:ext="edit" aspectratio="f"/>
                  <v:textbox>
                    <w:txbxContent>
                      <w:p>
                        <w:pPr>
                          <w:spacing w:line="240" w:lineRule="auto"/>
                          <w:ind w:firstLine="420"/>
                          <w:jc w:val="left"/>
                          <w:rPr>
                            <w:sz w:val="21"/>
                            <w:szCs w:val="21"/>
                          </w:rPr>
                        </w:pPr>
                        <w:r>
                          <w:rPr>
                            <w:rFonts w:hint="eastAsia"/>
                            <w:sz w:val="21"/>
                            <w:szCs w:val="21"/>
                          </w:rPr>
                          <w:t>导热油炉房</w:t>
                        </w:r>
                      </w:p>
                    </w:txbxContent>
                  </v:textbox>
                </v:shape>
                <v:shape id="_x0000_s1026" o:spid="_x0000_s1026" o:spt="32" type="#_x0000_t32" style="position:absolute;left:5570;top:4945;flip:x y;height:1304;width:27;" filled="f" stroked="t" coordsize="21600,21600" o:gfxdata="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tekLa/&#10;AAAA3AAAAA8AAAAAAAAAAQAgAAAAIgAAAGRycy9kb3ducmV2LnhtbFBLAQIUABQAAAAIAIdO4kAz&#10;LwWeOwAAADkAAAAQAAAAAAAAAAEAIAAAAA4BAABkcnMvc2hhcGV4bWwueG1sUEsFBgAAAAAGAAYA&#10;WwEAALgDAAAAAA==&#10;">
                  <v:fill on="f" focussize="0,0"/>
                  <v:stroke color="#000000" joinstyle="round" dashstyle="dash" endarrow="block"/>
                  <v:imagedata o:title=""/>
                  <o:lock v:ext="edit" aspectratio="f"/>
                </v:shape>
                <v:shape id="_x0000_s1026" o:spid="_x0000_s1026" o:spt="202" type="#_x0000_t202" style="position:absolute;left:6018;top:5461;height:435;width:937;" filled="f" stroked="f" coordsize="21600,21600" o:gfxdata="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9ddRe5AAAA3AAA&#10;AA8AAAAAAAAAAQAgAAAAIgAAAGRycy9kb3ducmV2LnhtbFBLAQIUABQAAAAIAIdO4kAzLwWeOwAA&#10;ADkAAAAQAAAAAAAAAAEAIAAAAAgBAABkcnMvc2hhcGV4bWwueG1sUEsFBgAAAAAGAAYAWwEAALID&#10;AAAAAA==&#10;">
                  <v:fill on="f" focussize="0,0"/>
                  <v:stroke on="f"/>
                  <v:imagedata o:title=""/>
                  <o:lock v:ext="edit" aspectratio="f"/>
                  <v:textbox>
                    <w:txbxContent>
                      <w:p>
                        <w:pPr>
                          <w:spacing w:line="240" w:lineRule="auto"/>
                          <w:ind w:firstLine="0" w:firstLineChars="0"/>
                          <w:rPr>
                            <w:sz w:val="21"/>
                            <w:szCs w:val="21"/>
                          </w:rPr>
                        </w:pPr>
                        <w:r>
                          <w:rPr>
                            <w:rFonts w:hint="eastAsia"/>
                            <w:sz w:val="21"/>
                            <w:szCs w:val="21"/>
                          </w:rPr>
                          <w:t>废气</w:t>
                        </w:r>
                      </w:p>
                    </w:txbxContent>
                  </v:textbox>
                </v:shape>
                <v:shape id="_x0000_s1026" o:spid="_x0000_s1026" o:spt="32" type="#_x0000_t32" style="position:absolute;left:6317;top:4945;height:611;width:14;" filled="f" stroked="t" coordsize="21600,21600" o:gfxdata="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Ai7WvQAA&#10;ANwAAAAPAAAAAAAAAAEAIAAAACIAAABkcnMvZG93bnJldi54bWxQSwECFAAUAAAACACHTuJAMy8F&#10;njsAAAA5AAAAEAAAAAAAAAABACAAAAAMAQAAZHJzL3NoYXBleG1sLnhtbFBLBQYAAAAABgAGAFsB&#10;AAC2AwAAAAA=&#10;">
                  <v:fill on="f" focussize="0,0"/>
                  <v:stroke color="#000000" joinstyle="round" dashstyle="dash" endarrow="block"/>
                  <v:imagedata o:title=""/>
                  <o:lock v:ext="edit" aspectratio="f"/>
                </v:shape>
                <v:shape id="_x0000_s1026" o:spid="_x0000_s1026" o:spt="32" type="#_x0000_t32" style="position:absolute;left:6331;top:5828;flip:y;height:421;width:0;" filled="f" stroked="t" coordsize="21600,21600" o:gfxdata="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ks/OtwAAANwAAAAP&#10;AAAAAAAAAAEAIAAAACIAAABkcnMvZG93bnJldi54bWxQSwECFAAUAAAACACHTuJAMy8FnjsAAAA5&#10;AAAAEAAAAAAAAAABACAAAAAGAQAAZHJzL3NoYXBleG1sLnhtbFBLBQYAAAAABgAGAFsBAACwAwAA&#10;AAA=&#10;">
                  <v:fill on="f" focussize="0,0"/>
                  <v:stroke color="#000000" joinstyle="round" dashstyle="dash" endarrow="block"/>
                  <v:imagedata o:title=""/>
                  <o:lock v:ext="edit" aspectratio="f"/>
                </v:shape>
                <v:shape id="_x0000_s1026" o:spid="_x0000_s1026" o:spt="32" type="#_x0000_t32" style="position:absolute;left:5597;top:6752;height:434;width:0;" filled="f" stroked="t" coordsize="21600,21600" o:gfxdata="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2ttA28AAAA&#10;3AAAAA8AAAAAAAAAAQAgAAAAIgAAAGRycy9kb3ducmV2LnhtbFBLAQIUABQAAAAIAIdO4kAzLwWe&#10;OwAAADkAAAAQAAAAAAAAAAEAIAAAAAsBAABkcnMvc2hhcGV4bWwueG1sUEsFBgAAAAAGAAYAWwEA&#10;ALUDAAAAAA==&#10;">
                  <v:fill on="f" focussize="0,0"/>
                  <v:stroke color="#000000" joinstyle="round" dashstyle="dash" endarrow="block"/>
                  <v:imagedata o:title=""/>
                  <o:lock v:ext="edit" aspectratio="f"/>
                </v:shape>
                <v:shape id="_x0000_s1026" o:spid="_x0000_s1026" o:spt="202" type="#_x0000_t202" style="position:absolute;left:5787;top:7051;height:394;width:883;" filled="f" stroked="f" coordsize="21600,21600" o:gfxdata="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2zUIL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spacing w:line="240" w:lineRule="auto"/>
                          <w:ind w:firstLine="0" w:firstLineChars="0"/>
                          <w:jc w:val="left"/>
                          <w:rPr>
                            <w:sz w:val="21"/>
                            <w:szCs w:val="21"/>
                          </w:rPr>
                        </w:pPr>
                        <w:r>
                          <w:rPr>
                            <w:rFonts w:hint="eastAsia"/>
                            <w:sz w:val="21"/>
                            <w:szCs w:val="21"/>
                          </w:rPr>
                          <w:t>噪声</w:t>
                        </w:r>
                      </w:p>
                    </w:txbxContent>
                  </v:textbox>
                </v:shape>
                <v:shape id="_x0000_s1026" o:spid="_x0000_s1026" o:spt="32" type="#_x0000_t32" style="position:absolute;left:7186;top:4673;height:965;width:14;" filled="f" stroked="t" coordsize="21600,21600" o:gfxdata="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jOP4b4A&#10;AADcAAAADwAAAAAAAAABACAAAAAiAAAAZHJzL2Rvd25yZXYueG1sUEsBAhQAFAAAAAgAh07iQDMv&#10;BZ47AAAAOQAAABAAAAAAAAAAAQAgAAAADQEAAGRycy9zaGFwZXhtbC54bWxQSwUGAAAAAAYABgBb&#10;AQAAtwMAAAAA&#10;">
                  <v:fill on="f" focussize="0,0"/>
                  <v:stroke color="#000000" joinstyle="round" dashstyle="dash" endarrow="block"/>
                  <v:imagedata o:title=""/>
                  <o:lock v:ext="edit" aspectratio="f"/>
                </v:shape>
                <v:shape id="_x0000_s1026" o:spid="_x0000_s1026" o:spt="202" type="#_x0000_t202" style="position:absolute;left:7417;top:5638;height:407;width:788;" filled="f" stroked="f" coordsize="21600,21600" o:gfxdata="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yenPvQAA&#10;ANwAAAAPAAAAAAAAAAEAIAAAACIAAABkcnMvZG93bnJldi54bWxQSwECFAAUAAAACACHTuJAMy8F&#10;njsAAAA5AAAAEAAAAAAAAAABACAAAAAMAQAAZHJzL3NoYXBleG1sLnhtbFBLBQYAAAAABgAGAFsB&#10;AAC2AwAAAAA=&#10;">
                  <v:fill on="f" focussize="0,0"/>
                  <v:stroke on="f"/>
                  <v:imagedata o:title=""/>
                  <o:lock v:ext="edit" aspectratio="f"/>
                  <v:textbox>
                    <w:txbxContent>
                      <w:p>
                        <w:pPr>
                          <w:spacing w:line="240" w:lineRule="auto"/>
                          <w:ind w:firstLine="0" w:firstLineChars="0"/>
                          <w:jc w:val="left"/>
                          <w:rPr>
                            <w:sz w:val="21"/>
                            <w:szCs w:val="21"/>
                          </w:rPr>
                        </w:pPr>
                        <w:r>
                          <w:rPr>
                            <w:rFonts w:hint="eastAsia"/>
                            <w:sz w:val="21"/>
                            <w:szCs w:val="21"/>
                          </w:rPr>
                          <w:t>噪声</w:t>
                        </w:r>
                      </w:p>
                    </w:txbxContent>
                  </v:textbox>
                </v:shape>
              </v:group>
            </w:pict>
          </mc:Fallback>
        </mc:AlternateContent>
      </w:r>
      <w:r>
        <w:rPr>
          <w:color w:val="000000"/>
        </w:rPr>
        <w:t>1</w:t>
      </w:r>
      <w:r>
        <w:rPr>
          <w:rFonts w:hint="eastAsia"/>
          <w:color w:val="000000"/>
        </w:rPr>
        <w:t>、基质沥青贮存、中转工艺流程图</w:t>
      </w:r>
    </w:p>
    <w:p>
      <w:pPr>
        <w:ind w:firstLine="480"/>
        <w:jc w:val="left"/>
        <w:rPr>
          <w:color w:val="000000"/>
        </w:rPr>
      </w:pPr>
    </w:p>
    <w:p>
      <w:pPr>
        <w:tabs>
          <w:tab w:val="left" w:pos="7675"/>
        </w:tabs>
        <w:ind w:firstLine="480"/>
        <w:jc w:val="left"/>
        <w:rPr>
          <w:color w:val="000000"/>
        </w:rPr>
      </w:pPr>
      <w:r>
        <w:rPr>
          <w:color w:val="000000"/>
        </w:rPr>
        <w:tab/>
      </w:r>
    </w:p>
    <w:p>
      <w:pPr>
        <w:ind w:firstLine="480"/>
        <w:jc w:val="left"/>
        <w:rPr>
          <w:color w:val="000000"/>
        </w:rPr>
      </w:pPr>
    </w:p>
    <w:p>
      <w:pPr>
        <w:ind w:firstLine="480"/>
        <w:jc w:val="left"/>
        <w:rPr>
          <w:color w:val="000000"/>
        </w:rPr>
      </w:pPr>
    </w:p>
    <w:p>
      <w:pPr>
        <w:ind w:firstLine="480"/>
        <w:jc w:val="left"/>
        <w:rPr>
          <w:color w:val="000000"/>
        </w:rPr>
      </w:pPr>
    </w:p>
    <w:p>
      <w:pPr>
        <w:ind w:firstLine="480"/>
        <w:jc w:val="left"/>
        <w:rPr>
          <w:color w:val="000000"/>
        </w:rPr>
      </w:pPr>
    </w:p>
    <w:p>
      <w:pPr>
        <w:ind w:firstLine="480"/>
        <w:jc w:val="left"/>
        <w:rPr>
          <w:color w:val="000000"/>
        </w:rPr>
      </w:pPr>
    </w:p>
    <w:p>
      <w:pPr>
        <w:ind w:firstLine="480"/>
        <w:jc w:val="left"/>
        <w:rPr>
          <w:color w:val="000000"/>
        </w:rPr>
      </w:pPr>
    </w:p>
    <w:p>
      <w:pPr>
        <w:ind w:firstLine="422"/>
        <w:jc w:val="center"/>
        <w:rPr>
          <w:b/>
          <w:color w:val="000000"/>
          <w:sz w:val="21"/>
          <w:szCs w:val="21"/>
        </w:rPr>
      </w:pPr>
      <w:r>
        <w:rPr>
          <w:rFonts w:hint="eastAsia"/>
          <w:b/>
          <w:color w:val="000000"/>
          <w:sz w:val="21"/>
          <w:szCs w:val="21"/>
        </w:rPr>
        <w:t>图2 基质沥青贮存、中转工艺流程图</w:t>
      </w:r>
    </w:p>
    <w:p>
      <w:pPr>
        <w:tabs>
          <w:tab w:val="left" w:pos="6714"/>
        </w:tabs>
        <w:ind w:firstLine="480"/>
        <w:rPr>
          <w:color w:val="000000"/>
        </w:rPr>
      </w:pPr>
      <w:r>
        <w:rPr>
          <w:color w:val="000000"/>
        </w:rPr>
        <w:t>2</w:t>
      </w:r>
      <w:r>
        <w:rPr>
          <w:rFonts w:hint="eastAsia"/>
          <w:color w:val="000000"/>
        </w:rPr>
        <w:t>、生产工艺简述</w:t>
      </w:r>
    </w:p>
    <w:p>
      <w:pPr>
        <w:ind w:firstLine="480"/>
        <w:jc w:val="left"/>
        <w:rPr>
          <w:color w:val="000000"/>
        </w:rPr>
      </w:pPr>
      <w:r>
        <w:rPr>
          <w:rFonts w:hint="eastAsia"/>
          <w:color w:val="000000"/>
        </w:rPr>
        <w:t>（</w:t>
      </w:r>
      <w:r>
        <w:rPr>
          <w:color w:val="000000"/>
        </w:rPr>
        <w:t>1</w:t>
      </w:r>
      <w:r>
        <w:rPr>
          <w:rFonts w:hint="eastAsia"/>
          <w:color w:val="000000"/>
        </w:rPr>
        <w:t>）进油：沥青专运车辆到站，管道对接后卸入低位油槽，用泵将沥青通过管道抽送输入储罐；</w:t>
      </w:r>
    </w:p>
    <w:p>
      <w:pPr>
        <w:ind w:firstLine="480"/>
        <w:jc w:val="left"/>
        <w:rPr>
          <w:color w:val="000000"/>
        </w:rPr>
      </w:pPr>
      <w:r>
        <w:rPr>
          <w:rFonts w:hint="eastAsia"/>
          <w:color w:val="000000"/>
        </w:rPr>
        <w:t>（</w:t>
      </w:r>
      <w:r>
        <w:rPr>
          <w:color w:val="000000"/>
        </w:rPr>
        <w:t>2</w:t>
      </w:r>
      <w:r>
        <w:rPr>
          <w:rFonts w:hint="eastAsia"/>
          <w:color w:val="000000"/>
        </w:rPr>
        <w:t>）出油：储罐沥青通过发油口，由泵送罐车装运出库，发送客户；</w:t>
      </w:r>
    </w:p>
    <w:p>
      <w:pPr>
        <w:ind w:firstLine="480"/>
        <w:jc w:val="left"/>
        <w:rPr>
          <w:color w:val="000000"/>
        </w:rPr>
      </w:pPr>
      <w:r>
        <w:rPr>
          <w:rFonts w:hint="eastAsia"/>
          <w:color w:val="000000"/>
        </w:rPr>
        <w:t>（</w:t>
      </w:r>
      <w:r>
        <w:rPr>
          <w:color w:val="000000"/>
        </w:rPr>
        <w:t>3</w:t>
      </w:r>
      <w:r>
        <w:rPr>
          <w:rFonts w:hint="eastAsia"/>
          <w:color w:val="000000"/>
        </w:rPr>
        <w:t>）加温：以</w:t>
      </w:r>
      <w:r>
        <w:rPr>
          <w:rFonts w:hint="eastAsia"/>
          <w:color w:val="000000"/>
          <w:lang w:eastAsia="zh-CN"/>
        </w:rPr>
        <w:t>普通柴油</w:t>
      </w:r>
      <w:r>
        <w:rPr>
          <w:rFonts w:hint="eastAsia"/>
          <w:color w:val="000000"/>
        </w:rPr>
        <w:t>作为原料，导热油作为载体，加温主要针对沥青管道，每次到站加温</w:t>
      </w:r>
      <w:r>
        <w:rPr>
          <w:color w:val="000000"/>
        </w:rPr>
        <w:t>6~8</w:t>
      </w:r>
      <w:r>
        <w:rPr>
          <w:rFonts w:hint="eastAsia"/>
          <w:color w:val="000000"/>
        </w:rPr>
        <w:t>小时就可停炉，年加温时间约1600小时，沥青入库后</w:t>
      </w:r>
      <w:r>
        <w:rPr>
          <w:color w:val="000000"/>
        </w:rPr>
        <w:t>5~7</w:t>
      </w:r>
      <w:r>
        <w:rPr>
          <w:rFonts w:hint="eastAsia"/>
          <w:color w:val="000000"/>
        </w:rPr>
        <w:t>天全部可以加工配置成品发运。</w:t>
      </w:r>
    </w:p>
    <w:p>
      <w:pPr>
        <w:pStyle w:val="5"/>
        <w:bidi w:val="0"/>
      </w:pPr>
      <w:bookmarkStart w:id="26" w:name="_Toc32123"/>
      <w:r>
        <w:rPr>
          <w:rFonts w:hint="eastAsia"/>
        </w:rPr>
        <w:t>现有</w:t>
      </w:r>
      <w:r>
        <w:rPr>
          <w:rFonts w:hint="eastAsia"/>
          <w:lang w:eastAsia="zh-CN"/>
        </w:rPr>
        <w:t>工程污染物排放情况</w:t>
      </w:r>
      <w:bookmarkEnd w:id="26"/>
    </w:p>
    <w:p>
      <w:r>
        <w:rPr>
          <w:rFonts w:hint="eastAsia"/>
          <w:lang w:eastAsia="zh-CN"/>
        </w:rPr>
        <w:t>现有工程中码头已停运，污染主要来源于罐区，罐区装卸采用陆运。</w:t>
      </w:r>
    </w:p>
    <w:p>
      <w:pPr>
        <w:pStyle w:val="6"/>
        <w:bidi w:val="0"/>
        <w:rPr>
          <w:rFonts w:hint="default"/>
          <w:lang w:val="en-US" w:eastAsia="zh-CN"/>
        </w:rPr>
      </w:pPr>
      <w:r>
        <w:rPr>
          <w:rFonts w:hint="default"/>
          <w:lang w:val="en-US" w:eastAsia="zh-CN"/>
        </w:rPr>
        <w:t>废气</w:t>
      </w:r>
    </w:p>
    <w:p>
      <w:pPr>
        <w:spacing w:line="360" w:lineRule="auto"/>
        <w:ind w:firstLine="480"/>
        <w:jc w:val="left"/>
        <w:rPr>
          <w:rFonts w:hint="default" w:ascii="Times New Roman" w:hAnsi="Times New Roman" w:eastAsia="宋体" w:cs="Times New Roman"/>
          <w:caps w:val="0"/>
          <w:smallCaps w:val="0"/>
          <w:snapToGrid w:val="0"/>
          <w:color w:val="000000"/>
          <w:kern w:val="0"/>
          <w:sz w:val="24"/>
          <w:szCs w:val="24"/>
        </w:rPr>
      </w:pPr>
      <w:r>
        <w:rPr>
          <w:rFonts w:hint="default" w:ascii="Times New Roman" w:hAnsi="Times New Roman" w:eastAsia="宋体" w:cs="Times New Roman"/>
          <w:caps w:val="0"/>
          <w:smallCaps w:val="0"/>
          <w:snapToGrid w:val="0"/>
          <w:color w:val="000000"/>
          <w:kern w:val="0"/>
          <w:sz w:val="24"/>
          <w:szCs w:val="24"/>
          <w:lang w:val="en-US" w:eastAsia="zh-CN"/>
        </w:rPr>
        <w:t>企业现有</w:t>
      </w:r>
      <w:r>
        <w:rPr>
          <w:rFonts w:hint="default" w:ascii="Times New Roman" w:hAnsi="Times New Roman" w:eastAsia="宋体" w:cs="Times New Roman"/>
          <w:caps w:val="0"/>
          <w:smallCaps w:val="0"/>
          <w:snapToGrid w:val="0"/>
          <w:color w:val="000000"/>
          <w:kern w:val="0"/>
          <w:sz w:val="24"/>
          <w:szCs w:val="24"/>
        </w:rPr>
        <w:t>废气</w:t>
      </w:r>
      <w:r>
        <w:rPr>
          <w:rFonts w:hint="eastAsia" w:ascii="Times New Roman" w:hAnsi="Times New Roman" w:cs="Times New Roman"/>
          <w:caps w:val="0"/>
          <w:smallCaps w:val="0"/>
          <w:snapToGrid w:val="0"/>
          <w:color w:val="000000"/>
          <w:kern w:val="0"/>
          <w:sz w:val="24"/>
          <w:szCs w:val="24"/>
          <w:lang w:eastAsia="zh-CN"/>
        </w:rPr>
        <w:t>主要为</w:t>
      </w:r>
      <w:r>
        <w:rPr>
          <w:rFonts w:hint="default" w:ascii="Times New Roman" w:hAnsi="Times New Roman" w:eastAsia="宋体" w:cs="Times New Roman"/>
          <w:caps w:val="0"/>
          <w:smallCaps w:val="0"/>
          <w:snapToGrid w:val="0"/>
          <w:color w:val="000000"/>
          <w:kern w:val="0"/>
          <w:sz w:val="24"/>
          <w:szCs w:val="24"/>
        </w:rPr>
        <w:t>为基质沥青</w:t>
      </w:r>
      <w:r>
        <w:rPr>
          <w:rFonts w:hint="eastAsia" w:ascii="Times New Roman" w:hAnsi="Times New Roman" w:cs="Times New Roman"/>
          <w:caps w:val="0"/>
          <w:smallCaps w:val="0"/>
          <w:snapToGrid w:val="0"/>
          <w:color w:val="000000"/>
          <w:kern w:val="0"/>
          <w:sz w:val="24"/>
          <w:szCs w:val="24"/>
          <w:lang w:eastAsia="zh-CN"/>
        </w:rPr>
        <w:t>储存罐呼吸以及装卸过程产生的</w:t>
      </w:r>
      <w:r>
        <w:rPr>
          <w:rFonts w:hint="default" w:ascii="Times New Roman" w:hAnsi="Times New Roman" w:eastAsia="宋体" w:cs="Times New Roman"/>
          <w:caps w:val="0"/>
          <w:smallCaps w:val="0"/>
          <w:snapToGrid w:val="0"/>
          <w:color w:val="000000"/>
          <w:kern w:val="0"/>
          <w:sz w:val="24"/>
          <w:szCs w:val="24"/>
        </w:rPr>
        <w:t>有机废气</w:t>
      </w:r>
      <w:r>
        <w:rPr>
          <w:rFonts w:hint="eastAsia" w:ascii="Times New Roman" w:hAnsi="Times New Roman" w:cs="Times New Roman"/>
          <w:caps w:val="0"/>
          <w:smallCaps w:val="0"/>
          <w:snapToGrid w:val="0"/>
          <w:color w:val="000000"/>
          <w:kern w:val="0"/>
          <w:sz w:val="24"/>
          <w:szCs w:val="24"/>
          <w:lang w:eastAsia="zh-CN"/>
        </w:rPr>
        <w:t>和</w:t>
      </w:r>
      <w:r>
        <w:rPr>
          <w:rFonts w:hint="default" w:ascii="Times New Roman" w:hAnsi="Times New Roman" w:eastAsia="宋体" w:cs="Times New Roman"/>
          <w:caps w:val="0"/>
          <w:smallCaps w:val="0"/>
          <w:snapToGrid w:val="0"/>
          <w:color w:val="000000"/>
          <w:kern w:val="0"/>
          <w:sz w:val="24"/>
          <w:szCs w:val="24"/>
        </w:rPr>
        <w:t>锅炉废气。</w:t>
      </w:r>
    </w:p>
    <w:p>
      <w:pPr>
        <w:spacing w:line="360" w:lineRule="auto"/>
        <w:ind w:firstLine="480"/>
        <w:jc w:val="left"/>
        <w:rPr>
          <w:rFonts w:hint="default" w:ascii="Times New Roman" w:hAnsi="Times New Roman" w:eastAsia="宋体" w:cs="Times New Roman"/>
          <w:caps w:val="0"/>
          <w:smallCaps w:val="0"/>
          <w:snapToGrid w:val="0"/>
          <w:color w:val="000000"/>
          <w:kern w:val="0"/>
          <w:sz w:val="24"/>
          <w:szCs w:val="24"/>
        </w:rPr>
      </w:pPr>
      <w:r>
        <w:rPr>
          <w:rFonts w:hint="default" w:ascii="Times New Roman" w:hAnsi="Times New Roman" w:eastAsia="宋体" w:cs="Times New Roman"/>
          <w:caps w:val="0"/>
          <w:smallCaps w:val="0"/>
          <w:snapToGrid w:val="0"/>
          <w:color w:val="000000"/>
          <w:kern w:val="0"/>
          <w:sz w:val="24"/>
          <w:szCs w:val="24"/>
          <w:lang w:val="en-US" w:eastAsia="zh-CN"/>
        </w:rPr>
        <w:t>（1）</w:t>
      </w:r>
      <w:r>
        <w:rPr>
          <w:rFonts w:hint="default" w:ascii="Times New Roman" w:hAnsi="Times New Roman" w:eastAsia="宋体" w:cs="Times New Roman"/>
          <w:caps w:val="0"/>
          <w:smallCaps w:val="0"/>
          <w:snapToGrid w:val="0"/>
          <w:color w:val="000000"/>
          <w:kern w:val="0"/>
          <w:sz w:val="24"/>
          <w:szCs w:val="24"/>
        </w:rPr>
        <w:t>基质沥青</w:t>
      </w:r>
      <w:r>
        <w:rPr>
          <w:rFonts w:hint="eastAsia" w:ascii="Times New Roman" w:hAnsi="Times New Roman" w:cs="Times New Roman"/>
          <w:caps w:val="0"/>
          <w:smallCaps w:val="0"/>
          <w:snapToGrid w:val="0"/>
          <w:color w:val="000000"/>
          <w:kern w:val="0"/>
          <w:sz w:val="24"/>
          <w:szCs w:val="24"/>
          <w:lang w:eastAsia="zh-CN"/>
        </w:rPr>
        <w:t>储存罐呼吸以及装卸过程产生的</w:t>
      </w:r>
      <w:r>
        <w:rPr>
          <w:rFonts w:hint="default" w:ascii="Times New Roman" w:hAnsi="Times New Roman" w:eastAsia="宋体" w:cs="Times New Roman"/>
          <w:caps w:val="0"/>
          <w:smallCaps w:val="0"/>
          <w:snapToGrid w:val="0"/>
          <w:color w:val="000000"/>
          <w:kern w:val="0"/>
          <w:sz w:val="24"/>
          <w:szCs w:val="24"/>
        </w:rPr>
        <w:t>有机废气</w:t>
      </w:r>
    </w:p>
    <w:p>
      <w:pPr>
        <w:spacing w:line="360" w:lineRule="auto"/>
        <w:ind w:firstLine="480"/>
        <w:jc w:val="left"/>
        <w:rPr>
          <w:rFonts w:hint="default" w:ascii="Times New Roman" w:hAnsi="Times New Roman" w:eastAsia="宋体" w:cs="Times New Roman"/>
          <w:caps w:val="0"/>
          <w:smallCaps w:val="0"/>
          <w:snapToGrid w:val="0"/>
          <w:color w:val="000000"/>
          <w:kern w:val="0"/>
          <w:sz w:val="24"/>
          <w:szCs w:val="24"/>
          <w:lang w:val="en-US" w:eastAsia="zh-CN"/>
        </w:rPr>
      </w:pPr>
      <w:r>
        <w:rPr>
          <w:rFonts w:hint="eastAsia" w:ascii="Times New Roman" w:hAnsi="Times New Roman" w:cs="Times New Roman"/>
          <w:caps w:val="0"/>
          <w:smallCaps w:val="0"/>
          <w:snapToGrid w:val="0"/>
          <w:color w:val="000000"/>
          <w:kern w:val="0"/>
          <w:sz w:val="24"/>
          <w:szCs w:val="24"/>
          <w:lang w:eastAsia="zh-CN"/>
        </w:rPr>
        <w:t>该部分废气</w:t>
      </w:r>
      <w:r>
        <w:rPr>
          <w:rFonts w:hint="default" w:ascii="Times New Roman" w:hAnsi="Times New Roman" w:eastAsia="宋体" w:cs="Times New Roman"/>
          <w:caps w:val="0"/>
          <w:smallCaps w:val="0"/>
          <w:snapToGrid w:val="0"/>
          <w:color w:val="000000"/>
          <w:kern w:val="0"/>
          <w:sz w:val="24"/>
          <w:szCs w:val="24"/>
        </w:rPr>
        <w:t>经废气回收装置（密闭管道和集气罩）收集后经过滤箱冷凝（旋流塔，以水作为冷凝）+高压电捕+UV光解+活性炭吸附处理后经</w:t>
      </w:r>
      <w:r>
        <w:rPr>
          <w:rFonts w:hint="eastAsia" w:ascii="Times New Roman" w:hAnsi="Times New Roman" w:cs="Times New Roman"/>
          <w:caps w:val="0"/>
          <w:smallCaps w:val="0"/>
          <w:snapToGrid w:val="0"/>
          <w:color w:val="000000"/>
          <w:kern w:val="0"/>
          <w:sz w:val="24"/>
          <w:szCs w:val="24"/>
          <w:lang w:val="en-US" w:eastAsia="zh-CN"/>
        </w:rPr>
        <w:t>30</w:t>
      </w:r>
      <w:r>
        <w:rPr>
          <w:rFonts w:hint="default" w:ascii="Times New Roman" w:hAnsi="Times New Roman" w:eastAsia="宋体" w:cs="Times New Roman"/>
          <w:caps w:val="0"/>
          <w:smallCaps w:val="0"/>
          <w:snapToGrid w:val="0"/>
          <w:color w:val="000000"/>
          <w:kern w:val="0"/>
          <w:sz w:val="24"/>
          <w:szCs w:val="24"/>
        </w:rPr>
        <w:t>米高排气筒外排</w:t>
      </w:r>
      <w:r>
        <w:rPr>
          <w:rFonts w:hint="default" w:ascii="Times New Roman" w:hAnsi="Times New Roman" w:eastAsia="宋体" w:cs="Times New Roman"/>
          <w:caps w:val="0"/>
          <w:smallCaps w:val="0"/>
          <w:snapToGrid w:val="0"/>
          <w:color w:val="000000"/>
          <w:kern w:val="0"/>
          <w:sz w:val="24"/>
          <w:szCs w:val="24"/>
          <w:lang w:val="en-US" w:eastAsia="zh-CN"/>
        </w:rPr>
        <w:t>。</w:t>
      </w:r>
    </w:p>
    <w:p>
      <w:pPr>
        <w:spacing w:line="360" w:lineRule="auto"/>
        <w:ind w:firstLine="480"/>
        <w:jc w:val="left"/>
        <w:rPr>
          <w:rFonts w:hint="eastAsia" w:ascii="Times New Roman" w:hAnsi="Times New Roman" w:cs="Times New Roman"/>
          <w:caps w:val="0"/>
          <w:smallCaps w:val="0"/>
          <w:sz w:val="24"/>
          <w:lang w:eastAsia="zh-CN"/>
        </w:rPr>
      </w:pPr>
      <w:r>
        <w:rPr>
          <w:rFonts w:hint="default" w:ascii="Times New Roman" w:hAnsi="Times New Roman" w:cs="Times New Roman"/>
          <w:caps w:val="0"/>
          <w:smallCaps w:val="0"/>
          <w:sz w:val="24"/>
          <w:highlight w:val="none"/>
          <w:lang w:val="en-US" w:eastAsia="zh-CN"/>
        </w:rPr>
        <w:t>根据湖南宏润检测有限公司</w:t>
      </w:r>
      <w:r>
        <w:rPr>
          <w:rFonts w:hint="eastAsia" w:ascii="Times New Roman" w:hAnsi="Times New Roman" w:cs="Times New Roman"/>
          <w:caps w:val="0"/>
          <w:smallCaps w:val="0"/>
          <w:sz w:val="24"/>
          <w:highlight w:val="none"/>
          <w:lang w:val="en-US" w:eastAsia="zh-CN"/>
        </w:rPr>
        <w:t>2019年</w:t>
      </w:r>
      <w:r>
        <w:rPr>
          <w:rFonts w:hint="default" w:ascii="Times New Roman" w:hAnsi="Times New Roman" w:cs="Times New Roman"/>
          <w:caps w:val="0"/>
          <w:smallCaps w:val="0"/>
          <w:sz w:val="24"/>
          <w:highlight w:val="none"/>
          <w:lang w:val="en-US" w:eastAsia="zh-CN"/>
        </w:rPr>
        <w:t>编制的</w:t>
      </w:r>
      <w:r>
        <w:rPr>
          <w:rFonts w:hint="eastAsia" w:ascii="Times New Roman" w:hAnsi="Times New Roman" w:cs="Times New Roman"/>
          <w:caps w:val="0"/>
          <w:smallCaps w:val="0"/>
          <w:sz w:val="24"/>
          <w:highlight w:val="none"/>
          <w:lang w:val="en-US" w:eastAsia="zh-CN"/>
        </w:rPr>
        <w:t>《</w:t>
      </w:r>
      <w:r>
        <w:rPr>
          <w:rFonts w:hint="default" w:ascii="Times New Roman" w:hAnsi="Times New Roman" w:cs="Times New Roman"/>
          <w:caps w:val="0"/>
          <w:smallCaps w:val="0"/>
          <w:sz w:val="24"/>
          <w:highlight w:val="none"/>
          <w:lang w:val="en-US" w:eastAsia="zh-CN"/>
        </w:rPr>
        <w:t>湖南海丰物流有限公司2017年度库区改扩建工程竣工环境保护验收监测报告表</w:t>
      </w:r>
      <w:r>
        <w:rPr>
          <w:rFonts w:hint="eastAsia" w:ascii="Times New Roman" w:hAnsi="Times New Roman" w:cs="Times New Roman"/>
          <w:caps w:val="0"/>
          <w:smallCaps w:val="0"/>
          <w:sz w:val="24"/>
          <w:highlight w:val="none"/>
          <w:lang w:val="en-US" w:eastAsia="zh-CN"/>
        </w:rPr>
        <w:t>》</w:t>
      </w:r>
      <w:r>
        <w:rPr>
          <w:rFonts w:hint="default" w:ascii="Times New Roman" w:hAnsi="Times New Roman" w:cs="Times New Roman"/>
          <w:caps w:val="0"/>
          <w:smallCaps w:val="0"/>
          <w:sz w:val="24"/>
          <w:highlight w:val="none"/>
          <w:lang w:val="en-US" w:eastAsia="zh-CN"/>
        </w:rPr>
        <w:t>，对企业排放大气污染物监测结果，企业现有</w:t>
      </w:r>
      <w:r>
        <w:rPr>
          <w:rFonts w:hint="default" w:ascii="Times New Roman" w:hAnsi="Times New Roman" w:eastAsia="宋体" w:cs="Times New Roman"/>
          <w:caps w:val="0"/>
          <w:smallCaps w:val="0"/>
          <w:snapToGrid w:val="0"/>
          <w:color w:val="000000"/>
          <w:kern w:val="0"/>
          <w:sz w:val="24"/>
          <w:szCs w:val="24"/>
        </w:rPr>
        <w:t>沥青</w:t>
      </w:r>
      <w:r>
        <w:rPr>
          <w:rFonts w:hint="eastAsia" w:ascii="Times New Roman" w:hAnsi="Times New Roman" w:cs="Times New Roman"/>
          <w:caps w:val="0"/>
          <w:smallCaps w:val="0"/>
          <w:snapToGrid w:val="0"/>
          <w:color w:val="000000"/>
          <w:kern w:val="0"/>
          <w:sz w:val="24"/>
          <w:szCs w:val="24"/>
          <w:lang w:eastAsia="zh-CN"/>
        </w:rPr>
        <w:t>罐产生的</w:t>
      </w:r>
      <w:r>
        <w:rPr>
          <w:rFonts w:hint="default" w:ascii="Times New Roman" w:hAnsi="Times New Roman" w:cs="Times New Roman"/>
          <w:caps w:val="0"/>
          <w:smallCaps w:val="0"/>
          <w:sz w:val="24"/>
          <w:highlight w:val="none"/>
          <w:lang w:val="en-US" w:eastAsia="zh-CN"/>
        </w:rPr>
        <w:t>污染物排放均满足相应标准要求</w:t>
      </w:r>
      <w:r>
        <w:rPr>
          <w:rFonts w:hint="default" w:ascii="Times New Roman" w:hAnsi="Times New Roman" w:cs="Times New Roman"/>
          <w:caps w:val="0"/>
          <w:smallCaps w:val="0"/>
          <w:sz w:val="24"/>
          <w:highlight w:val="none"/>
          <w:lang w:eastAsia="zh-CN"/>
        </w:rPr>
        <w:t>。</w:t>
      </w:r>
      <w:r>
        <w:rPr>
          <w:rFonts w:hint="default" w:ascii="Times New Roman" w:hAnsi="Times New Roman" w:cs="Times New Roman"/>
          <w:caps w:val="0"/>
          <w:smallCaps w:val="0"/>
          <w:sz w:val="24"/>
        </w:rPr>
        <w:t>检测结果详见</w:t>
      </w:r>
      <w:r>
        <w:rPr>
          <w:rFonts w:hint="default" w:ascii="Times New Roman" w:hAnsi="Times New Roman" w:cs="Times New Roman"/>
          <w:caps w:val="0"/>
          <w:smallCaps w:val="0"/>
          <w:sz w:val="24"/>
          <w:lang w:val="en-US" w:eastAsia="zh-CN"/>
        </w:rPr>
        <w:t>下</w:t>
      </w:r>
      <w:r>
        <w:rPr>
          <w:rFonts w:hint="default" w:ascii="Times New Roman" w:hAnsi="Times New Roman" w:cs="Times New Roman"/>
          <w:caps w:val="0"/>
          <w:smallCaps w:val="0"/>
          <w:sz w:val="24"/>
        </w:rPr>
        <w:t>表</w:t>
      </w:r>
      <w:r>
        <w:rPr>
          <w:rFonts w:hint="default" w:ascii="Times New Roman" w:hAnsi="Times New Roman" w:cs="Times New Roman"/>
          <w:b w:val="0"/>
          <w:bCs w:val="0"/>
          <w:caps w:val="0"/>
          <w:smallCaps w:val="0"/>
          <w:sz w:val="24"/>
          <w:szCs w:val="24"/>
          <w:lang w:val="en-US" w:eastAsia="zh-CN"/>
        </w:rPr>
        <w:t>表</w:t>
      </w:r>
      <w:r>
        <w:rPr>
          <w:rFonts w:hint="eastAsia" w:ascii="Times New Roman" w:hAnsi="Times New Roman" w:cs="Times New Roman"/>
          <w:b w:val="0"/>
          <w:bCs w:val="0"/>
          <w:caps w:val="0"/>
          <w:smallCaps w:val="0"/>
          <w:sz w:val="24"/>
          <w:szCs w:val="24"/>
          <w:lang w:val="en-US" w:eastAsia="zh-CN"/>
        </w:rPr>
        <w:t>3.1-2</w:t>
      </w:r>
      <w:r>
        <w:rPr>
          <w:rFonts w:hint="eastAsia" w:ascii="Times New Roman" w:hAnsi="Times New Roman" w:cs="Times New Roman"/>
          <w:caps w:val="0"/>
          <w:smallCaps w:val="0"/>
          <w:sz w:val="24"/>
          <w:lang w:eastAsia="zh-CN"/>
        </w:rPr>
        <w:t>：</w:t>
      </w:r>
    </w:p>
    <w:p>
      <w:pPr>
        <w:spacing w:line="360" w:lineRule="auto"/>
        <w:jc w:val="center"/>
        <w:rPr>
          <w:rFonts w:hint="eastAsia" w:ascii="Times New Roman" w:hAnsi="Times New Roman" w:cs="Times New Roman"/>
          <w:b/>
          <w:bCs/>
          <w:caps w:val="0"/>
          <w:smallCaps w:val="0"/>
          <w:sz w:val="24"/>
          <w:lang w:eastAsia="zh-CN"/>
        </w:rPr>
      </w:pPr>
      <w:r>
        <w:rPr>
          <w:rFonts w:hint="default" w:ascii="Times New Roman" w:hAnsi="Times New Roman" w:cs="Times New Roman"/>
          <w:b/>
          <w:bCs/>
          <w:caps w:val="0"/>
          <w:smallCaps w:val="0"/>
          <w:sz w:val="24"/>
          <w:szCs w:val="24"/>
          <w:lang w:val="en-US" w:eastAsia="zh-CN"/>
        </w:rPr>
        <w:t>表</w:t>
      </w:r>
      <w:r>
        <w:rPr>
          <w:rFonts w:hint="eastAsia" w:ascii="Times New Roman" w:hAnsi="Times New Roman" w:cs="Times New Roman"/>
          <w:b/>
          <w:bCs/>
          <w:caps w:val="0"/>
          <w:smallCaps w:val="0"/>
          <w:sz w:val="24"/>
          <w:szCs w:val="24"/>
          <w:lang w:val="en-US" w:eastAsia="zh-CN"/>
        </w:rPr>
        <w:t>3.</w:t>
      </w:r>
      <w:r>
        <w:rPr>
          <w:rFonts w:hint="eastAsia" w:cs="Times New Roman"/>
          <w:b/>
          <w:bCs/>
          <w:caps w:val="0"/>
          <w:smallCaps w:val="0"/>
          <w:sz w:val="24"/>
          <w:szCs w:val="24"/>
          <w:lang w:val="en-US" w:eastAsia="zh-CN"/>
        </w:rPr>
        <w:t>4</w:t>
      </w:r>
      <w:r>
        <w:rPr>
          <w:rFonts w:hint="eastAsia" w:ascii="Times New Roman" w:hAnsi="Times New Roman" w:cs="Times New Roman"/>
          <w:b/>
          <w:bCs/>
          <w:caps w:val="0"/>
          <w:smallCaps w:val="0"/>
          <w:sz w:val="24"/>
          <w:szCs w:val="24"/>
          <w:lang w:val="en-US" w:eastAsia="zh-CN"/>
        </w:rPr>
        <w:t>-2沥青有机废气污染物有组织排放监测数据</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874"/>
        <w:gridCol w:w="687"/>
        <w:gridCol w:w="1258"/>
        <w:gridCol w:w="1045"/>
        <w:gridCol w:w="1045"/>
        <w:gridCol w:w="1045"/>
        <w:gridCol w:w="1045"/>
        <w:gridCol w:w="1045"/>
        <w:gridCol w:w="1056"/>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restart"/>
            <w:tcBorders>
              <w:top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监测</w:t>
            </w:r>
          </w:p>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点位</w:t>
            </w:r>
          </w:p>
        </w:tc>
        <w:tc>
          <w:tcPr>
            <w:tcW w:w="1069" w:type="pct"/>
            <w:gridSpan w:val="2"/>
            <w:vMerge w:val="restar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检测项目</w:t>
            </w:r>
          </w:p>
        </w:tc>
        <w:tc>
          <w:tcPr>
            <w:tcW w:w="3448" w:type="pct"/>
            <w:gridSpan w:val="6"/>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采样日期、频次及检测结果</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top w:val="single" w:color="000000" w:sz="2" w:space="0"/>
              <w:left w:val="single" w:color="000000" w:sz="4"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1069" w:type="pct"/>
            <w:gridSpan w:val="2"/>
            <w:vMerge w:val="continue"/>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1722" w:type="pct"/>
            <w:gridSpan w:val="3"/>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2019.9.27</w:t>
            </w:r>
          </w:p>
        </w:tc>
        <w:tc>
          <w:tcPr>
            <w:tcW w:w="1725" w:type="pct"/>
            <w:gridSpan w:val="3"/>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2019.9.28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top w:val="single" w:color="000000" w:sz="2" w:space="0"/>
              <w:left w:val="single" w:color="000000" w:sz="4"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1069" w:type="pct"/>
            <w:gridSpan w:val="2"/>
            <w:vMerge w:val="continue"/>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第1次</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第2次</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第3次</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第1次</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第2次</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第3次</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restart"/>
            <w:tcBorders>
              <w:top w:val="single" w:color="000000" w:sz="2" w:space="0"/>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有机废气旋流塔环保设施进口</w:t>
            </w:r>
          </w:p>
        </w:tc>
        <w:tc>
          <w:tcPr>
            <w:tcW w:w="1069" w:type="pct"/>
            <w:gridSpan w:val="2"/>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标干废气流量（m</w:t>
            </w:r>
            <w:r>
              <w:rPr>
                <w:rFonts w:hint="default" w:ascii="Times New Roman" w:hAnsi="Times New Roman" w:cs="Times New Roman"/>
                <w:caps w:val="0"/>
                <w:smallCaps w:val="0"/>
                <w:vertAlign w:val="superscript"/>
                <w:lang w:eastAsia="zh-CN"/>
              </w:rPr>
              <w:t>3</w:t>
            </w:r>
            <w:r>
              <w:rPr>
                <w:rFonts w:hint="default" w:ascii="Times New Roman" w:hAnsi="Times New Roman" w:cs="Times New Roman"/>
                <w:caps w:val="0"/>
                <w:smallCaps w:val="0"/>
                <w:lang w:eastAsia="zh-CN"/>
              </w:rPr>
              <w:t>/h）</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3333</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3252</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3197</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3297</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3356</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3301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378" w:type="pct"/>
            <w:tcBorders>
              <w:top w:val="single" w:color="000000" w:sz="2" w:space="0"/>
              <w:left w:val="single" w:color="000000" w:sz="2" w:space="0"/>
              <w:right w:val="single" w:color="000000" w:sz="2" w:space="0"/>
            </w:tcBorders>
            <w:noWrap w:val="0"/>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eastAsia="zh-CN"/>
              </w:rPr>
              <w:t>非甲烷总烃</w:t>
            </w:r>
          </w:p>
        </w:tc>
        <w:tc>
          <w:tcPr>
            <w:tcW w:w="690"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实测浓度</w:t>
            </w:r>
            <w:r>
              <w:rPr>
                <w:rFonts w:hint="default" w:ascii="Times New Roman" w:hAnsi="Times New Roman" w:cs="Times New Roman"/>
                <w:caps w:val="0"/>
                <w:smallCaps w:val="0"/>
                <w:lang w:eastAsia="zh-CN"/>
              </w:rPr>
              <w:t>（mg/m</w:t>
            </w:r>
            <w:r>
              <w:rPr>
                <w:rFonts w:hint="default" w:ascii="Times New Roman" w:hAnsi="Times New Roman" w:cs="Times New Roman"/>
                <w:caps w:val="0"/>
                <w:smallCaps w:val="0"/>
                <w:vertAlign w:val="superscript"/>
                <w:lang w:eastAsia="zh-CN"/>
              </w:rPr>
              <w:t>3</w:t>
            </w:r>
            <w:r>
              <w:rPr>
                <w:rFonts w:hint="default" w:ascii="Times New Roman" w:hAnsi="Times New Roman" w:cs="Times New Roman"/>
                <w:caps w:val="0"/>
                <w:smallCaps w:val="0"/>
                <w:lang w:eastAsia="zh-CN"/>
              </w:rPr>
              <w:t>）</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8.09</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8.36</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8.16</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8.28</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8.14</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8.14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1069" w:type="pct"/>
            <w:gridSpan w:val="2"/>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标干废气流量（m</w:t>
            </w:r>
            <w:r>
              <w:rPr>
                <w:rFonts w:hint="default" w:ascii="Times New Roman" w:hAnsi="Times New Roman" w:cs="Times New Roman"/>
                <w:caps w:val="0"/>
                <w:smallCaps w:val="0"/>
                <w:vertAlign w:val="superscript"/>
                <w:lang w:eastAsia="zh-CN"/>
              </w:rPr>
              <w:t>3</w:t>
            </w:r>
            <w:r>
              <w:rPr>
                <w:rFonts w:hint="default" w:ascii="Times New Roman" w:hAnsi="Times New Roman" w:cs="Times New Roman"/>
                <w:caps w:val="0"/>
                <w:smallCaps w:val="0"/>
                <w:lang w:eastAsia="zh-CN"/>
              </w:rPr>
              <w:t>/h）</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3252</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3279</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3199</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3271</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3204</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3198</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378"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沥青烟</w:t>
            </w:r>
          </w:p>
        </w:tc>
        <w:tc>
          <w:tcPr>
            <w:tcW w:w="690"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实测浓度</w:t>
            </w:r>
            <w:r>
              <w:rPr>
                <w:rFonts w:hint="default" w:ascii="Times New Roman" w:hAnsi="Times New Roman" w:cs="Times New Roman"/>
                <w:caps w:val="0"/>
                <w:smallCaps w:val="0"/>
                <w:lang w:eastAsia="zh-CN"/>
              </w:rPr>
              <w:t>（mg/m</w:t>
            </w:r>
            <w:r>
              <w:rPr>
                <w:rFonts w:hint="default" w:ascii="Times New Roman" w:hAnsi="Times New Roman" w:cs="Times New Roman"/>
                <w:caps w:val="0"/>
                <w:smallCaps w:val="0"/>
                <w:vertAlign w:val="superscript"/>
                <w:lang w:eastAsia="zh-CN"/>
              </w:rPr>
              <w:t>3</w:t>
            </w:r>
            <w:r>
              <w:rPr>
                <w:rFonts w:hint="default" w:ascii="Times New Roman" w:hAnsi="Times New Roman" w:cs="Times New Roman"/>
                <w:caps w:val="0"/>
                <w:smallCaps w:val="0"/>
                <w:lang w:eastAsia="zh-CN"/>
              </w:rPr>
              <w:t>）</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22.5</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21.0</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23.3</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20.4</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23.1</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20.2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1069" w:type="pct"/>
            <w:gridSpan w:val="2"/>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标干废气流量（m</w:t>
            </w:r>
            <w:r>
              <w:rPr>
                <w:rFonts w:hint="default" w:ascii="Times New Roman" w:hAnsi="Times New Roman" w:cs="Times New Roman"/>
                <w:caps w:val="0"/>
                <w:smallCaps w:val="0"/>
                <w:vertAlign w:val="superscript"/>
                <w:lang w:eastAsia="zh-CN"/>
              </w:rPr>
              <w:t>3</w:t>
            </w:r>
            <w:r>
              <w:rPr>
                <w:rFonts w:hint="default" w:ascii="Times New Roman" w:hAnsi="Times New Roman" w:cs="Times New Roman"/>
                <w:caps w:val="0"/>
                <w:smallCaps w:val="0"/>
                <w:lang w:eastAsia="zh-CN"/>
              </w:rPr>
              <w:t>/h）</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3333</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3496</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3409</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3276</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3295</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9197</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378"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苯并[a]芘</w:t>
            </w:r>
          </w:p>
        </w:tc>
        <w:tc>
          <w:tcPr>
            <w:tcW w:w="690"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实测浓度</w:t>
            </w:r>
            <w:r>
              <w:rPr>
                <w:rFonts w:hint="default" w:ascii="Times New Roman" w:hAnsi="Times New Roman" w:cs="Times New Roman"/>
                <w:caps w:val="0"/>
                <w:smallCaps w:val="0"/>
                <w:lang w:eastAsia="zh-CN"/>
              </w:rPr>
              <w:t>（mg/m</w:t>
            </w:r>
            <w:r>
              <w:rPr>
                <w:rFonts w:hint="default" w:ascii="Times New Roman" w:hAnsi="Times New Roman" w:cs="Times New Roman"/>
                <w:caps w:val="0"/>
                <w:smallCaps w:val="0"/>
                <w:vertAlign w:val="superscript"/>
                <w:lang w:eastAsia="zh-CN"/>
              </w:rPr>
              <w:t>3</w:t>
            </w:r>
            <w:r>
              <w:rPr>
                <w:rFonts w:hint="default" w:ascii="Times New Roman" w:hAnsi="Times New Roman" w:cs="Times New Roman"/>
                <w:caps w:val="0"/>
                <w:smallCaps w:val="0"/>
                <w:lang w:eastAsia="zh-CN"/>
              </w:rPr>
              <w:t>）</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0.42</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0.42</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0.43</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0.41</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0.46</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0.42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restart"/>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有机废气</w:t>
            </w:r>
            <w:r>
              <w:rPr>
                <w:rFonts w:hint="eastAsia" w:ascii="Times New Roman" w:hAnsi="Times New Roman" w:cs="Times New Roman"/>
                <w:caps w:val="0"/>
                <w:smallCaps w:val="0"/>
                <w:lang w:val="en-US" w:eastAsia="zh-CN"/>
              </w:rPr>
              <w:t>30</w:t>
            </w:r>
            <w:r>
              <w:rPr>
                <w:rFonts w:hint="default" w:ascii="Times New Roman" w:hAnsi="Times New Roman" w:cs="Times New Roman"/>
                <w:caps w:val="0"/>
                <w:smallCaps w:val="0"/>
              </w:rPr>
              <w:t>米高排气筒</w:t>
            </w:r>
          </w:p>
        </w:tc>
        <w:tc>
          <w:tcPr>
            <w:tcW w:w="1069" w:type="pct"/>
            <w:gridSpan w:val="2"/>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标干废气流量（m</w:t>
            </w:r>
            <w:r>
              <w:rPr>
                <w:rFonts w:hint="default" w:ascii="Times New Roman" w:hAnsi="Times New Roman" w:cs="Times New Roman"/>
                <w:caps w:val="0"/>
                <w:smallCaps w:val="0"/>
                <w:vertAlign w:val="superscript"/>
                <w:lang w:eastAsia="zh-CN"/>
              </w:rPr>
              <w:t>3</w:t>
            </w:r>
            <w:r>
              <w:rPr>
                <w:rFonts w:hint="default" w:ascii="Times New Roman" w:hAnsi="Times New Roman" w:cs="Times New Roman"/>
                <w:caps w:val="0"/>
                <w:smallCaps w:val="0"/>
                <w:lang w:eastAsia="zh-CN"/>
              </w:rPr>
              <w:t>/h）</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2707</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2805</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2769</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2817</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2797</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2759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378" w:type="pct"/>
            <w:vMerge w:val="restar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eastAsia="zh-CN"/>
              </w:rPr>
              <w:t>非甲烷总烃</w:t>
            </w:r>
          </w:p>
        </w:tc>
        <w:tc>
          <w:tcPr>
            <w:tcW w:w="690"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实测浓度</w:t>
            </w:r>
            <w:r>
              <w:rPr>
                <w:rFonts w:hint="default" w:ascii="Times New Roman" w:hAnsi="Times New Roman" w:cs="Times New Roman"/>
                <w:caps w:val="0"/>
                <w:smallCaps w:val="0"/>
                <w:lang w:eastAsia="zh-CN"/>
              </w:rPr>
              <w:t>（mg/m</w:t>
            </w:r>
            <w:r>
              <w:rPr>
                <w:rFonts w:hint="default" w:ascii="Times New Roman" w:hAnsi="Times New Roman" w:cs="Times New Roman"/>
                <w:caps w:val="0"/>
                <w:smallCaps w:val="0"/>
                <w:vertAlign w:val="superscript"/>
                <w:lang w:eastAsia="zh-CN"/>
              </w:rPr>
              <w:t>3</w:t>
            </w:r>
            <w:r>
              <w:rPr>
                <w:rFonts w:hint="default" w:ascii="Times New Roman" w:hAnsi="Times New Roman" w:cs="Times New Roman"/>
                <w:caps w:val="0"/>
                <w:smallCaps w:val="0"/>
                <w:lang w:eastAsia="zh-CN"/>
              </w:rPr>
              <w:t>）</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5.40</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5.36</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5.37</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5.41</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5.36</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5.44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378" w:type="pct"/>
            <w:vMerge w:val="continue"/>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690"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排放速率</w:t>
            </w:r>
          </w:p>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（kg/h）</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0.0146</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0.0150</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0.0149</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0.0152</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0.0150</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0.0150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1069" w:type="pct"/>
            <w:gridSpan w:val="2"/>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标干废气流量（m</w:t>
            </w:r>
            <w:r>
              <w:rPr>
                <w:rFonts w:hint="default" w:ascii="Times New Roman" w:hAnsi="Times New Roman" w:cs="Times New Roman"/>
                <w:caps w:val="0"/>
                <w:smallCaps w:val="0"/>
                <w:vertAlign w:val="superscript"/>
                <w:lang w:eastAsia="zh-CN"/>
              </w:rPr>
              <w:t>3</w:t>
            </w:r>
            <w:r>
              <w:rPr>
                <w:rFonts w:hint="default" w:ascii="Times New Roman" w:hAnsi="Times New Roman" w:cs="Times New Roman"/>
                <w:caps w:val="0"/>
                <w:smallCaps w:val="0"/>
                <w:lang w:eastAsia="zh-CN"/>
              </w:rPr>
              <w:t>/h）</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2805</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2763</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2849</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2813</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2763</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2786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378" w:type="pct"/>
            <w:vMerge w:val="restar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沥青烟</w:t>
            </w:r>
          </w:p>
        </w:tc>
        <w:tc>
          <w:tcPr>
            <w:tcW w:w="690"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实测浓度</w:t>
            </w:r>
            <w:r>
              <w:rPr>
                <w:rFonts w:hint="default" w:ascii="Times New Roman" w:hAnsi="Times New Roman" w:cs="Times New Roman"/>
                <w:caps w:val="0"/>
                <w:smallCaps w:val="0"/>
                <w:lang w:eastAsia="zh-CN"/>
              </w:rPr>
              <w:t>（mg/m3）</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3.28</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2.02</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4.00</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4.64</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4.28</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3.65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378" w:type="pct"/>
            <w:vMerge w:val="continue"/>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690"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排放速率</w:t>
            </w:r>
          </w:p>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（kg/h）</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0.00920</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0.00558</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0.0114</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0.0131</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0.0118</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0.0102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1069" w:type="pct"/>
            <w:gridSpan w:val="2"/>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标干废气流量（m</w:t>
            </w:r>
            <w:r>
              <w:rPr>
                <w:rFonts w:hint="default" w:ascii="Times New Roman" w:hAnsi="Times New Roman" w:cs="Times New Roman"/>
                <w:caps w:val="0"/>
                <w:smallCaps w:val="0"/>
                <w:lang w:eastAsia="zh-CN"/>
              </w:rPr>
              <w:t>3/h）</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2707</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2649</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2695</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2707</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2693</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2716</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378" w:type="pct"/>
            <w:vMerge w:val="restart"/>
            <w:tcBorders>
              <w:top w:val="single" w:color="000000" w:sz="2" w:space="0"/>
              <w:left w:val="single" w:color="000000" w:sz="2" w:space="0"/>
              <w:right w:val="single" w:color="auto" w:sz="4"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苯并[a]芘</w:t>
            </w:r>
          </w:p>
        </w:tc>
        <w:tc>
          <w:tcPr>
            <w:tcW w:w="690" w:type="pct"/>
            <w:tcBorders>
              <w:top w:val="single" w:color="000000" w:sz="2" w:space="0"/>
              <w:left w:val="single" w:color="auto" w:sz="4"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实测浓度</w:t>
            </w:r>
            <w:r>
              <w:rPr>
                <w:rFonts w:hint="default" w:ascii="Times New Roman" w:hAnsi="Times New Roman" w:cs="Times New Roman"/>
                <w:caps w:val="0"/>
                <w:smallCaps w:val="0"/>
                <w:lang w:eastAsia="zh-CN"/>
              </w:rPr>
              <w:t>（μ</w:t>
            </w:r>
            <w:r>
              <w:rPr>
                <w:rFonts w:hint="eastAsia" w:ascii="Times New Roman" w:hAnsi="Times New Roman" w:cs="Times New Roman"/>
                <w:caps w:val="0"/>
                <w:smallCaps w:val="0"/>
                <w:lang w:val="en-US" w:eastAsia="zh-CN"/>
              </w:rPr>
              <w:t>g</w:t>
            </w:r>
            <w:r>
              <w:rPr>
                <w:rFonts w:hint="default" w:ascii="Times New Roman" w:hAnsi="Times New Roman" w:cs="Times New Roman"/>
                <w:caps w:val="0"/>
                <w:smallCaps w:val="0"/>
                <w:lang w:eastAsia="zh-CN"/>
              </w:rPr>
              <w:t>/m3）</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0.25</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0.25</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0.26</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0.25</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0.25</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0.25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481" w:type="pct"/>
            <w:vMerge w:val="continue"/>
            <w:tcBorders>
              <w:left w:val="single" w:color="000000" w:sz="4" w:space="0"/>
              <w:right w:val="single" w:color="000000" w:sz="2" w:space="0"/>
            </w:tcBorders>
            <w:noWrap w:val="0"/>
            <w:vAlign w:val="center"/>
          </w:tcPr>
          <w:p>
            <w:pPr>
              <w:pStyle w:val="117"/>
              <w:bidi w:val="0"/>
              <w:rPr>
                <w:rFonts w:hint="default" w:ascii="Times New Roman" w:hAnsi="Times New Roman" w:cs="Times New Roman"/>
                <w:caps w:val="0"/>
                <w:smallCaps w:val="0"/>
              </w:rPr>
            </w:pPr>
          </w:p>
        </w:tc>
        <w:tc>
          <w:tcPr>
            <w:tcW w:w="378" w:type="pct"/>
            <w:vMerge w:val="continue"/>
            <w:tcBorders>
              <w:left w:val="single" w:color="000000" w:sz="2" w:space="0"/>
              <w:right w:val="single" w:color="auto" w:sz="4" w:space="0"/>
            </w:tcBorders>
            <w:noWrap w:val="0"/>
            <w:vAlign w:val="center"/>
          </w:tcPr>
          <w:p>
            <w:pPr>
              <w:pStyle w:val="117"/>
              <w:bidi w:val="0"/>
              <w:rPr>
                <w:rFonts w:hint="default" w:ascii="Times New Roman" w:hAnsi="Times New Roman" w:cs="Times New Roman"/>
                <w:caps w:val="0"/>
                <w:smallCaps w:val="0"/>
              </w:rPr>
            </w:pPr>
          </w:p>
        </w:tc>
        <w:tc>
          <w:tcPr>
            <w:tcW w:w="690" w:type="pct"/>
            <w:tcBorders>
              <w:top w:val="single" w:color="000000" w:sz="2" w:space="0"/>
              <w:left w:val="single" w:color="auto" w:sz="4"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排放速率</w:t>
            </w:r>
          </w:p>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（kg/h）</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spacing w:val="-11"/>
                <w:sz w:val="21"/>
              </w:rPr>
            </w:pPr>
            <w:r>
              <w:rPr>
                <w:rFonts w:hint="default" w:ascii="Times New Roman" w:hAnsi="Times New Roman" w:cs="Times New Roman"/>
                <w:caps w:val="0"/>
                <w:smallCaps w:val="0"/>
                <w:spacing w:val="-11"/>
                <w:sz w:val="21"/>
              </w:rPr>
              <w:t>6.77×10</w:t>
            </w:r>
            <w:r>
              <w:rPr>
                <w:rFonts w:hint="default" w:ascii="Times New Roman" w:hAnsi="Times New Roman" w:cs="Times New Roman"/>
                <w:caps w:val="0"/>
                <w:smallCaps w:val="0"/>
                <w:spacing w:val="-11"/>
                <w:sz w:val="21"/>
                <w:vertAlign w:val="superscript"/>
              </w:rPr>
              <w:t>-</w:t>
            </w:r>
            <w:r>
              <w:rPr>
                <w:rFonts w:hint="eastAsia" w:ascii="Times New Roman" w:hAnsi="Times New Roman" w:cs="Times New Roman"/>
                <w:caps w:val="0"/>
                <w:smallCaps w:val="0"/>
                <w:spacing w:val="-11"/>
                <w:sz w:val="21"/>
                <w:vertAlign w:val="superscript"/>
                <w:lang w:val="en-US" w:eastAsia="zh-CN"/>
              </w:rPr>
              <w:t xml:space="preserve"> </w:t>
            </w:r>
            <w:r>
              <w:rPr>
                <w:rFonts w:hint="default" w:ascii="Times New Roman" w:hAnsi="Times New Roman" w:cs="Times New Roman"/>
                <w:caps w:val="0"/>
                <w:smallCaps w:val="0"/>
                <w:spacing w:val="-11"/>
                <w:sz w:val="21"/>
                <w:vertAlign w:val="superscript"/>
              </w:rPr>
              <w:t>4</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spacing w:val="-11"/>
                <w:sz w:val="21"/>
              </w:rPr>
            </w:pPr>
            <w:r>
              <w:rPr>
                <w:rFonts w:hint="default" w:ascii="Times New Roman" w:hAnsi="Times New Roman" w:cs="Times New Roman"/>
                <w:caps w:val="0"/>
                <w:smallCaps w:val="0"/>
                <w:spacing w:val="-11"/>
                <w:sz w:val="21"/>
              </w:rPr>
              <w:t>6.62×10</w:t>
            </w:r>
            <w:r>
              <w:rPr>
                <w:rFonts w:hint="default" w:ascii="Times New Roman" w:hAnsi="Times New Roman" w:cs="Times New Roman"/>
                <w:caps w:val="0"/>
                <w:smallCaps w:val="0"/>
                <w:spacing w:val="-11"/>
                <w:sz w:val="21"/>
                <w:vertAlign w:val="superscript"/>
              </w:rPr>
              <w:t>-</w:t>
            </w:r>
            <w:r>
              <w:rPr>
                <w:rFonts w:hint="eastAsia" w:ascii="Times New Roman" w:hAnsi="Times New Roman" w:cs="Times New Roman"/>
                <w:caps w:val="0"/>
                <w:smallCaps w:val="0"/>
                <w:spacing w:val="-11"/>
                <w:sz w:val="21"/>
                <w:vertAlign w:val="superscript"/>
                <w:lang w:val="en-US" w:eastAsia="zh-CN"/>
              </w:rPr>
              <w:t xml:space="preserve"> </w:t>
            </w:r>
            <w:r>
              <w:rPr>
                <w:rFonts w:hint="default" w:ascii="Times New Roman" w:hAnsi="Times New Roman" w:cs="Times New Roman"/>
                <w:caps w:val="0"/>
                <w:smallCaps w:val="0"/>
                <w:spacing w:val="-11"/>
                <w:sz w:val="21"/>
                <w:vertAlign w:val="superscript"/>
              </w:rPr>
              <w:t>4</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spacing w:val="-11"/>
                <w:sz w:val="21"/>
              </w:rPr>
            </w:pPr>
            <w:r>
              <w:rPr>
                <w:rFonts w:hint="default" w:ascii="Times New Roman" w:hAnsi="Times New Roman" w:cs="Times New Roman"/>
                <w:caps w:val="0"/>
                <w:smallCaps w:val="0"/>
                <w:spacing w:val="-11"/>
                <w:sz w:val="21"/>
              </w:rPr>
              <w:t>7.01×10</w:t>
            </w:r>
            <w:r>
              <w:rPr>
                <w:rFonts w:hint="default" w:ascii="Times New Roman" w:hAnsi="Times New Roman" w:cs="Times New Roman"/>
                <w:caps w:val="0"/>
                <w:smallCaps w:val="0"/>
                <w:spacing w:val="-11"/>
                <w:sz w:val="21"/>
                <w:vertAlign w:val="superscript"/>
              </w:rPr>
              <w:t>-</w:t>
            </w:r>
            <w:r>
              <w:rPr>
                <w:rFonts w:hint="eastAsia" w:ascii="Times New Roman" w:hAnsi="Times New Roman" w:cs="Times New Roman"/>
                <w:caps w:val="0"/>
                <w:smallCaps w:val="0"/>
                <w:spacing w:val="-11"/>
                <w:sz w:val="21"/>
                <w:vertAlign w:val="superscript"/>
                <w:lang w:val="en-US" w:eastAsia="zh-CN"/>
              </w:rPr>
              <w:t xml:space="preserve"> </w:t>
            </w:r>
            <w:r>
              <w:rPr>
                <w:rFonts w:hint="default" w:ascii="Times New Roman" w:hAnsi="Times New Roman" w:cs="Times New Roman"/>
                <w:caps w:val="0"/>
                <w:smallCaps w:val="0"/>
                <w:spacing w:val="-11"/>
                <w:sz w:val="21"/>
                <w:vertAlign w:val="superscript"/>
              </w:rPr>
              <w:t>4</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spacing w:val="-11"/>
                <w:sz w:val="21"/>
              </w:rPr>
            </w:pPr>
            <w:r>
              <w:rPr>
                <w:rFonts w:hint="default" w:ascii="Times New Roman" w:hAnsi="Times New Roman" w:cs="Times New Roman"/>
                <w:caps w:val="0"/>
                <w:smallCaps w:val="0"/>
                <w:spacing w:val="-11"/>
                <w:sz w:val="21"/>
              </w:rPr>
              <w:t>6.77×10</w:t>
            </w:r>
            <w:r>
              <w:rPr>
                <w:rFonts w:hint="default" w:ascii="Times New Roman" w:hAnsi="Times New Roman" w:cs="Times New Roman"/>
                <w:caps w:val="0"/>
                <w:smallCaps w:val="0"/>
                <w:spacing w:val="-11"/>
                <w:sz w:val="21"/>
                <w:vertAlign w:val="superscript"/>
              </w:rPr>
              <w:t>-4</w:t>
            </w:r>
          </w:p>
        </w:tc>
        <w:tc>
          <w:tcPr>
            <w:tcW w:w="574"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spacing w:val="-11"/>
                <w:sz w:val="21"/>
              </w:rPr>
            </w:pPr>
            <w:r>
              <w:rPr>
                <w:rFonts w:hint="default" w:ascii="Times New Roman" w:hAnsi="Times New Roman" w:cs="Times New Roman"/>
                <w:caps w:val="0"/>
                <w:smallCaps w:val="0"/>
                <w:spacing w:val="-11"/>
                <w:sz w:val="21"/>
              </w:rPr>
              <w:t>6.73×10</w:t>
            </w:r>
            <w:r>
              <w:rPr>
                <w:rFonts w:hint="default" w:ascii="Times New Roman" w:hAnsi="Times New Roman" w:cs="Times New Roman"/>
                <w:caps w:val="0"/>
                <w:smallCaps w:val="0"/>
                <w:spacing w:val="-11"/>
                <w:sz w:val="21"/>
                <w:vertAlign w:val="superscript"/>
              </w:rPr>
              <w:t>-</w:t>
            </w:r>
            <w:r>
              <w:rPr>
                <w:rFonts w:hint="eastAsia" w:ascii="Times New Roman" w:hAnsi="Times New Roman" w:cs="Times New Roman"/>
                <w:caps w:val="0"/>
                <w:smallCaps w:val="0"/>
                <w:spacing w:val="-11"/>
                <w:sz w:val="21"/>
                <w:vertAlign w:val="superscript"/>
                <w:lang w:val="en-US" w:eastAsia="zh-CN"/>
              </w:rPr>
              <w:t xml:space="preserve"> </w:t>
            </w:r>
            <w:r>
              <w:rPr>
                <w:rFonts w:hint="default" w:ascii="Times New Roman" w:hAnsi="Times New Roman" w:cs="Times New Roman"/>
                <w:caps w:val="0"/>
                <w:smallCaps w:val="0"/>
                <w:spacing w:val="-11"/>
                <w:sz w:val="21"/>
                <w:vertAlign w:val="superscript"/>
              </w:rPr>
              <w:t>4</w:t>
            </w:r>
          </w:p>
        </w:tc>
        <w:tc>
          <w:tcPr>
            <w:tcW w:w="577" w:type="pct"/>
            <w:tcBorders>
              <w:top w:val="single" w:color="000000" w:sz="2" w:space="0"/>
              <w:left w:val="single" w:color="000000" w:sz="2" w:space="0"/>
              <w:bottom w:val="single" w:color="000000" w:sz="2" w:space="0"/>
              <w:right w:val="single" w:color="000000" w:sz="2" w:space="0"/>
            </w:tcBorders>
            <w:noWrap w:val="0"/>
            <w:vAlign w:val="center"/>
          </w:tcPr>
          <w:p>
            <w:pPr>
              <w:pStyle w:val="117"/>
              <w:bidi w:val="0"/>
              <w:rPr>
                <w:rFonts w:hint="default" w:ascii="Times New Roman" w:hAnsi="Times New Roman" w:cs="Times New Roman"/>
                <w:caps w:val="0"/>
                <w:smallCaps w:val="0"/>
                <w:spacing w:val="-11"/>
                <w:sz w:val="21"/>
              </w:rPr>
            </w:pPr>
            <w:r>
              <w:rPr>
                <w:rFonts w:hint="default" w:ascii="Times New Roman" w:hAnsi="Times New Roman" w:cs="Times New Roman"/>
                <w:caps w:val="0"/>
                <w:smallCaps w:val="0"/>
                <w:spacing w:val="-11"/>
                <w:sz w:val="21"/>
              </w:rPr>
              <w:t>6.79×10</w:t>
            </w:r>
            <w:r>
              <w:rPr>
                <w:rFonts w:hint="default" w:ascii="Times New Roman" w:hAnsi="Times New Roman" w:cs="Times New Roman"/>
                <w:caps w:val="0"/>
                <w:smallCaps w:val="0"/>
                <w:spacing w:val="-11"/>
                <w:sz w:val="21"/>
                <w:vertAlign w:val="superscript"/>
              </w:rPr>
              <w:t>-</w:t>
            </w:r>
            <w:r>
              <w:rPr>
                <w:rFonts w:hint="eastAsia" w:ascii="Times New Roman" w:hAnsi="Times New Roman" w:cs="Times New Roman"/>
                <w:caps w:val="0"/>
                <w:smallCaps w:val="0"/>
                <w:spacing w:val="-11"/>
                <w:sz w:val="21"/>
                <w:vertAlign w:val="superscript"/>
                <w:lang w:val="en-US" w:eastAsia="zh-CN"/>
              </w:rPr>
              <w:t xml:space="preserve"> </w:t>
            </w:r>
            <w:r>
              <w:rPr>
                <w:rFonts w:hint="default" w:ascii="Times New Roman" w:hAnsi="Times New Roman" w:cs="Times New Roman"/>
                <w:caps w:val="0"/>
                <w:smallCaps w:val="0"/>
                <w:spacing w:val="-11"/>
                <w:sz w:val="21"/>
                <w:vertAlign w:val="superscript"/>
              </w:rPr>
              <w:t>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15" w:type="dxa"/>
            <w:left w:w="15" w:type="dxa"/>
            <w:bottom w:w="15" w:type="dxa"/>
            <w:right w:w="15" w:type="dxa"/>
          </w:tblCellMar>
        </w:tblPrEx>
        <w:trPr>
          <w:trHeight w:val="397" w:hRule="atLeast"/>
          <w:jc w:val="center"/>
        </w:trPr>
        <w:tc>
          <w:tcPr>
            <w:tcW w:w="5000" w:type="pct"/>
            <w:gridSpan w:val="9"/>
            <w:tcBorders>
              <w:top w:val="single" w:color="000000" w:sz="2" w:space="0"/>
              <w:left w:val="single" w:color="000000" w:sz="4" w:space="0"/>
              <w:bottom w:val="single" w:color="000000" w:sz="2" w:space="0"/>
              <w:right w:val="single" w:color="000000" w:sz="2" w:space="0"/>
            </w:tcBorders>
            <w:noWrap w:val="0"/>
            <w:vAlign w:val="center"/>
          </w:tcPr>
          <w:p>
            <w:pPr>
              <w:pStyle w:val="117"/>
              <w:bidi w:val="0"/>
              <w:jc w:val="both"/>
              <w:rPr>
                <w:rFonts w:hint="eastAsia" w:ascii="Times New Roman" w:hAnsi="Times New Roman" w:eastAsia="宋体" w:cs="Times New Roman"/>
                <w:caps w:val="0"/>
                <w:smallCaps w:val="0"/>
                <w:lang w:eastAsia="zh-CN"/>
              </w:rPr>
            </w:pPr>
            <w:r>
              <w:rPr>
                <w:rFonts w:hint="default" w:ascii="Times New Roman" w:hAnsi="Times New Roman" w:cs="Times New Roman"/>
                <w:caps w:val="0"/>
                <w:smallCaps w:val="0"/>
              </w:rPr>
              <w:t>备注：1、</w:t>
            </w:r>
            <w:r>
              <w:rPr>
                <w:rFonts w:hint="eastAsia" w:ascii="Times New Roman" w:hAnsi="Times New Roman" w:cs="Times New Roman"/>
                <w:caps w:val="0"/>
                <w:smallCaps w:val="0"/>
                <w:lang w:eastAsia="zh-CN"/>
              </w:rPr>
              <w:t>非甲烷总烃、</w:t>
            </w:r>
            <w:r>
              <w:rPr>
                <w:rFonts w:hint="default" w:ascii="Times New Roman" w:hAnsi="Times New Roman" w:cs="Times New Roman"/>
                <w:caps w:val="0"/>
                <w:smallCaps w:val="0"/>
              </w:rPr>
              <w:t>沥青烟、苯并[a]芘</w:t>
            </w:r>
            <w:r>
              <w:rPr>
                <w:rFonts w:hint="eastAsia" w:ascii="Times New Roman" w:hAnsi="Times New Roman" w:cs="Times New Roman"/>
                <w:caps w:val="0"/>
                <w:smallCaps w:val="0"/>
                <w:lang w:eastAsia="zh-CN"/>
              </w:rPr>
              <w:t>执行</w:t>
            </w:r>
            <w:r>
              <w:rPr>
                <w:rFonts w:hint="default" w:ascii="Times New Roman" w:hAnsi="Times New Roman" w:cs="Times New Roman"/>
                <w:caps w:val="0"/>
                <w:smallCaps w:val="0"/>
              </w:rPr>
              <w:t>《大气污染物综合排放标准》（GB 16297-1996）表2中二级标准浓度限值</w:t>
            </w:r>
            <w:r>
              <w:rPr>
                <w:rFonts w:hint="eastAsia" w:ascii="Times New Roman" w:hAnsi="Times New Roman" w:cs="Times New Roman"/>
                <w:caps w:val="0"/>
                <w:smallCaps w:val="0"/>
                <w:lang w:eastAsia="zh-CN"/>
              </w:rPr>
              <w:t>。</w:t>
            </w:r>
          </w:p>
        </w:tc>
      </w:tr>
    </w:tbl>
    <w:p>
      <w:pPr>
        <w:spacing w:line="360" w:lineRule="auto"/>
        <w:ind w:firstLine="480"/>
        <w:jc w:val="both"/>
        <w:rPr>
          <w:rFonts w:hint="default" w:ascii="Times New Roman" w:hAnsi="Times New Roman" w:eastAsia="宋体" w:cs="Times New Roman"/>
          <w:caps w:val="0"/>
          <w:smallCaps w:val="0"/>
          <w:snapToGrid w:val="0"/>
          <w:color w:val="000000"/>
          <w:kern w:val="0"/>
          <w:sz w:val="24"/>
          <w:szCs w:val="24"/>
          <w:lang w:val="en-US" w:eastAsia="zh-CN"/>
        </w:rPr>
      </w:pPr>
      <w:r>
        <w:rPr>
          <w:rFonts w:hint="default" w:ascii="Times New Roman" w:hAnsi="Times New Roman" w:eastAsia="宋体" w:cs="Times New Roman"/>
          <w:caps w:val="0"/>
          <w:smallCaps w:val="0"/>
          <w:snapToGrid w:val="0"/>
          <w:color w:val="000000"/>
          <w:kern w:val="0"/>
          <w:sz w:val="24"/>
          <w:szCs w:val="24"/>
          <w:lang w:val="en-US" w:eastAsia="zh-CN"/>
        </w:rPr>
        <w:t>表</w:t>
      </w:r>
      <w:r>
        <w:rPr>
          <w:rFonts w:hint="eastAsia" w:ascii="Times New Roman" w:hAnsi="Times New Roman" w:cs="Times New Roman"/>
          <w:b w:val="0"/>
          <w:bCs w:val="0"/>
          <w:caps w:val="0"/>
          <w:smallCaps w:val="0"/>
          <w:sz w:val="24"/>
          <w:szCs w:val="24"/>
          <w:lang w:val="en-US" w:eastAsia="zh-CN"/>
        </w:rPr>
        <w:t>3.</w:t>
      </w:r>
      <w:r>
        <w:rPr>
          <w:rFonts w:hint="eastAsia" w:cs="Times New Roman"/>
          <w:b w:val="0"/>
          <w:bCs w:val="0"/>
          <w:caps w:val="0"/>
          <w:smallCaps w:val="0"/>
          <w:sz w:val="24"/>
          <w:szCs w:val="24"/>
          <w:lang w:val="en-US" w:eastAsia="zh-CN"/>
        </w:rPr>
        <w:t>4</w:t>
      </w:r>
      <w:r>
        <w:rPr>
          <w:rFonts w:hint="eastAsia" w:ascii="Times New Roman" w:hAnsi="Times New Roman" w:cs="Times New Roman"/>
          <w:b w:val="0"/>
          <w:bCs w:val="0"/>
          <w:caps w:val="0"/>
          <w:smallCaps w:val="0"/>
          <w:sz w:val="24"/>
          <w:szCs w:val="24"/>
          <w:lang w:val="en-US" w:eastAsia="zh-CN"/>
        </w:rPr>
        <w:t>-2</w:t>
      </w:r>
      <w:r>
        <w:rPr>
          <w:rFonts w:hint="default" w:ascii="Times New Roman" w:hAnsi="Times New Roman" w:eastAsia="宋体" w:cs="Times New Roman"/>
          <w:caps w:val="0"/>
          <w:smallCaps w:val="0"/>
          <w:snapToGrid w:val="0"/>
          <w:color w:val="000000"/>
          <w:kern w:val="0"/>
          <w:sz w:val="24"/>
          <w:szCs w:val="24"/>
          <w:lang w:val="en-US" w:eastAsia="zh-CN"/>
        </w:rPr>
        <w:t>监测结果表明，项目</w:t>
      </w:r>
      <w:r>
        <w:rPr>
          <w:rFonts w:hint="eastAsia" w:ascii="Times New Roman" w:hAnsi="Times New Roman" w:cs="Times New Roman"/>
          <w:caps w:val="0"/>
          <w:smallCaps w:val="0"/>
          <w:snapToGrid w:val="0"/>
          <w:color w:val="000000"/>
          <w:kern w:val="0"/>
          <w:sz w:val="24"/>
          <w:szCs w:val="24"/>
          <w:lang w:val="en-US" w:eastAsia="zh-CN"/>
        </w:rPr>
        <w:t>沥青有机</w:t>
      </w:r>
      <w:r>
        <w:rPr>
          <w:rFonts w:hint="default" w:ascii="Times New Roman" w:hAnsi="Times New Roman" w:eastAsia="宋体" w:cs="Times New Roman"/>
          <w:caps w:val="0"/>
          <w:smallCaps w:val="0"/>
          <w:snapToGrid w:val="0"/>
          <w:color w:val="000000"/>
          <w:kern w:val="0"/>
          <w:sz w:val="24"/>
          <w:szCs w:val="24"/>
          <w:lang w:val="en-US" w:eastAsia="zh-CN"/>
        </w:rPr>
        <w:t>废气处理设施出口测得</w:t>
      </w:r>
      <w:r>
        <w:rPr>
          <w:rFonts w:hint="eastAsia" w:ascii="Times New Roman" w:hAnsi="Times New Roman" w:cs="Times New Roman"/>
          <w:caps w:val="0"/>
          <w:smallCaps w:val="0"/>
          <w:snapToGrid w:val="0"/>
          <w:color w:val="000000"/>
          <w:kern w:val="0"/>
          <w:sz w:val="24"/>
          <w:szCs w:val="24"/>
          <w:lang w:val="en-US" w:eastAsia="zh-CN"/>
        </w:rPr>
        <w:t>非甲烷总烃</w:t>
      </w:r>
      <w:r>
        <w:rPr>
          <w:rFonts w:hint="default" w:ascii="Times New Roman" w:hAnsi="Times New Roman" w:eastAsia="宋体" w:cs="Times New Roman"/>
          <w:caps w:val="0"/>
          <w:smallCaps w:val="0"/>
          <w:snapToGrid w:val="0"/>
          <w:color w:val="000000"/>
          <w:kern w:val="0"/>
          <w:sz w:val="24"/>
          <w:szCs w:val="24"/>
          <w:lang w:val="en-US" w:eastAsia="zh-CN"/>
        </w:rPr>
        <w:t>浓度为</w:t>
      </w:r>
      <w:r>
        <w:rPr>
          <w:rFonts w:hint="eastAsia" w:ascii="Times New Roman" w:hAnsi="Times New Roman" w:cs="Times New Roman"/>
          <w:caps w:val="0"/>
          <w:smallCaps w:val="0"/>
          <w:snapToGrid w:val="0"/>
          <w:color w:val="000000"/>
          <w:kern w:val="0"/>
          <w:sz w:val="24"/>
          <w:szCs w:val="24"/>
          <w:lang w:val="en-US" w:eastAsia="zh-CN"/>
        </w:rPr>
        <w:t>5.36</w:t>
      </w:r>
      <w:r>
        <w:rPr>
          <w:rFonts w:hint="default" w:ascii="Times New Roman" w:hAnsi="Times New Roman" w:eastAsia="宋体" w:cs="Times New Roman"/>
          <w:caps w:val="0"/>
          <w:smallCaps w:val="0"/>
          <w:snapToGrid w:val="0"/>
          <w:color w:val="000000"/>
          <w:kern w:val="0"/>
          <w:sz w:val="24"/>
          <w:szCs w:val="24"/>
          <w:lang w:val="en-US" w:eastAsia="zh-CN"/>
        </w:rPr>
        <w:t>~</w:t>
      </w:r>
      <w:r>
        <w:rPr>
          <w:rFonts w:hint="eastAsia" w:ascii="Times New Roman" w:hAnsi="Times New Roman" w:cs="Times New Roman"/>
          <w:caps w:val="0"/>
          <w:smallCaps w:val="0"/>
          <w:snapToGrid w:val="0"/>
          <w:color w:val="000000"/>
          <w:kern w:val="0"/>
          <w:sz w:val="24"/>
          <w:szCs w:val="24"/>
          <w:lang w:val="en-US" w:eastAsia="zh-CN"/>
        </w:rPr>
        <w:t>5.4</w:t>
      </w:r>
      <w:r>
        <w:rPr>
          <w:rFonts w:hint="default" w:ascii="Times New Roman" w:hAnsi="Times New Roman" w:eastAsia="宋体" w:cs="Times New Roman"/>
          <w:caps w:val="0"/>
          <w:smallCaps w:val="0"/>
          <w:snapToGrid w:val="0"/>
          <w:color w:val="000000"/>
          <w:kern w:val="0"/>
          <w:sz w:val="24"/>
          <w:szCs w:val="24"/>
          <w:lang w:val="en-US" w:eastAsia="zh-CN"/>
        </w:rPr>
        <w:t>4mg/m</w:t>
      </w:r>
      <w:r>
        <w:rPr>
          <w:rFonts w:hint="default" w:ascii="Times New Roman" w:hAnsi="Times New Roman" w:eastAsia="宋体" w:cs="Times New Roman"/>
          <w:caps w:val="0"/>
          <w:smallCaps w:val="0"/>
          <w:snapToGrid w:val="0"/>
          <w:color w:val="000000"/>
          <w:kern w:val="0"/>
          <w:sz w:val="24"/>
          <w:szCs w:val="24"/>
          <w:vertAlign w:val="superscript"/>
          <w:lang w:val="en-US" w:eastAsia="zh-CN"/>
        </w:rPr>
        <w:t>3</w:t>
      </w:r>
      <w:r>
        <w:rPr>
          <w:rFonts w:hint="default" w:ascii="Times New Roman" w:hAnsi="Times New Roman" w:eastAsia="宋体" w:cs="Times New Roman"/>
          <w:caps w:val="0"/>
          <w:smallCaps w:val="0"/>
          <w:snapToGrid w:val="0"/>
          <w:color w:val="000000"/>
          <w:kern w:val="0"/>
          <w:sz w:val="24"/>
          <w:szCs w:val="24"/>
          <w:lang w:val="en-US" w:eastAsia="zh-CN"/>
        </w:rPr>
        <w:t>，</w:t>
      </w:r>
      <w:r>
        <w:rPr>
          <w:rFonts w:hint="eastAsia" w:ascii="Times New Roman" w:hAnsi="Times New Roman" w:cs="Times New Roman"/>
          <w:caps w:val="0"/>
          <w:smallCaps w:val="0"/>
          <w:snapToGrid w:val="0"/>
          <w:color w:val="000000"/>
          <w:kern w:val="0"/>
          <w:sz w:val="24"/>
          <w:szCs w:val="24"/>
          <w:lang w:val="en-US" w:eastAsia="zh-CN"/>
        </w:rPr>
        <w:t>沥青烟</w:t>
      </w:r>
      <w:r>
        <w:rPr>
          <w:rFonts w:hint="default" w:ascii="Times New Roman" w:hAnsi="Times New Roman" w:eastAsia="宋体" w:cs="Times New Roman"/>
          <w:caps w:val="0"/>
          <w:smallCaps w:val="0"/>
          <w:snapToGrid w:val="0"/>
          <w:color w:val="000000"/>
          <w:kern w:val="0"/>
          <w:sz w:val="24"/>
          <w:szCs w:val="24"/>
          <w:lang w:val="en-US" w:eastAsia="zh-CN"/>
        </w:rPr>
        <w:t>浓度为</w:t>
      </w:r>
      <w:r>
        <w:rPr>
          <w:rFonts w:hint="eastAsia" w:ascii="Times New Roman" w:hAnsi="Times New Roman" w:cs="Times New Roman"/>
          <w:caps w:val="0"/>
          <w:smallCaps w:val="0"/>
          <w:snapToGrid w:val="0"/>
          <w:color w:val="000000"/>
          <w:kern w:val="0"/>
          <w:sz w:val="24"/>
          <w:szCs w:val="24"/>
          <w:lang w:val="en-US" w:eastAsia="zh-CN"/>
        </w:rPr>
        <w:t>2.02</w:t>
      </w:r>
      <w:r>
        <w:rPr>
          <w:rFonts w:hint="default" w:ascii="Times New Roman" w:hAnsi="Times New Roman" w:eastAsia="宋体" w:cs="Times New Roman"/>
          <w:caps w:val="0"/>
          <w:smallCaps w:val="0"/>
          <w:snapToGrid w:val="0"/>
          <w:color w:val="000000"/>
          <w:kern w:val="0"/>
          <w:sz w:val="24"/>
          <w:szCs w:val="24"/>
          <w:lang w:val="en-US" w:eastAsia="zh-CN"/>
        </w:rPr>
        <w:t>~</w:t>
      </w:r>
      <w:r>
        <w:rPr>
          <w:rFonts w:hint="eastAsia" w:ascii="Times New Roman" w:hAnsi="Times New Roman" w:cs="Times New Roman"/>
          <w:caps w:val="0"/>
          <w:smallCaps w:val="0"/>
          <w:snapToGrid w:val="0"/>
          <w:color w:val="000000"/>
          <w:kern w:val="0"/>
          <w:sz w:val="24"/>
          <w:szCs w:val="24"/>
          <w:lang w:val="en-US" w:eastAsia="zh-CN"/>
        </w:rPr>
        <w:t>4.6</w:t>
      </w:r>
      <w:r>
        <w:rPr>
          <w:rFonts w:hint="default" w:ascii="Times New Roman" w:hAnsi="Times New Roman" w:eastAsia="宋体" w:cs="Times New Roman"/>
          <w:caps w:val="0"/>
          <w:smallCaps w:val="0"/>
          <w:snapToGrid w:val="0"/>
          <w:color w:val="000000"/>
          <w:kern w:val="0"/>
          <w:sz w:val="24"/>
          <w:szCs w:val="24"/>
          <w:lang w:val="en-US" w:eastAsia="zh-CN"/>
        </w:rPr>
        <w:t>4mg/m</w:t>
      </w:r>
      <w:r>
        <w:rPr>
          <w:rFonts w:hint="default" w:ascii="Times New Roman" w:hAnsi="Times New Roman" w:eastAsia="宋体" w:cs="Times New Roman"/>
          <w:caps w:val="0"/>
          <w:smallCaps w:val="0"/>
          <w:snapToGrid w:val="0"/>
          <w:color w:val="000000"/>
          <w:kern w:val="0"/>
          <w:sz w:val="24"/>
          <w:szCs w:val="24"/>
          <w:vertAlign w:val="superscript"/>
          <w:lang w:val="en-US" w:eastAsia="zh-CN"/>
        </w:rPr>
        <w:t>3</w:t>
      </w:r>
      <w:r>
        <w:rPr>
          <w:rFonts w:hint="default" w:ascii="Times New Roman" w:hAnsi="Times New Roman" w:eastAsia="宋体" w:cs="Times New Roman"/>
          <w:caps w:val="0"/>
          <w:smallCaps w:val="0"/>
          <w:snapToGrid w:val="0"/>
          <w:color w:val="000000"/>
          <w:kern w:val="0"/>
          <w:sz w:val="24"/>
          <w:szCs w:val="24"/>
          <w:lang w:val="en-US" w:eastAsia="zh-CN"/>
        </w:rPr>
        <w:t>，</w:t>
      </w:r>
      <w:r>
        <w:rPr>
          <w:rFonts w:hint="default" w:ascii="Times New Roman" w:hAnsi="Times New Roman" w:cs="Times New Roman"/>
          <w:b w:val="0"/>
          <w:bCs/>
          <w:caps w:val="0"/>
          <w:smallCaps w:val="0"/>
          <w:sz w:val="24"/>
          <w:szCs w:val="24"/>
        </w:rPr>
        <w:t>苯并[a]芘</w:t>
      </w:r>
      <w:r>
        <w:rPr>
          <w:rFonts w:hint="default" w:ascii="Times New Roman" w:hAnsi="Times New Roman" w:eastAsia="宋体" w:cs="Times New Roman"/>
          <w:caps w:val="0"/>
          <w:smallCaps w:val="0"/>
          <w:snapToGrid w:val="0"/>
          <w:color w:val="000000"/>
          <w:kern w:val="0"/>
          <w:sz w:val="24"/>
          <w:szCs w:val="24"/>
          <w:lang w:val="en-US" w:eastAsia="zh-CN"/>
        </w:rPr>
        <w:t>浓度为</w:t>
      </w:r>
      <w:r>
        <w:rPr>
          <w:rFonts w:hint="eastAsia" w:ascii="Times New Roman" w:hAnsi="Times New Roman" w:cs="Times New Roman"/>
          <w:caps w:val="0"/>
          <w:smallCaps w:val="0"/>
          <w:snapToGrid w:val="0"/>
          <w:color w:val="000000"/>
          <w:kern w:val="0"/>
          <w:sz w:val="24"/>
          <w:szCs w:val="24"/>
          <w:lang w:val="en-US" w:eastAsia="zh-CN"/>
        </w:rPr>
        <w:t>0.25</w:t>
      </w:r>
      <w:r>
        <w:rPr>
          <w:rFonts w:hint="default" w:ascii="Times New Roman" w:hAnsi="Times New Roman" w:eastAsia="宋体" w:cs="Times New Roman"/>
          <w:caps w:val="0"/>
          <w:smallCaps w:val="0"/>
          <w:snapToGrid w:val="0"/>
          <w:color w:val="000000"/>
          <w:kern w:val="0"/>
          <w:sz w:val="24"/>
          <w:szCs w:val="24"/>
          <w:lang w:val="en-US" w:eastAsia="zh-CN"/>
        </w:rPr>
        <w:t>~</w:t>
      </w:r>
      <w:r>
        <w:rPr>
          <w:rFonts w:hint="eastAsia" w:ascii="Times New Roman" w:hAnsi="Times New Roman" w:cs="Times New Roman"/>
          <w:caps w:val="0"/>
          <w:smallCaps w:val="0"/>
          <w:snapToGrid w:val="0"/>
          <w:color w:val="000000"/>
          <w:kern w:val="0"/>
          <w:sz w:val="24"/>
          <w:szCs w:val="24"/>
          <w:lang w:val="en-US" w:eastAsia="zh-CN"/>
        </w:rPr>
        <w:t>0.26</w:t>
      </w:r>
      <w:r>
        <w:rPr>
          <w:rStyle w:val="642"/>
          <w:rFonts w:hint="default" w:ascii="Times New Roman" w:hAnsi="Times New Roman" w:eastAsia="宋体" w:cs="Times New Roman"/>
          <w:b w:val="0"/>
          <w:bCs/>
          <w:caps w:val="0"/>
          <w:smallCaps w:val="0"/>
          <w:color w:val="auto"/>
          <w:sz w:val="24"/>
          <w:szCs w:val="24"/>
          <w:lang w:eastAsia="zh-CN" w:bidi="ar"/>
        </w:rPr>
        <w:t>μ</w:t>
      </w:r>
      <w:r>
        <w:rPr>
          <w:rStyle w:val="642"/>
          <w:rFonts w:hint="eastAsia" w:ascii="Times New Roman" w:hAnsi="Times New Roman" w:eastAsia="宋体" w:cs="Times New Roman"/>
          <w:b w:val="0"/>
          <w:bCs/>
          <w:caps w:val="0"/>
          <w:smallCaps w:val="0"/>
          <w:color w:val="auto"/>
          <w:sz w:val="24"/>
          <w:szCs w:val="24"/>
          <w:lang w:val="en-US" w:eastAsia="zh-CN" w:bidi="ar"/>
        </w:rPr>
        <w:t>g</w:t>
      </w:r>
      <w:r>
        <w:rPr>
          <w:rStyle w:val="642"/>
          <w:rFonts w:hint="default" w:ascii="Times New Roman" w:hAnsi="Times New Roman" w:eastAsia="宋体" w:cs="Times New Roman"/>
          <w:b w:val="0"/>
          <w:bCs/>
          <w:caps w:val="0"/>
          <w:smallCaps w:val="0"/>
          <w:color w:val="auto"/>
          <w:sz w:val="24"/>
          <w:szCs w:val="24"/>
          <w:lang w:eastAsia="zh-CN" w:bidi="ar"/>
        </w:rPr>
        <w:t>/m</w:t>
      </w:r>
      <w:r>
        <w:rPr>
          <w:rFonts w:hint="default" w:ascii="Times New Roman" w:hAnsi="Times New Roman" w:cs="Times New Roman"/>
          <w:b w:val="0"/>
          <w:bCs/>
          <w:caps w:val="0"/>
          <w:smallCaps w:val="0"/>
          <w:color w:val="auto"/>
          <w:sz w:val="24"/>
          <w:szCs w:val="24"/>
          <w:vertAlign w:val="superscript"/>
          <w:lang w:eastAsia="zh-CN" w:bidi="ar"/>
        </w:rPr>
        <w:t>3</w:t>
      </w:r>
      <w:r>
        <w:rPr>
          <w:rFonts w:hint="default" w:ascii="Times New Roman" w:hAnsi="Times New Roman" w:eastAsia="宋体" w:cs="Times New Roman"/>
          <w:caps w:val="0"/>
          <w:smallCaps w:val="0"/>
          <w:snapToGrid w:val="0"/>
          <w:color w:val="000000"/>
          <w:kern w:val="0"/>
          <w:sz w:val="24"/>
          <w:szCs w:val="24"/>
          <w:lang w:val="en-US" w:eastAsia="zh-CN"/>
        </w:rPr>
        <w:t>，各项污染物均达到了《大气污染物综合排放标准》（GB 16297-1996）表2中二级标准浓度限值要求。</w:t>
      </w:r>
    </w:p>
    <w:p>
      <w:pPr>
        <w:spacing w:line="360" w:lineRule="auto"/>
        <w:ind w:firstLine="480"/>
        <w:jc w:val="left"/>
        <w:rPr>
          <w:rFonts w:hint="default" w:ascii="Times New Roman" w:hAnsi="Times New Roman" w:eastAsia="宋体" w:cs="Times New Roman"/>
          <w:caps w:val="0"/>
          <w:smallCaps w:val="0"/>
          <w:snapToGrid w:val="0"/>
          <w:color w:val="000000"/>
          <w:kern w:val="0"/>
          <w:sz w:val="24"/>
          <w:szCs w:val="24"/>
          <w:lang w:val="en-US" w:eastAsia="zh-CN"/>
        </w:rPr>
      </w:pPr>
      <w:r>
        <w:rPr>
          <w:rFonts w:hint="default" w:ascii="Times New Roman" w:hAnsi="Times New Roman" w:eastAsia="宋体" w:cs="Times New Roman"/>
          <w:caps w:val="0"/>
          <w:smallCaps w:val="0"/>
          <w:snapToGrid w:val="0"/>
          <w:color w:val="000000"/>
          <w:kern w:val="0"/>
          <w:sz w:val="24"/>
          <w:szCs w:val="24"/>
          <w:lang w:val="en-US" w:eastAsia="zh-CN"/>
        </w:rPr>
        <w:t>（2）锅炉废气</w:t>
      </w:r>
    </w:p>
    <w:p>
      <w:pPr>
        <w:spacing w:line="360" w:lineRule="auto"/>
        <w:ind w:firstLine="480"/>
        <w:jc w:val="left"/>
        <w:rPr>
          <w:rFonts w:hint="default" w:ascii="Times New Roman" w:hAnsi="Times New Roman" w:eastAsia="宋体" w:cs="Times New Roman"/>
          <w:caps w:val="0"/>
          <w:smallCaps w:val="0"/>
          <w:snapToGrid w:val="0"/>
          <w:color w:val="000000"/>
          <w:kern w:val="0"/>
          <w:sz w:val="24"/>
          <w:szCs w:val="24"/>
          <w:lang w:val="en-US" w:eastAsia="zh-CN"/>
        </w:rPr>
      </w:pPr>
      <w:r>
        <w:rPr>
          <w:rFonts w:hint="eastAsia" w:ascii="Times New Roman" w:hAnsi="Times New Roman" w:cs="Times New Roman"/>
          <w:caps w:val="0"/>
          <w:smallCaps w:val="0"/>
          <w:snapToGrid w:val="0"/>
          <w:color w:val="000000"/>
          <w:kern w:val="0"/>
          <w:sz w:val="24"/>
          <w:szCs w:val="24"/>
          <w:lang w:val="en-US" w:eastAsia="zh-CN"/>
        </w:rPr>
        <w:t>锅炉废气</w:t>
      </w:r>
      <w:r>
        <w:rPr>
          <w:rFonts w:hint="default" w:ascii="Times New Roman" w:hAnsi="Times New Roman" w:eastAsia="宋体" w:cs="Times New Roman"/>
          <w:caps w:val="0"/>
          <w:smallCaps w:val="0"/>
          <w:snapToGrid w:val="0"/>
          <w:color w:val="000000"/>
          <w:kern w:val="0"/>
          <w:sz w:val="24"/>
          <w:szCs w:val="24"/>
          <w:lang w:val="en-US" w:eastAsia="zh-CN"/>
        </w:rPr>
        <w:t>经麻石水磨脱硫除尘设施处理后由</w:t>
      </w:r>
      <w:r>
        <w:rPr>
          <w:rFonts w:hint="eastAsia" w:ascii="Times New Roman" w:hAnsi="Times New Roman" w:eastAsia="宋体" w:cs="Times New Roman"/>
          <w:caps w:val="0"/>
          <w:smallCaps w:val="0"/>
          <w:snapToGrid w:val="0"/>
          <w:color w:val="000000"/>
          <w:kern w:val="0"/>
          <w:sz w:val="24"/>
          <w:szCs w:val="24"/>
          <w:lang w:val="en-US" w:eastAsia="zh-CN"/>
        </w:rPr>
        <w:t>2</w:t>
      </w:r>
      <w:r>
        <w:rPr>
          <w:rFonts w:hint="default" w:ascii="Times New Roman" w:hAnsi="Times New Roman" w:eastAsia="宋体" w:cs="Times New Roman"/>
          <w:caps w:val="0"/>
          <w:smallCaps w:val="0"/>
          <w:snapToGrid w:val="0"/>
          <w:color w:val="000000"/>
          <w:kern w:val="0"/>
          <w:sz w:val="24"/>
          <w:szCs w:val="24"/>
          <w:lang w:val="en-US" w:eastAsia="zh-CN"/>
        </w:rPr>
        <w:t>5米高排气筒达标外排（</w:t>
      </w:r>
      <w:r>
        <w:rPr>
          <w:rFonts w:hint="eastAsia" w:ascii="Times New Roman" w:hAnsi="Times New Roman" w:eastAsia="宋体" w:cs="Times New Roman"/>
          <w:caps w:val="0"/>
          <w:smallCaps w:val="0"/>
          <w:snapToGrid w:val="0"/>
          <w:color w:val="000000"/>
          <w:kern w:val="0"/>
          <w:sz w:val="24"/>
          <w:szCs w:val="24"/>
          <w:lang w:val="en-US" w:eastAsia="zh-CN"/>
        </w:rPr>
        <w:t>2</w:t>
      </w:r>
      <w:r>
        <w:rPr>
          <w:rFonts w:hint="default" w:ascii="Times New Roman" w:hAnsi="Times New Roman" w:eastAsia="宋体" w:cs="Times New Roman"/>
          <w:caps w:val="0"/>
          <w:smallCaps w:val="0"/>
          <w:snapToGrid w:val="0"/>
          <w:color w:val="000000"/>
          <w:kern w:val="0"/>
          <w:sz w:val="24"/>
          <w:szCs w:val="24"/>
          <w:lang w:val="en-US" w:eastAsia="zh-CN"/>
        </w:rPr>
        <w:t>台4t/h燃油锅炉</w:t>
      </w:r>
      <w:r>
        <w:rPr>
          <w:rFonts w:hint="eastAsia" w:ascii="Times New Roman" w:hAnsi="Times New Roman" w:eastAsia="宋体" w:cs="Times New Roman"/>
          <w:caps w:val="0"/>
          <w:smallCaps w:val="0"/>
          <w:snapToGrid w:val="0"/>
          <w:color w:val="000000"/>
          <w:kern w:val="0"/>
          <w:sz w:val="24"/>
          <w:szCs w:val="24"/>
          <w:lang w:val="en-US" w:eastAsia="zh-CN"/>
        </w:rPr>
        <w:t>，</w:t>
      </w:r>
      <w:r>
        <w:rPr>
          <w:rFonts w:hint="default" w:ascii="Times New Roman" w:hAnsi="Times New Roman" w:eastAsia="宋体" w:cs="Times New Roman"/>
          <w:caps w:val="0"/>
          <w:smallCaps w:val="0"/>
          <w:snapToGrid w:val="0"/>
          <w:color w:val="000000"/>
          <w:kern w:val="0"/>
          <w:sz w:val="24"/>
          <w:szCs w:val="24"/>
          <w:lang w:val="en-US" w:eastAsia="zh-CN"/>
        </w:rPr>
        <w:t>使用的燃料为0#柴油，一用一备，两台不同时使用）。</w:t>
      </w:r>
    </w:p>
    <w:p>
      <w:pPr>
        <w:spacing w:line="360" w:lineRule="auto"/>
        <w:ind w:firstLine="480"/>
        <w:jc w:val="left"/>
        <w:rPr>
          <w:rFonts w:hint="default" w:ascii="Times New Roman" w:hAnsi="Times New Roman" w:eastAsia="宋体" w:cs="Times New Roman"/>
          <w:caps w:val="0"/>
          <w:smallCaps w:val="0"/>
          <w:snapToGrid w:val="0"/>
          <w:color w:val="000000"/>
          <w:kern w:val="0"/>
          <w:sz w:val="24"/>
          <w:szCs w:val="24"/>
          <w:lang w:val="en-US" w:eastAsia="zh-CN"/>
        </w:rPr>
      </w:pPr>
      <w:r>
        <w:rPr>
          <w:rFonts w:hint="default" w:ascii="Times New Roman" w:hAnsi="Times New Roman" w:eastAsia="宋体" w:cs="Times New Roman"/>
          <w:caps w:val="0"/>
          <w:smallCaps w:val="0"/>
          <w:snapToGrid w:val="0"/>
          <w:color w:val="000000"/>
          <w:kern w:val="0"/>
          <w:sz w:val="24"/>
          <w:szCs w:val="24"/>
          <w:lang w:val="en-US" w:eastAsia="zh-CN"/>
        </w:rPr>
        <w:t>根据</w:t>
      </w:r>
      <w:r>
        <w:rPr>
          <w:rFonts w:hint="eastAsia" w:ascii="Times New Roman" w:hAnsi="Times New Roman" w:eastAsia="宋体" w:cs="Times New Roman"/>
          <w:caps w:val="0"/>
          <w:smallCaps w:val="0"/>
          <w:snapToGrid w:val="0"/>
          <w:color w:val="000000"/>
          <w:kern w:val="0"/>
          <w:sz w:val="24"/>
          <w:szCs w:val="24"/>
          <w:lang w:val="en-US" w:eastAsia="zh-CN"/>
        </w:rPr>
        <w:t>湖南科准检测技术有限公司</w:t>
      </w:r>
      <w:r>
        <w:rPr>
          <w:rFonts w:hint="eastAsia" w:ascii="Times New Roman" w:hAnsi="Times New Roman" w:cs="Times New Roman"/>
          <w:caps w:val="0"/>
          <w:smallCaps w:val="0"/>
          <w:snapToGrid w:val="0"/>
          <w:color w:val="000000"/>
          <w:kern w:val="0"/>
          <w:sz w:val="24"/>
          <w:szCs w:val="24"/>
          <w:lang w:val="en-US" w:eastAsia="zh-CN"/>
        </w:rPr>
        <w:t>2021年6月</w:t>
      </w:r>
      <w:r>
        <w:rPr>
          <w:rFonts w:hint="default" w:ascii="Times New Roman" w:hAnsi="Times New Roman" w:eastAsia="宋体" w:cs="Times New Roman"/>
          <w:caps w:val="0"/>
          <w:smallCaps w:val="0"/>
          <w:snapToGrid w:val="0"/>
          <w:color w:val="000000"/>
          <w:kern w:val="0"/>
          <w:sz w:val="24"/>
          <w:szCs w:val="24"/>
          <w:lang w:val="en-US" w:eastAsia="zh-CN"/>
        </w:rPr>
        <w:t>编制的</w:t>
      </w:r>
      <w:r>
        <w:rPr>
          <w:rFonts w:hint="eastAsia" w:ascii="Times New Roman" w:hAnsi="Times New Roman" w:eastAsia="宋体" w:cs="Times New Roman"/>
          <w:caps w:val="0"/>
          <w:smallCaps w:val="0"/>
          <w:snapToGrid w:val="0"/>
          <w:color w:val="000000"/>
          <w:kern w:val="0"/>
          <w:sz w:val="24"/>
          <w:szCs w:val="24"/>
          <w:lang w:val="en-US" w:eastAsia="zh-CN"/>
        </w:rPr>
        <w:t>《湖南海丰物流有限公司锅炉改造工程建设项目竣工环境保护验收监测报告》</w:t>
      </w:r>
      <w:r>
        <w:rPr>
          <w:rFonts w:hint="default" w:ascii="Times New Roman" w:hAnsi="Times New Roman" w:eastAsia="宋体" w:cs="Times New Roman"/>
          <w:caps w:val="0"/>
          <w:smallCaps w:val="0"/>
          <w:snapToGrid w:val="0"/>
          <w:color w:val="000000"/>
          <w:kern w:val="0"/>
          <w:sz w:val="24"/>
          <w:szCs w:val="24"/>
          <w:lang w:val="en-US" w:eastAsia="zh-CN"/>
        </w:rPr>
        <w:t>，对企业排放</w:t>
      </w:r>
      <w:r>
        <w:rPr>
          <w:rFonts w:hint="eastAsia" w:ascii="Times New Roman" w:hAnsi="Times New Roman" w:cs="Times New Roman"/>
          <w:caps w:val="0"/>
          <w:smallCaps w:val="0"/>
          <w:snapToGrid w:val="0"/>
          <w:color w:val="000000"/>
          <w:kern w:val="0"/>
          <w:sz w:val="24"/>
          <w:szCs w:val="24"/>
          <w:lang w:val="en-US" w:eastAsia="zh-CN"/>
        </w:rPr>
        <w:t>锅炉</w:t>
      </w:r>
      <w:r>
        <w:rPr>
          <w:rFonts w:hint="default" w:ascii="Times New Roman" w:hAnsi="Times New Roman" w:eastAsia="宋体" w:cs="Times New Roman"/>
          <w:caps w:val="0"/>
          <w:smallCaps w:val="0"/>
          <w:snapToGrid w:val="0"/>
          <w:color w:val="000000"/>
          <w:kern w:val="0"/>
          <w:sz w:val="24"/>
          <w:szCs w:val="24"/>
          <w:lang w:val="en-US" w:eastAsia="zh-CN"/>
        </w:rPr>
        <w:t>大气污染物监测结果，企业现有</w:t>
      </w:r>
      <w:r>
        <w:rPr>
          <w:rFonts w:hint="eastAsia" w:ascii="Times New Roman" w:hAnsi="Times New Roman" w:cs="Times New Roman"/>
          <w:caps w:val="0"/>
          <w:smallCaps w:val="0"/>
          <w:snapToGrid w:val="0"/>
          <w:color w:val="000000"/>
          <w:kern w:val="0"/>
          <w:sz w:val="24"/>
          <w:szCs w:val="24"/>
          <w:lang w:val="en-US" w:eastAsia="zh-CN"/>
        </w:rPr>
        <w:t>锅炉</w:t>
      </w:r>
      <w:r>
        <w:rPr>
          <w:rFonts w:hint="default" w:ascii="Times New Roman" w:hAnsi="Times New Roman" w:eastAsia="宋体" w:cs="Times New Roman"/>
          <w:caps w:val="0"/>
          <w:smallCaps w:val="0"/>
          <w:snapToGrid w:val="0"/>
          <w:color w:val="000000"/>
          <w:kern w:val="0"/>
          <w:sz w:val="24"/>
          <w:szCs w:val="24"/>
          <w:lang w:val="en-US" w:eastAsia="zh-CN"/>
        </w:rPr>
        <w:t>污染物排放满足</w:t>
      </w:r>
      <w:r>
        <w:rPr>
          <w:rFonts w:hint="default" w:ascii="Times New Roman" w:hAnsi="Times New Roman" w:cs="Times New Roman"/>
          <w:b w:val="0"/>
          <w:bCs/>
          <w:caps w:val="0"/>
          <w:smallCaps w:val="0"/>
          <w:color w:val="auto"/>
          <w:sz w:val="24"/>
          <w:u w:val="none"/>
        </w:rPr>
        <w:t>《</w:t>
      </w:r>
      <w:r>
        <w:rPr>
          <w:rFonts w:hint="default" w:ascii="Times New Roman" w:hAnsi="Times New Roman" w:cs="Times New Roman"/>
          <w:b w:val="0"/>
          <w:bCs/>
          <w:caps w:val="0"/>
          <w:smallCaps w:val="0"/>
          <w:color w:val="auto"/>
          <w:sz w:val="24"/>
          <w:u w:val="none"/>
          <w:lang w:eastAsia="zh-CN"/>
        </w:rPr>
        <w:t>锅炉大气污染物排放标准</w:t>
      </w:r>
      <w:r>
        <w:rPr>
          <w:rFonts w:hint="default" w:ascii="Times New Roman" w:hAnsi="Times New Roman" w:cs="Times New Roman"/>
          <w:b w:val="0"/>
          <w:bCs/>
          <w:caps w:val="0"/>
          <w:smallCaps w:val="0"/>
          <w:color w:val="auto"/>
          <w:sz w:val="24"/>
          <w:u w:val="none"/>
        </w:rPr>
        <w:t>》（GB 13271-2014）表</w:t>
      </w:r>
      <w:r>
        <w:rPr>
          <w:rFonts w:hint="default" w:ascii="Times New Roman" w:hAnsi="Times New Roman" w:cs="Times New Roman"/>
          <w:b w:val="0"/>
          <w:bCs/>
          <w:caps w:val="0"/>
          <w:smallCaps w:val="0"/>
          <w:color w:val="auto"/>
          <w:sz w:val="24"/>
          <w:u w:val="none"/>
          <w:lang w:val="en-US" w:eastAsia="zh-CN"/>
        </w:rPr>
        <w:t>3</w:t>
      </w:r>
      <w:r>
        <w:rPr>
          <w:rFonts w:hint="default" w:ascii="Times New Roman" w:hAnsi="Times New Roman" w:cs="Times New Roman"/>
          <w:b w:val="0"/>
          <w:bCs/>
          <w:caps w:val="0"/>
          <w:smallCaps w:val="0"/>
          <w:color w:val="auto"/>
          <w:sz w:val="24"/>
          <w:u w:val="none"/>
        </w:rPr>
        <w:t>中燃油锅炉</w:t>
      </w:r>
      <w:r>
        <w:rPr>
          <w:rFonts w:hint="default" w:ascii="Times New Roman" w:hAnsi="Times New Roman" w:cs="Times New Roman"/>
          <w:b w:val="0"/>
          <w:bCs/>
          <w:caps w:val="0"/>
          <w:smallCaps w:val="0"/>
          <w:color w:val="auto"/>
          <w:sz w:val="24"/>
          <w:u w:val="none"/>
          <w:lang w:eastAsia="zh-CN"/>
        </w:rPr>
        <w:t>特别排放限值标准</w:t>
      </w:r>
      <w:r>
        <w:rPr>
          <w:rFonts w:hint="default" w:ascii="Times New Roman" w:hAnsi="Times New Roman" w:cs="Times New Roman"/>
          <w:b w:val="0"/>
          <w:bCs/>
          <w:caps w:val="0"/>
          <w:smallCaps w:val="0"/>
          <w:color w:val="auto"/>
          <w:sz w:val="24"/>
          <w:u w:val="none"/>
        </w:rPr>
        <w:t>要求</w:t>
      </w:r>
      <w:r>
        <w:rPr>
          <w:rFonts w:hint="default" w:ascii="Times New Roman" w:hAnsi="Times New Roman" w:eastAsia="宋体" w:cs="Times New Roman"/>
          <w:caps w:val="0"/>
          <w:smallCaps w:val="0"/>
          <w:snapToGrid w:val="0"/>
          <w:color w:val="000000"/>
          <w:kern w:val="0"/>
          <w:sz w:val="24"/>
          <w:szCs w:val="24"/>
          <w:lang w:val="en-US" w:eastAsia="zh-CN"/>
        </w:rPr>
        <w:t>。检测结果详见下表</w:t>
      </w:r>
      <w:r>
        <w:rPr>
          <w:rFonts w:hint="eastAsia" w:ascii="Times New Roman" w:hAnsi="Times New Roman" w:cs="Times New Roman"/>
          <w:caps w:val="0"/>
          <w:smallCaps w:val="0"/>
          <w:snapToGrid w:val="0"/>
          <w:color w:val="000000"/>
          <w:kern w:val="0"/>
          <w:sz w:val="24"/>
          <w:szCs w:val="24"/>
          <w:lang w:val="en-US" w:eastAsia="zh-CN"/>
        </w:rPr>
        <w:t>3.</w:t>
      </w:r>
      <w:r>
        <w:rPr>
          <w:rFonts w:hint="eastAsia" w:cs="Times New Roman"/>
          <w:caps w:val="0"/>
          <w:smallCaps w:val="0"/>
          <w:snapToGrid w:val="0"/>
          <w:color w:val="000000"/>
          <w:kern w:val="0"/>
          <w:sz w:val="24"/>
          <w:szCs w:val="24"/>
          <w:lang w:val="en-US" w:eastAsia="zh-CN"/>
        </w:rPr>
        <w:t>4</w:t>
      </w:r>
      <w:r>
        <w:rPr>
          <w:rFonts w:hint="eastAsia" w:ascii="Times New Roman" w:hAnsi="Times New Roman" w:cs="Times New Roman"/>
          <w:caps w:val="0"/>
          <w:smallCaps w:val="0"/>
          <w:snapToGrid w:val="0"/>
          <w:color w:val="000000"/>
          <w:kern w:val="0"/>
          <w:sz w:val="24"/>
          <w:szCs w:val="24"/>
          <w:lang w:val="en-US" w:eastAsia="zh-CN"/>
        </w:rPr>
        <w:t>-3</w:t>
      </w:r>
      <w:r>
        <w:rPr>
          <w:rFonts w:hint="default" w:ascii="Times New Roman" w:hAnsi="Times New Roman" w:eastAsia="宋体" w:cs="Times New Roman"/>
          <w:caps w:val="0"/>
          <w:smallCaps w:val="0"/>
          <w:snapToGrid w:val="0"/>
          <w:color w:val="000000"/>
          <w:kern w:val="0"/>
          <w:sz w:val="24"/>
          <w:szCs w:val="24"/>
          <w:lang w:val="en-US" w:eastAsia="zh-CN"/>
        </w:rPr>
        <w:t>。</w:t>
      </w:r>
    </w:p>
    <w:tbl>
      <w:tblPr>
        <w:tblStyle w:val="71"/>
        <w:tblW w:w="9060" w:type="dxa"/>
        <w:tblInd w:w="0" w:type="dxa"/>
        <w:tblLayout w:type="fixed"/>
        <w:tblCellMar>
          <w:top w:w="0" w:type="dxa"/>
          <w:left w:w="0" w:type="dxa"/>
          <w:bottom w:w="0" w:type="dxa"/>
          <w:right w:w="0" w:type="dxa"/>
        </w:tblCellMar>
      </w:tblPr>
      <w:tblGrid>
        <w:gridCol w:w="1162"/>
        <w:gridCol w:w="1223"/>
        <w:gridCol w:w="1342"/>
        <w:gridCol w:w="1202"/>
        <w:gridCol w:w="1413"/>
        <w:gridCol w:w="1213"/>
        <w:gridCol w:w="1505"/>
      </w:tblGrid>
      <w:tr>
        <w:trPr>
          <w:trHeight w:val="431" w:hRule="exact"/>
        </w:trPr>
        <w:tc>
          <w:tcPr>
            <w:tcW w:w="9060" w:type="dxa"/>
            <w:gridSpan w:val="7"/>
            <w:tcBorders>
              <w:top w:val="nil"/>
              <w:left w:val="nil"/>
              <w:bottom w:val="single" w:color="000000" w:sz="12" w:space="0"/>
              <w:right w:val="nil"/>
            </w:tcBorders>
            <w:vAlign w:val="top"/>
          </w:tcPr>
          <w:p>
            <w:pPr>
              <w:pStyle w:val="117"/>
              <w:bidi w:val="0"/>
              <w:rPr>
                <w:rFonts w:hint="default" w:ascii="Times New Roman" w:hAnsi="Times New Roman" w:cs="Times New Roman"/>
                <w:b/>
                <w:bCs/>
                <w:caps w:val="0"/>
                <w:smallCaps w:val="0"/>
                <w:lang w:val="en-US" w:eastAsia="zh-CN"/>
              </w:rPr>
            </w:pPr>
            <w:r>
              <w:rPr>
                <w:rFonts w:hint="default" w:ascii="Times New Roman" w:hAnsi="Times New Roman" w:cs="Times New Roman"/>
                <w:b/>
                <w:bCs/>
                <w:caps w:val="0"/>
                <w:smallCaps w:val="0"/>
                <w:lang w:val="en-US" w:eastAsia="zh-CN"/>
              </w:rPr>
              <w:t>表</w:t>
            </w:r>
            <w:r>
              <w:rPr>
                <w:rFonts w:hint="eastAsia" w:ascii="Times New Roman" w:hAnsi="Times New Roman" w:cs="Times New Roman"/>
                <w:b/>
                <w:bCs/>
                <w:caps w:val="0"/>
                <w:smallCaps w:val="0"/>
                <w:lang w:val="en-US" w:eastAsia="zh-CN"/>
              </w:rPr>
              <w:t>3.4-3</w:t>
            </w:r>
            <w:r>
              <w:rPr>
                <w:rFonts w:hint="default" w:ascii="Times New Roman" w:hAnsi="Times New Roman" w:cs="Times New Roman"/>
                <w:b/>
                <w:bCs/>
                <w:caps w:val="0"/>
                <w:smallCaps w:val="0"/>
                <w:lang w:val="en-US" w:eastAsia="zh-CN"/>
              </w:rPr>
              <w:t>锅炉废气处理设施有组织废气检测结果</w:t>
            </w:r>
          </w:p>
          <w:p>
            <w:pPr>
              <w:pStyle w:val="117"/>
              <w:bidi w:val="0"/>
              <w:rPr>
                <w:rFonts w:ascii="Times New Roman" w:hAnsi="Times New Roman" w:cs="Times New Roman"/>
                <w:caps w:val="0"/>
                <w:smallCaps w:val="0"/>
              </w:rPr>
            </w:pPr>
          </w:p>
        </w:tc>
      </w:tr>
      <w:tr>
        <w:tblPrEx>
          <w:tblCellMar>
            <w:top w:w="0" w:type="dxa"/>
            <w:left w:w="0" w:type="dxa"/>
            <w:bottom w:w="0" w:type="dxa"/>
            <w:right w:w="0" w:type="dxa"/>
          </w:tblCellMar>
        </w:tblPrEx>
        <w:trPr>
          <w:trHeight w:val="317" w:hRule="exact"/>
        </w:trPr>
        <w:tc>
          <w:tcPr>
            <w:tcW w:w="1162" w:type="dxa"/>
            <w:vMerge w:val="restart"/>
            <w:tcBorders>
              <w:top w:val="single" w:color="000000" w:sz="12" w:space="0"/>
              <w:left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采样位置</w:t>
            </w:r>
          </w:p>
        </w:tc>
        <w:tc>
          <w:tcPr>
            <w:tcW w:w="1223" w:type="dxa"/>
            <w:vMerge w:val="restart"/>
            <w:tcBorders>
              <w:top w:val="single" w:color="000000" w:sz="12" w:space="0"/>
              <w:left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采样时间</w:t>
            </w:r>
          </w:p>
        </w:tc>
        <w:tc>
          <w:tcPr>
            <w:tcW w:w="1342" w:type="dxa"/>
            <w:vMerge w:val="restart"/>
            <w:tcBorders>
              <w:top w:val="single" w:color="000000" w:sz="12" w:space="0"/>
              <w:left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监测项目</w:t>
            </w:r>
          </w:p>
        </w:tc>
        <w:tc>
          <w:tcPr>
            <w:tcW w:w="3828" w:type="dxa"/>
            <w:gridSpan w:val="3"/>
            <w:tcBorders>
              <w:top w:val="single" w:color="000000" w:sz="12"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检测结果</w:t>
            </w:r>
          </w:p>
        </w:tc>
        <w:tc>
          <w:tcPr>
            <w:tcW w:w="1505" w:type="dxa"/>
            <w:vMerge w:val="restart"/>
            <w:tcBorders>
              <w:top w:val="single" w:color="000000" w:sz="12" w:space="0"/>
              <w:left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标准值</w:t>
            </w:r>
          </w:p>
        </w:tc>
      </w:tr>
      <w:tr>
        <w:trPr>
          <w:trHeight w:val="307" w:hRule="exact"/>
        </w:trPr>
        <w:tc>
          <w:tcPr>
            <w:tcW w:w="1162"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342"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第一次</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第二次</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第三次</w:t>
            </w:r>
          </w:p>
        </w:tc>
        <w:tc>
          <w:tcPr>
            <w:tcW w:w="1505"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r>
      <w:tr>
        <w:trPr>
          <w:trHeight w:val="362" w:hRule="exact"/>
        </w:trPr>
        <w:tc>
          <w:tcPr>
            <w:tcW w:w="1162" w:type="dxa"/>
            <w:vMerge w:val="restart"/>
            <w:tcBorders>
              <w:top w:val="single" w:color="000000" w:sz="4" w:space="0"/>
              <w:left w:val="single" w:color="000000" w:sz="4" w:space="0"/>
              <w:right w:val="single" w:color="000000" w:sz="4" w:space="0"/>
            </w:tcBorders>
          </w:tcPr>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r>
              <w:rPr>
                <w:rFonts w:ascii="Times New Roman" w:hAnsi="Times New Roman" w:cs="Times New Roman"/>
                <w:caps w:val="0"/>
                <w:smallCaps w:val="0"/>
              </w:rPr>
              <w:t>锅炉废气处理设施进口</w:t>
            </w:r>
          </w:p>
        </w:tc>
        <w:tc>
          <w:tcPr>
            <w:tcW w:w="1223" w:type="dxa"/>
            <w:vMerge w:val="restart"/>
            <w:tcBorders>
              <w:top w:val="single" w:color="000000" w:sz="4"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4月14日</w:t>
            </w: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标干流量</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7756</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7692</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7703</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颗粒物</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89</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92</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88</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二氧化硫</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69</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75</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72</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bottom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氮氧化物</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102</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97</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95</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restart"/>
            <w:tcBorders>
              <w:top w:val="single" w:color="000000" w:sz="4"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4月15日</w:t>
            </w: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标干流量</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7714</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7683</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7649</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颗粒物</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87</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84</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二氧化硫</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71</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74</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79</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62" w:hRule="exact"/>
        </w:trPr>
        <w:tc>
          <w:tcPr>
            <w:tcW w:w="1162"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bottom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氮氧化物</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93</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97</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94</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62" w:hRule="exact"/>
        </w:trPr>
        <w:tc>
          <w:tcPr>
            <w:tcW w:w="1162" w:type="dxa"/>
            <w:vMerge w:val="restart"/>
            <w:tcBorders>
              <w:top w:val="single" w:color="000000" w:sz="4" w:space="0"/>
              <w:left w:val="single" w:color="000000" w:sz="4" w:space="0"/>
              <w:right w:val="single" w:color="000000" w:sz="4" w:space="0"/>
            </w:tcBorders>
          </w:tcPr>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r>
              <w:rPr>
                <w:rFonts w:ascii="Times New Roman" w:hAnsi="Times New Roman" w:cs="Times New Roman"/>
                <w:caps w:val="0"/>
                <w:smallCaps w:val="0"/>
              </w:rPr>
              <w:t>锅炉废气处理设施出口</w:t>
            </w:r>
          </w:p>
        </w:tc>
        <w:tc>
          <w:tcPr>
            <w:tcW w:w="1223" w:type="dxa"/>
            <w:vMerge w:val="restart"/>
            <w:tcBorders>
              <w:top w:val="single" w:color="000000" w:sz="4"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4月14日</w:t>
            </w: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标干流量</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7369</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7584</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7367</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颗粒物</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12</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14</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12</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30</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二氧化硫</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38</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42</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35</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100</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氮氧化物</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93</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86</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87</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200</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bottom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林格曼黑度</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r>
      <w:tr>
        <w:trPr>
          <w:trHeight w:val="362"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restart"/>
            <w:tcBorders>
              <w:top w:val="single" w:color="000000" w:sz="4"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4月15日</w:t>
            </w: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标干流量</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7471</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7582</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7485</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rPr>
          <w:trHeight w:val="395"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颗粒物</w:t>
            </w:r>
          </w:p>
        </w:tc>
        <w:tc>
          <w:tcPr>
            <w:tcW w:w="1202"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13</w:t>
            </w:r>
          </w:p>
        </w:tc>
        <w:tc>
          <w:tcPr>
            <w:tcW w:w="14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c>
          <w:tcPr>
            <w:tcW w:w="121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12</w:t>
            </w:r>
          </w:p>
        </w:tc>
        <w:tc>
          <w:tcPr>
            <w:tcW w:w="1505"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30</w:t>
            </w:r>
          </w:p>
        </w:tc>
      </w:tr>
      <w:tr>
        <w:trPr>
          <w:trHeight w:val="395"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二氧化硫</w:t>
            </w:r>
          </w:p>
        </w:tc>
        <w:tc>
          <w:tcPr>
            <w:tcW w:w="1202"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39</w:t>
            </w:r>
          </w:p>
        </w:tc>
        <w:tc>
          <w:tcPr>
            <w:tcW w:w="1413"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41</w:t>
            </w:r>
          </w:p>
        </w:tc>
        <w:tc>
          <w:tcPr>
            <w:tcW w:w="1213"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36</w:t>
            </w:r>
          </w:p>
        </w:tc>
        <w:tc>
          <w:tcPr>
            <w:tcW w:w="1505"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100</w:t>
            </w:r>
          </w:p>
        </w:tc>
      </w:tr>
      <w:tr>
        <w:trPr>
          <w:trHeight w:val="395" w:hRule="exact"/>
        </w:trPr>
        <w:tc>
          <w:tcPr>
            <w:tcW w:w="1162"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right w:val="single" w:color="000000" w:sz="4" w:space="0"/>
            </w:tcBorders>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氮氧化物</w:t>
            </w:r>
          </w:p>
        </w:tc>
        <w:tc>
          <w:tcPr>
            <w:tcW w:w="1202"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85</w:t>
            </w:r>
          </w:p>
        </w:tc>
        <w:tc>
          <w:tcPr>
            <w:tcW w:w="1413"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92</w:t>
            </w:r>
          </w:p>
        </w:tc>
        <w:tc>
          <w:tcPr>
            <w:tcW w:w="1213"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88</w:t>
            </w:r>
          </w:p>
        </w:tc>
        <w:tc>
          <w:tcPr>
            <w:tcW w:w="1505" w:type="dxa"/>
            <w:tcBorders>
              <w:top w:val="single" w:color="000000" w:sz="4" w:space="0"/>
              <w:left w:val="single" w:color="000000" w:sz="4" w:space="0"/>
              <w:bottom w:val="single" w:color="000000" w:sz="4"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200</w:t>
            </w:r>
          </w:p>
        </w:tc>
      </w:tr>
      <w:tr>
        <w:trPr>
          <w:trHeight w:val="453" w:hRule="exact"/>
        </w:trPr>
        <w:tc>
          <w:tcPr>
            <w:tcW w:w="1162" w:type="dxa"/>
            <w:vMerge w:val="continue"/>
            <w:tcBorders>
              <w:left w:val="single" w:color="000000" w:sz="4" w:space="0"/>
              <w:bottom w:val="single" w:color="000000" w:sz="12" w:space="0"/>
              <w:right w:val="single" w:color="000000" w:sz="4" w:space="0"/>
            </w:tcBorders>
          </w:tcPr>
          <w:p>
            <w:pPr>
              <w:pStyle w:val="117"/>
              <w:bidi w:val="0"/>
              <w:rPr>
                <w:rFonts w:ascii="Times New Roman" w:hAnsi="Times New Roman" w:cs="Times New Roman"/>
                <w:caps w:val="0"/>
                <w:smallCaps w:val="0"/>
              </w:rPr>
            </w:pPr>
          </w:p>
        </w:tc>
        <w:tc>
          <w:tcPr>
            <w:tcW w:w="1223" w:type="dxa"/>
            <w:vMerge w:val="continue"/>
            <w:tcBorders>
              <w:left w:val="single" w:color="000000" w:sz="4" w:space="0"/>
              <w:bottom w:val="single" w:color="000000" w:sz="12" w:space="0"/>
              <w:right w:val="single" w:color="000000" w:sz="4" w:space="0"/>
            </w:tcBorders>
          </w:tcPr>
          <w:p>
            <w:pPr>
              <w:pStyle w:val="117"/>
              <w:bidi w:val="0"/>
              <w:rPr>
                <w:rFonts w:ascii="Times New Roman" w:hAnsi="Times New Roman" w:cs="Times New Roman"/>
                <w:caps w:val="0"/>
                <w:smallCaps w:val="0"/>
              </w:rPr>
            </w:pPr>
          </w:p>
        </w:tc>
        <w:tc>
          <w:tcPr>
            <w:tcW w:w="1342" w:type="dxa"/>
            <w:tcBorders>
              <w:top w:val="single" w:color="000000" w:sz="4" w:space="0"/>
              <w:left w:val="single" w:color="000000" w:sz="4" w:space="0"/>
              <w:bottom w:val="single" w:color="000000" w:sz="12"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林格曼黑度</w:t>
            </w:r>
          </w:p>
        </w:tc>
        <w:tc>
          <w:tcPr>
            <w:tcW w:w="1202" w:type="dxa"/>
            <w:tcBorders>
              <w:top w:val="single" w:color="000000" w:sz="4" w:space="0"/>
              <w:left w:val="single" w:color="000000" w:sz="4" w:space="0"/>
              <w:bottom w:val="single" w:color="000000" w:sz="12"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1</w:t>
            </w:r>
          </w:p>
        </w:tc>
        <w:tc>
          <w:tcPr>
            <w:tcW w:w="1413" w:type="dxa"/>
            <w:tcBorders>
              <w:top w:val="single" w:color="000000" w:sz="4" w:space="0"/>
              <w:left w:val="single" w:color="000000" w:sz="4" w:space="0"/>
              <w:bottom w:val="single" w:color="000000" w:sz="12"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1</w:t>
            </w:r>
          </w:p>
        </w:tc>
        <w:tc>
          <w:tcPr>
            <w:tcW w:w="1213" w:type="dxa"/>
            <w:tcBorders>
              <w:top w:val="single" w:color="000000" w:sz="4" w:space="0"/>
              <w:left w:val="single" w:color="000000" w:sz="4" w:space="0"/>
              <w:bottom w:val="single" w:color="000000" w:sz="12"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1</w:t>
            </w:r>
          </w:p>
        </w:tc>
        <w:tc>
          <w:tcPr>
            <w:tcW w:w="1505" w:type="dxa"/>
            <w:tcBorders>
              <w:top w:val="single" w:color="000000" w:sz="4" w:space="0"/>
              <w:left w:val="single" w:color="000000" w:sz="4" w:space="0"/>
              <w:bottom w:val="single" w:color="000000" w:sz="12" w:space="0"/>
              <w:right w:val="single" w:color="000000" w:sz="4" w:space="0"/>
            </w:tcBorders>
            <w:vAlign w:val="top"/>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1</w:t>
            </w:r>
          </w:p>
        </w:tc>
      </w:tr>
    </w:tbl>
    <w:p>
      <w:pPr>
        <w:spacing w:line="360" w:lineRule="auto"/>
        <w:ind w:firstLine="480"/>
        <w:jc w:val="both"/>
        <w:rPr>
          <w:rFonts w:hint="default" w:ascii="Times New Roman" w:hAnsi="Times New Roman" w:eastAsia="宋体" w:cs="Times New Roman"/>
          <w:caps w:val="0"/>
          <w:smallCaps w:val="0"/>
          <w:snapToGrid w:val="0"/>
          <w:color w:val="000000"/>
          <w:kern w:val="0"/>
          <w:sz w:val="24"/>
          <w:szCs w:val="24"/>
          <w:lang w:val="en-US" w:eastAsia="zh-CN"/>
        </w:rPr>
      </w:pPr>
      <w:r>
        <w:rPr>
          <w:rFonts w:hint="default" w:ascii="Times New Roman" w:hAnsi="Times New Roman" w:eastAsia="宋体" w:cs="Times New Roman"/>
          <w:caps w:val="0"/>
          <w:smallCaps w:val="0"/>
          <w:snapToGrid w:val="0"/>
          <w:color w:val="000000"/>
          <w:kern w:val="0"/>
          <w:sz w:val="24"/>
          <w:szCs w:val="24"/>
          <w:lang w:val="en-US" w:eastAsia="zh-CN"/>
        </w:rPr>
        <w:t>表</w:t>
      </w:r>
      <w:r>
        <w:rPr>
          <w:rFonts w:hint="eastAsia" w:ascii="Times New Roman" w:hAnsi="Times New Roman" w:cs="Times New Roman"/>
          <w:b w:val="0"/>
          <w:bCs w:val="0"/>
          <w:caps w:val="0"/>
          <w:smallCaps w:val="0"/>
          <w:sz w:val="24"/>
          <w:szCs w:val="24"/>
          <w:lang w:val="en-US" w:eastAsia="zh-CN"/>
        </w:rPr>
        <w:t>3.1-3</w:t>
      </w:r>
      <w:r>
        <w:rPr>
          <w:rFonts w:hint="default" w:ascii="Times New Roman" w:hAnsi="Times New Roman" w:eastAsia="宋体" w:cs="Times New Roman"/>
          <w:caps w:val="0"/>
          <w:smallCaps w:val="0"/>
          <w:snapToGrid w:val="0"/>
          <w:color w:val="000000"/>
          <w:kern w:val="0"/>
          <w:sz w:val="24"/>
          <w:szCs w:val="24"/>
          <w:lang w:val="en-US" w:eastAsia="zh-CN"/>
        </w:rPr>
        <w:t>监测结果表明，该项目锅炉废气处理设施出口测得颗粒物浓度为10~14mg/m</w:t>
      </w:r>
      <w:r>
        <w:rPr>
          <w:rFonts w:hint="default" w:ascii="Times New Roman" w:hAnsi="Times New Roman" w:eastAsia="宋体" w:cs="Times New Roman"/>
          <w:caps w:val="0"/>
          <w:smallCaps w:val="0"/>
          <w:snapToGrid w:val="0"/>
          <w:color w:val="000000"/>
          <w:kern w:val="0"/>
          <w:sz w:val="24"/>
          <w:szCs w:val="24"/>
          <w:vertAlign w:val="superscript"/>
          <w:lang w:val="en-US" w:eastAsia="zh-CN"/>
        </w:rPr>
        <w:t>3</w:t>
      </w:r>
      <w:r>
        <w:rPr>
          <w:rFonts w:hint="default" w:ascii="Times New Roman" w:hAnsi="Times New Roman" w:eastAsia="宋体" w:cs="Times New Roman"/>
          <w:caps w:val="0"/>
          <w:smallCaps w:val="0"/>
          <w:snapToGrid w:val="0"/>
          <w:color w:val="000000"/>
          <w:kern w:val="0"/>
          <w:sz w:val="24"/>
          <w:szCs w:val="24"/>
          <w:lang w:val="en-US" w:eastAsia="zh-CN"/>
        </w:rPr>
        <w:t>，二氧化硫浓度为35~42mg/m</w:t>
      </w:r>
      <w:r>
        <w:rPr>
          <w:rFonts w:hint="default" w:ascii="Times New Roman" w:hAnsi="Times New Roman" w:eastAsia="宋体" w:cs="Times New Roman"/>
          <w:caps w:val="0"/>
          <w:smallCaps w:val="0"/>
          <w:snapToGrid w:val="0"/>
          <w:color w:val="000000"/>
          <w:kern w:val="0"/>
          <w:sz w:val="24"/>
          <w:szCs w:val="24"/>
          <w:vertAlign w:val="superscript"/>
          <w:lang w:val="en-US" w:eastAsia="zh-CN"/>
        </w:rPr>
        <w:t>3</w:t>
      </w:r>
      <w:r>
        <w:rPr>
          <w:rFonts w:hint="default" w:ascii="Times New Roman" w:hAnsi="Times New Roman" w:eastAsia="宋体" w:cs="Times New Roman"/>
          <w:caps w:val="0"/>
          <w:smallCaps w:val="0"/>
          <w:snapToGrid w:val="0"/>
          <w:color w:val="000000"/>
          <w:kern w:val="0"/>
          <w:sz w:val="24"/>
          <w:szCs w:val="24"/>
          <w:lang w:val="en-US" w:eastAsia="zh-CN"/>
        </w:rPr>
        <w:t>，氮氧化物浓度为85~93mg/m</w:t>
      </w:r>
      <w:r>
        <w:rPr>
          <w:rFonts w:hint="default" w:ascii="Times New Roman" w:hAnsi="Times New Roman" w:eastAsia="宋体" w:cs="Times New Roman"/>
          <w:caps w:val="0"/>
          <w:smallCaps w:val="0"/>
          <w:snapToGrid w:val="0"/>
          <w:color w:val="000000"/>
          <w:kern w:val="0"/>
          <w:sz w:val="24"/>
          <w:szCs w:val="24"/>
          <w:vertAlign w:val="superscript"/>
          <w:lang w:val="en-US" w:eastAsia="zh-CN"/>
        </w:rPr>
        <w:t>3</w:t>
      </w:r>
      <w:r>
        <w:rPr>
          <w:rFonts w:hint="default" w:ascii="Times New Roman" w:hAnsi="Times New Roman" w:eastAsia="宋体" w:cs="Times New Roman"/>
          <w:caps w:val="0"/>
          <w:smallCaps w:val="0"/>
          <w:snapToGrid w:val="0"/>
          <w:color w:val="000000"/>
          <w:kern w:val="0"/>
          <w:sz w:val="24"/>
          <w:szCs w:val="24"/>
          <w:lang w:val="en-US" w:eastAsia="zh-CN"/>
        </w:rPr>
        <w:t>，林格曼黑度为1级，各项污染物均达到了《锅炉大气污染物排放标准》</w:t>
      </w:r>
      <w:r>
        <w:rPr>
          <w:rFonts w:hint="eastAsia" w:ascii="Times New Roman" w:hAnsi="Times New Roman" w:cs="Times New Roman"/>
          <w:caps w:val="0"/>
          <w:smallCaps w:val="0"/>
          <w:snapToGrid w:val="0"/>
          <w:color w:val="000000"/>
          <w:kern w:val="0"/>
          <w:sz w:val="24"/>
          <w:szCs w:val="24"/>
          <w:lang w:val="en-US" w:eastAsia="zh-CN"/>
        </w:rPr>
        <w:t>(</w:t>
      </w:r>
      <w:r>
        <w:rPr>
          <w:rFonts w:hint="default" w:ascii="Times New Roman" w:hAnsi="Times New Roman" w:eastAsia="宋体" w:cs="Times New Roman"/>
          <w:caps w:val="0"/>
          <w:smallCaps w:val="0"/>
          <w:snapToGrid w:val="0"/>
          <w:color w:val="000000"/>
          <w:kern w:val="0"/>
          <w:sz w:val="24"/>
          <w:szCs w:val="24"/>
          <w:lang w:val="en-US" w:eastAsia="zh-CN"/>
        </w:rPr>
        <w:t>GB 13271-2014）表3中燃油锅炉特别排放限值标准要求。</w:t>
      </w:r>
    </w:p>
    <w:p>
      <w:pPr>
        <w:spacing w:line="360" w:lineRule="auto"/>
        <w:ind w:firstLine="480"/>
        <w:jc w:val="both"/>
        <w:rPr>
          <w:rFonts w:hint="default" w:ascii="Times New Roman" w:hAnsi="Times New Roman" w:eastAsia="宋体" w:cs="Times New Roman"/>
          <w:caps w:val="0"/>
          <w:smallCaps w:val="0"/>
          <w:snapToGrid w:val="0"/>
          <w:color w:val="000000"/>
          <w:kern w:val="0"/>
          <w:sz w:val="24"/>
          <w:szCs w:val="24"/>
          <w:lang w:val="en-US" w:eastAsia="zh-CN"/>
        </w:rPr>
      </w:pPr>
      <w:r>
        <w:rPr>
          <w:rFonts w:hint="eastAsia" w:ascii="Times New Roman" w:hAnsi="Times New Roman" w:cs="Times New Roman"/>
          <w:caps w:val="0"/>
          <w:smallCaps w:val="0"/>
          <w:snapToGrid w:val="0"/>
          <w:color w:val="000000"/>
          <w:kern w:val="0"/>
          <w:sz w:val="24"/>
          <w:szCs w:val="24"/>
          <w:lang w:val="en-US" w:eastAsia="zh-CN"/>
        </w:rPr>
        <w:t>（3）厂界无组织废气</w:t>
      </w:r>
    </w:p>
    <w:p>
      <w:pPr>
        <w:snapToGrid w:val="0"/>
        <w:spacing w:line="360" w:lineRule="auto"/>
        <w:ind w:firstLine="480" w:firstLineChars="200"/>
        <w:rPr>
          <w:rFonts w:hint="eastAsia" w:ascii="Times New Roman" w:hAnsi="Times New Roman" w:cs="Times New Roman"/>
          <w:bCs/>
          <w:caps w:val="0"/>
          <w:smallCaps w:val="0"/>
          <w:sz w:val="24"/>
          <w:lang w:eastAsia="zh-CN"/>
        </w:rPr>
      </w:pPr>
      <w:r>
        <w:rPr>
          <w:rFonts w:hint="default" w:ascii="Times New Roman" w:hAnsi="Times New Roman" w:cs="Times New Roman"/>
          <w:bCs/>
          <w:caps w:val="0"/>
          <w:smallCaps w:val="0"/>
          <w:sz w:val="24"/>
          <w:lang w:val="en-US" w:eastAsia="zh-CN"/>
        </w:rPr>
        <w:t>根据</w:t>
      </w:r>
      <w:r>
        <w:rPr>
          <w:rFonts w:hint="default" w:ascii="Times New Roman" w:hAnsi="Times New Roman" w:cs="Times New Roman"/>
          <w:bCs/>
          <w:caps w:val="0"/>
          <w:smallCaps w:val="0"/>
          <w:sz w:val="24"/>
        </w:rPr>
        <w:t>湖南宏润检测有限公司</w:t>
      </w:r>
      <w:r>
        <w:rPr>
          <w:rFonts w:hint="eastAsia" w:ascii="Times New Roman" w:hAnsi="Times New Roman" w:cs="Times New Roman"/>
          <w:bCs/>
          <w:caps w:val="0"/>
          <w:smallCaps w:val="0"/>
          <w:sz w:val="24"/>
          <w:lang w:val="en-US" w:eastAsia="zh-CN"/>
        </w:rPr>
        <w:t>2020年1月</w:t>
      </w:r>
      <w:r>
        <w:rPr>
          <w:rFonts w:hint="default" w:ascii="Times New Roman" w:hAnsi="Times New Roman" w:cs="Times New Roman"/>
          <w:bCs/>
          <w:caps w:val="0"/>
          <w:smallCaps w:val="0"/>
          <w:sz w:val="24"/>
          <w:lang w:val="en-US" w:eastAsia="zh-CN"/>
        </w:rPr>
        <w:t>编制的</w:t>
      </w:r>
      <w:r>
        <w:rPr>
          <w:rFonts w:hint="eastAsia" w:ascii="Times New Roman" w:hAnsi="Times New Roman" w:cs="Times New Roman"/>
          <w:bCs/>
          <w:caps w:val="0"/>
          <w:smallCaps w:val="0"/>
          <w:sz w:val="24"/>
          <w:lang w:val="en-US" w:eastAsia="zh-CN"/>
        </w:rPr>
        <w:t>《</w:t>
      </w:r>
      <w:bookmarkStart w:id="27" w:name="OLE_LINK21"/>
      <w:r>
        <w:rPr>
          <w:rFonts w:hint="default" w:ascii="Times New Roman" w:hAnsi="Times New Roman" w:cs="Times New Roman"/>
          <w:bCs/>
          <w:caps w:val="0"/>
          <w:smallCaps w:val="0"/>
          <w:sz w:val="24"/>
        </w:rPr>
        <w:t>湖南海丰物流有限公司2017年度库区改扩建工程</w:t>
      </w:r>
      <w:bookmarkEnd w:id="27"/>
      <w:r>
        <w:rPr>
          <w:rFonts w:hint="default" w:ascii="Times New Roman" w:hAnsi="Times New Roman" w:cs="Times New Roman"/>
          <w:bCs/>
          <w:caps w:val="0"/>
          <w:smallCaps w:val="0"/>
          <w:sz w:val="24"/>
        </w:rPr>
        <w:t>竣工环境保护验收监测报告表</w:t>
      </w:r>
      <w:r>
        <w:rPr>
          <w:rFonts w:hint="eastAsia" w:ascii="Times New Roman" w:hAnsi="Times New Roman" w:cs="Times New Roman"/>
          <w:bCs/>
          <w:caps w:val="0"/>
          <w:smallCaps w:val="0"/>
          <w:sz w:val="24"/>
          <w:lang w:val="en-US" w:eastAsia="zh-CN"/>
        </w:rPr>
        <w:t>》，企业厂界污染物无组织排放数据均达到</w:t>
      </w:r>
      <w:r>
        <w:rPr>
          <w:rFonts w:ascii="Times New Roman" w:hAnsi="Times New Roman" w:cs="Times New Roman"/>
          <w:bCs/>
          <w:caps w:val="0"/>
          <w:smallCaps w:val="0"/>
          <w:sz w:val="24"/>
        </w:rPr>
        <w:t>《大气污染物综合排放标准》（GB 16297-1996）表2中二级标准排放限值要求</w:t>
      </w:r>
      <w:r>
        <w:rPr>
          <w:rFonts w:hint="eastAsia" w:ascii="Times New Roman" w:hAnsi="Times New Roman" w:cs="Times New Roman"/>
          <w:bCs/>
          <w:caps w:val="0"/>
          <w:smallCaps w:val="0"/>
          <w:sz w:val="24"/>
          <w:lang w:eastAsia="zh-CN"/>
        </w:rPr>
        <w:t>。</w:t>
      </w:r>
    </w:p>
    <w:p>
      <w:pPr>
        <w:jc w:val="center"/>
        <w:rPr>
          <w:rFonts w:ascii="Times New Roman" w:hAnsi="Times New Roman" w:cs="Times New Roman"/>
          <w:b/>
          <w:caps w:val="0"/>
          <w:smallCaps w:val="0"/>
          <w:szCs w:val="21"/>
        </w:rPr>
      </w:pPr>
      <w:r>
        <w:rPr>
          <w:rFonts w:ascii="Times New Roman" w:hAnsi="Times New Roman" w:cs="Times New Roman"/>
          <w:b/>
          <w:caps w:val="0"/>
          <w:smallCaps w:val="0"/>
          <w:szCs w:val="21"/>
        </w:rPr>
        <w:t>表</w:t>
      </w:r>
      <w:r>
        <w:rPr>
          <w:rFonts w:hint="eastAsia" w:ascii="Times New Roman" w:hAnsi="Times New Roman" w:cs="Times New Roman"/>
          <w:b/>
          <w:caps w:val="0"/>
          <w:smallCaps w:val="0"/>
          <w:szCs w:val="21"/>
          <w:lang w:val="en-US" w:eastAsia="zh-CN"/>
        </w:rPr>
        <w:t>3.</w:t>
      </w:r>
      <w:r>
        <w:rPr>
          <w:rFonts w:hint="eastAsia" w:cs="Times New Roman"/>
          <w:b/>
          <w:caps w:val="0"/>
          <w:smallCaps w:val="0"/>
          <w:szCs w:val="21"/>
          <w:lang w:val="en-US" w:eastAsia="zh-CN"/>
        </w:rPr>
        <w:t>4</w:t>
      </w:r>
      <w:r>
        <w:rPr>
          <w:rFonts w:ascii="Times New Roman" w:hAnsi="Times New Roman" w:cs="Times New Roman"/>
          <w:b/>
          <w:caps w:val="0"/>
          <w:smallCaps w:val="0"/>
          <w:szCs w:val="21"/>
        </w:rPr>
        <w:t>-</w:t>
      </w:r>
      <w:r>
        <w:rPr>
          <w:rFonts w:hint="eastAsia" w:ascii="Times New Roman" w:hAnsi="Times New Roman" w:cs="Times New Roman"/>
          <w:b/>
          <w:caps w:val="0"/>
          <w:smallCaps w:val="0"/>
          <w:szCs w:val="21"/>
          <w:lang w:val="en-US" w:eastAsia="zh-CN"/>
        </w:rPr>
        <w:t>4</w:t>
      </w:r>
      <w:r>
        <w:rPr>
          <w:rFonts w:ascii="Times New Roman" w:hAnsi="Times New Roman" w:cs="Times New Roman"/>
          <w:b/>
          <w:caps w:val="0"/>
          <w:smallCaps w:val="0"/>
          <w:szCs w:val="21"/>
        </w:rPr>
        <w:t>厂界无组织废气检测结果</w:t>
      </w:r>
    </w:p>
    <w:tbl>
      <w:tblPr>
        <w:tblStyle w:val="7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1"/>
        <w:gridCol w:w="958"/>
        <w:gridCol w:w="1229"/>
        <w:gridCol w:w="1411"/>
        <w:gridCol w:w="1023"/>
        <w:gridCol w:w="1023"/>
        <w:gridCol w:w="1033"/>
        <w:gridCol w:w="842"/>
        <w:gridCol w:w="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469"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检测</w:t>
            </w:r>
          </w:p>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516"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单位</w:t>
            </w: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采样点位</w:t>
            </w:r>
          </w:p>
        </w:tc>
        <w:tc>
          <w:tcPr>
            <w:tcW w:w="760"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采样日期</w:t>
            </w:r>
          </w:p>
        </w:tc>
        <w:tc>
          <w:tcPr>
            <w:tcW w:w="1658" w:type="pct"/>
            <w:gridSpan w:val="3"/>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检测结果</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最大值</w:t>
            </w:r>
          </w:p>
        </w:tc>
        <w:tc>
          <w:tcPr>
            <w:tcW w:w="478"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w:t>
            </w:r>
          </w:p>
          <w:p>
            <w:pPr>
              <w:pStyle w:val="117"/>
              <w:bidi w:val="0"/>
              <w:rPr>
                <w:rFonts w:ascii="Times New Roman" w:hAnsi="Times New Roman" w:cs="Times New Roman"/>
                <w:caps w:val="0"/>
                <w:smallCaps w:val="0"/>
              </w:rPr>
            </w:pPr>
            <w:r>
              <w:rPr>
                <w:rFonts w:ascii="Times New Roman" w:hAnsi="Times New Roman" w:cs="Times New Roman"/>
                <w:caps w:val="0"/>
                <w:smallCaps w:val="0"/>
              </w:rPr>
              <w:t>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vMerge w:val="continue"/>
            <w:noWrap w:val="0"/>
            <w:vAlign w:val="center"/>
          </w:tcPr>
          <w:p>
            <w:pPr>
              <w:pStyle w:val="117"/>
              <w:bidi w:val="0"/>
              <w:rPr>
                <w:rFonts w:ascii="Times New Roman" w:hAnsi="Times New Roman" w:cs="Times New Roman"/>
                <w:caps w:val="0"/>
                <w:smallCaps w:val="0"/>
              </w:rPr>
            </w:pP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第1次</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第2次</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第3次</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颗粒物</w:t>
            </w:r>
          </w:p>
        </w:tc>
        <w:tc>
          <w:tcPr>
            <w:tcW w:w="516"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mg/m</w:t>
            </w:r>
            <w:r>
              <w:rPr>
                <w:rFonts w:ascii="Times New Roman" w:hAnsi="Times New Roman" w:cs="Times New Roman"/>
                <w:caps w:val="0"/>
                <w:smallCaps w:val="0"/>
                <w:vertAlign w:val="superscript"/>
              </w:rPr>
              <w:t>3</w:t>
            </w: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厂界上风向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○G1</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0.167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0.149</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0.187</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0.203</w:t>
            </w:r>
          </w:p>
        </w:tc>
        <w:tc>
          <w:tcPr>
            <w:tcW w:w="478"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0.148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0.203</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0.185</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厂界下风向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○G2</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0.297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0.317</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0.298</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0.317</w:t>
            </w: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0.277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0.258</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0.315</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厂界下风向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○G3</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0.353</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0.391</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0.336</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0.391</w:t>
            </w: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0.351</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0.331</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0.389</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沥青烟</w:t>
            </w:r>
          </w:p>
        </w:tc>
        <w:tc>
          <w:tcPr>
            <w:tcW w:w="516"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mg/m</w:t>
            </w:r>
            <w:r>
              <w:rPr>
                <w:rFonts w:ascii="Times New Roman" w:hAnsi="Times New Roman" w:cs="Times New Roman"/>
                <w:caps w:val="0"/>
                <w:smallCaps w:val="0"/>
                <w:vertAlign w:val="subscript"/>
              </w:rPr>
              <w:t>3</w:t>
            </w: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厂界上风向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○G1</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78"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生产设备不得有明显的无组织排放存在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厂界下风向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○G2</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厂界下风向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○G3</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苯并[a]芘</w:t>
            </w:r>
          </w:p>
        </w:tc>
        <w:tc>
          <w:tcPr>
            <w:tcW w:w="516"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mg/m</w:t>
            </w:r>
            <w:r>
              <w:rPr>
                <w:rFonts w:ascii="Times New Roman" w:hAnsi="Times New Roman" w:cs="Times New Roman"/>
                <w:caps w:val="0"/>
                <w:smallCaps w:val="0"/>
                <w:vertAlign w:val="superscript"/>
              </w:rPr>
              <w:t>3</w:t>
            </w: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厂界上风向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○G1</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478"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8.0×</w:t>
            </w:r>
          </w:p>
          <w:p>
            <w:pPr>
              <w:pStyle w:val="117"/>
              <w:bidi w:val="0"/>
              <w:rPr>
                <w:rFonts w:ascii="Times New Roman" w:hAnsi="Times New Roman" w:cs="Times New Roman"/>
                <w:caps w:val="0"/>
                <w:smallCaps w:val="0"/>
              </w:rPr>
            </w:pPr>
            <w:r>
              <w:rPr>
                <w:rFonts w:ascii="Times New Roman" w:hAnsi="Times New Roman" w:cs="Times New Roman"/>
                <w:caps w:val="0"/>
                <w:smallCaps w:val="0"/>
              </w:rPr>
              <w:t>10-6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厂界下风向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○G2</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厂界下风向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○G3</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p>
            <w:pPr>
              <w:pStyle w:val="117"/>
              <w:bidi w:val="0"/>
              <w:rPr>
                <w:rFonts w:ascii="Times New Roman" w:hAnsi="Times New Roman" w:cs="Times New Roman"/>
                <w:caps w:val="0"/>
                <w:smallCaps w:val="0"/>
              </w:rPr>
            </w:pPr>
            <w:r>
              <w:rPr>
                <w:rFonts w:ascii="Times New Roman" w:hAnsi="Times New Roman" w:cs="Times New Roman"/>
                <w:caps w:val="0"/>
                <w:smallCaps w:val="0"/>
              </w:rPr>
              <w:t>10-7L</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restart"/>
            <w:noWrap w:val="0"/>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eastAsia="zh-CN"/>
              </w:rPr>
              <w:t>非甲烷总烃</w:t>
            </w:r>
          </w:p>
        </w:tc>
        <w:tc>
          <w:tcPr>
            <w:tcW w:w="516"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mg/m</w:t>
            </w:r>
            <w:r>
              <w:rPr>
                <w:rFonts w:ascii="Times New Roman" w:hAnsi="Times New Roman" w:cs="Times New Roman"/>
                <w:caps w:val="0"/>
                <w:smallCaps w:val="0"/>
                <w:vertAlign w:val="superscript"/>
              </w:rPr>
              <w:t>3</w:t>
            </w: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厂界上风向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○G1</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0.692</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0.680</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0.691</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0.704</w:t>
            </w:r>
          </w:p>
        </w:tc>
        <w:tc>
          <w:tcPr>
            <w:tcW w:w="478" w:type="pct"/>
            <w:vMerge w:val="restart"/>
            <w:noWrap w:val="0"/>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4</w:t>
            </w:r>
            <w:r>
              <w:rPr>
                <w:rFonts w:ascii="Times New Roman" w:hAnsi="Times New Roman" w:cs="Times New Roman"/>
                <w:caps w:val="0"/>
                <w:smallCaps w:val="0"/>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0.704</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0.695</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0.686</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厂界下风向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○G2</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0.860</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0.877</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0.881</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0.881</w:t>
            </w: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0.877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0.883</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0.874</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厂界下风向</w:t>
            </w:r>
          </w:p>
          <w:p>
            <w:pPr>
              <w:pStyle w:val="117"/>
              <w:bidi w:val="0"/>
              <w:rPr>
                <w:rFonts w:ascii="Times New Roman" w:hAnsi="Times New Roman" w:cs="Times New Roman"/>
                <w:caps w:val="0"/>
                <w:smallCaps w:val="0"/>
              </w:rPr>
            </w:pPr>
            <w:r>
              <w:rPr>
                <w:rFonts w:ascii="Times New Roman" w:hAnsi="Times New Roman" w:cs="Times New Roman"/>
                <w:caps w:val="0"/>
                <w:smallCaps w:val="0"/>
              </w:rPr>
              <w:t>○G3</w:t>
            </w: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2019.9.27</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0.748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0.751</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0.740</w:t>
            </w:r>
          </w:p>
        </w:tc>
        <w:tc>
          <w:tcPr>
            <w:tcW w:w="45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0.751</w:t>
            </w:r>
          </w:p>
        </w:tc>
        <w:tc>
          <w:tcPr>
            <w:tcW w:w="478" w:type="pct"/>
            <w:vMerge w:val="continue"/>
            <w:noWrap w:val="0"/>
            <w:vAlign w:val="center"/>
          </w:tcPr>
          <w:p>
            <w:pPr>
              <w:pStyle w:val="117"/>
              <w:bidi w:val="0"/>
              <w:rPr>
                <w:rFonts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9" w:type="pct"/>
            <w:vMerge w:val="continue"/>
            <w:noWrap w:val="0"/>
            <w:vAlign w:val="center"/>
          </w:tcPr>
          <w:p>
            <w:pPr>
              <w:pStyle w:val="117"/>
              <w:bidi w:val="0"/>
              <w:rPr>
                <w:rFonts w:ascii="Times New Roman" w:hAnsi="Times New Roman" w:cs="Times New Roman"/>
                <w:caps w:val="0"/>
                <w:smallCaps w:val="0"/>
              </w:rPr>
            </w:pPr>
          </w:p>
        </w:tc>
        <w:tc>
          <w:tcPr>
            <w:tcW w:w="516" w:type="pct"/>
            <w:vMerge w:val="continue"/>
            <w:noWrap w:val="0"/>
            <w:vAlign w:val="center"/>
          </w:tcPr>
          <w:p>
            <w:pPr>
              <w:pStyle w:val="117"/>
              <w:bidi w:val="0"/>
              <w:rPr>
                <w:rFonts w:ascii="Times New Roman" w:hAnsi="Times New Roman" w:cs="Times New Roman"/>
                <w:caps w:val="0"/>
                <w:smallCaps w:val="0"/>
              </w:rPr>
            </w:pPr>
          </w:p>
        </w:tc>
        <w:tc>
          <w:tcPr>
            <w:tcW w:w="662" w:type="pct"/>
            <w:vMerge w:val="continue"/>
            <w:noWrap w:val="0"/>
            <w:vAlign w:val="center"/>
          </w:tcPr>
          <w:p>
            <w:pPr>
              <w:pStyle w:val="117"/>
              <w:bidi w:val="0"/>
              <w:rPr>
                <w:rFonts w:ascii="Times New Roman" w:hAnsi="Times New Roman" w:cs="Times New Roman"/>
                <w:caps w:val="0"/>
                <w:smallCaps w:val="0"/>
              </w:rPr>
            </w:pPr>
          </w:p>
        </w:tc>
        <w:tc>
          <w:tcPr>
            <w:tcW w:w="760"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2019.9.28</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0.739</w:t>
            </w:r>
          </w:p>
        </w:tc>
        <w:tc>
          <w:tcPr>
            <w:tcW w:w="551"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0.751</w:t>
            </w:r>
          </w:p>
        </w:tc>
        <w:tc>
          <w:tcPr>
            <w:tcW w:w="555"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0.733</w:t>
            </w:r>
          </w:p>
        </w:tc>
        <w:tc>
          <w:tcPr>
            <w:tcW w:w="453" w:type="pct"/>
            <w:vMerge w:val="continue"/>
            <w:noWrap w:val="0"/>
            <w:vAlign w:val="center"/>
          </w:tcPr>
          <w:p>
            <w:pPr>
              <w:pStyle w:val="117"/>
              <w:bidi w:val="0"/>
              <w:rPr>
                <w:rFonts w:ascii="Times New Roman" w:hAnsi="Times New Roman" w:cs="Times New Roman"/>
                <w:caps w:val="0"/>
                <w:smallCaps w:val="0"/>
              </w:rPr>
            </w:pPr>
          </w:p>
        </w:tc>
        <w:tc>
          <w:tcPr>
            <w:tcW w:w="478" w:type="pct"/>
            <w:vMerge w:val="continue"/>
            <w:noWrap w:val="0"/>
            <w:vAlign w:val="center"/>
          </w:tcPr>
          <w:p>
            <w:pPr>
              <w:pStyle w:val="117"/>
              <w:bidi w:val="0"/>
              <w:rPr>
                <w:rFonts w:ascii="Times New Roman" w:hAnsi="Times New Roman" w:cs="Times New Roman"/>
                <w:caps w:val="0"/>
                <w:smallCaps w:val="0"/>
              </w:rPr>
            </w:pPr>
          </w:p>
        </w:tc>
      </w:tr>
    </w:tbl>
    <w:p>
      <w:pPr>
        <w:snapToGrid w:val="0"/>
        <w:spacing w:line="360" w:lineRule="auto"/>
        <w:ind w:firstLine="480" w:firstLineChars="200"/>
        <w:rPr>
          <w:rFonts w:hint="default" w:ascii="Times New Roman" w:hAnsi="Times New Roman" w:cs="Times New Roman"/>
          <w:bCs/>
          <w:caps w:val="0"/>
          <w:smallCaps w:val="0"/>
          <w:sz w:val="24"/>
        </w:rPr>
      </w:pPr>
      <w:r>
        <w:rPr>
          <w:rFonts w:hint="eastAsia" w:ascii="Times New Roman" w:hAnsi="Times New Roman" w:cs="Times New Roman"/>
          <w:bCs/>
          <w:caps w:val="0"/>
          <w:smallCaps w:val="0"/>
          <w:sz w:val="24"/>
          <w:lang w:val="en-US" w:eastAsia="zh-CN"/>
        </w:rPr>
        <w:t>2、</w:t>
      </w:r>
      <w:r>
        <w:rPr>
          <w:rFonts w:hint="default" w:ascii="Times New Roman" w:hAnsi="Times New Roman" w:cs="Times New Roman"/>
          <w:bCs/>
          <w:caps w:val="0"/>
          <w:smallCaps w:val="0"/>
          <w:sz w:val="24"/>
        </w:rPr>
        <w:t>废水</w:t>
      </w:r>
    </w:p>
    <w:p>
      <w:pPr>
        <w:snapToGrid w:val="0"/>
        <w:spacing w:line="360" w:lineRule="auto"/>
        <w:ind w:firstLine="480" w:firstLineChars="200"/>
        <w:rPr>
          <w:rFonts w:hint="default" w:ascii="Times New Roman" w:hAnsi="Times New Roman" w:cs="Times New Roman"/>
          <w:bCs/>
          <w:caps w:val="0"/>
          <w:smallCaps w:val="0"/>
          <w:sz w:val="24"/>
        </w:rPr>
      </w:pPr>
      <w:r>
        <w:rPr>
          <w:rFonts w:hint="default" w:ascii="Times New Roman" w:hAnsi="Times New Roman" w:cs="Times New Roman"/>
          <w:bCs/>
          <w:caps w:val="0"/>
          <w:smallCaps w:val="0"/>
          <w:sz w:val="24"/>
        </w:rPr>
        <w:t>本项目运营期产生废水为生活污水、冷却水、脱硫除尘废水、过滤箱冷凝水。</w:t>
      </w:r>
    </w:p>
    <w:p>
      <w:pPr>
        <w:snapToGrid w:val="0"/>
        <w:spacing w:line="360" w:lineRule="auto"/>
        <w:ind w:firstLine="480" w:firstLineChars="200"/>
        <w:rPr>
          <w:rFonts w:hint="default" w:ascii="Times New Roman" w:hAnsi="Times New Roman" w:cs="Times New Roman"/>
          <w:bCs/>
          <w:caps w:val="0"/>
          <w:smallCaps w:val="0"/>
          <w:sz w:val="24"/>
        </w:rPr>
      </w:pPr>
      <w:r>
        <w:rPr>
          <w:rFonts w:hint="default" w:ascii="Times New Roman" w:hAnsi="Times New Roman" w:cs="Times New Roman"/>
          <w:bCs/>
          <w:caps w:val="0"/>
          <w:smallCaps w:val="0"/>
          <w:sz w:val="24"/>
        </w:rPr>
        <w:t>生活污水</w:t>
      </w:r>
      <w:r>
        <w:rPr>
          <w:rFonts w:hint="eastAsia" w:ascii="Times New Roman" w:hAnsi="Times New Roman" w:cs="Times New Roman"/>
          <w:bCs/>
          <w:caps w:val="0"/>
          <w:smallCaps w:val="0"/>
          <w:sz w:val="24"/>
          <w:lang w:eastAsia="zh-CN"/>
        </w:rPr>
        <w:t>经</w:t>
      </w:r>
      <w:r>
        <w:rPr>
          <w:rFonts w:hint="default" w:ascii="Times New Roman" w:hAnsi="Times New Roman" w:cs="Times New Roman"/>
          <w:bCs/>
          <w:caps w:val="0"/>
          <w:smallCaps w:val="0"/>
          <w:sz w:val="24"/>
        </w:rPr>
        <w:t>化粪池（容积约2m</w:t>
      </w:r>
      <w:r>
        <w:rPr>
          <w:rFonts w:hint="default" w:ascii="Times New Roman" w:hAnsi="Times New Roman" w:cs="Times New Roman"/>
          <w:bCs/>
          <w:caps w:val="0"/>
          <w:smallCaps w:val="0"/>
          <w:sz w:val="24"/>
          <w:vertAlign w:val="superscript"/>
        </w:rPr>
        <w:t>3</w:t>
      </w:r>
      <w:r>
        <w:rPr>
          <w:rFonts w:hint="default" w:ascii="Times New Roman" w:hAnsi="Times New Roman" w:cs="Times New Roman"/>
          <w:bCs/>
          <w:caps w:val="0"/>
          <w:smallCaps w:val="0"/>
          <w:sz w:val="24"/>
        </w:rPr>
        <w:t>）处理后</w:t>
      </w:r>
      <w:r>
        <w:rPr>
          <w:rFonts w:hint="eastAsia" w:ascii="Times New Roman" w:hAnsi="Times New Roman" w:cs="Times New Roman"/>
          <w:bCs/>
          <w:caps w:val="0"/>
          <w:smallCaps w:val="0"/>
          <w:sz w:val="24"/>
          <w:lang w:eastAsia="zh-CN"/>
        </w:rPr>
        <w:t>排入市政污水管网</w:t>
      </w:r>
      <w:r>
        <w:rPr>
          <w:rFonts w:hint="default" w:ascii="Times New Roman" w:hAnsi="Times New Roman" w:cs="Times New Roman"/>
          <w:bCs/>
          <w:caps w:val="0"/>
          <w:smallCaps w:val="0"/>
          <w:sz w:val="24"/>
        </w:rPr>
        <w:t>；冷却水经水箱沉淀后循环使用，定期补充，不外排；脱硫除尘废水经水箱沉淀中和后循环使用，定期补充，不外排过滤箱冷凝水（加了氢氧化钠）经三级沉淀池沉淀后循环使用（沥青油污回收重新入罐）。</w:t>
      </w:r>
    </w:p>
    <w:p>
      <w:pPr>
        <w:adjustRightInd w:val="0"/>
        <w:snapToGrid w:val="0"/>
        <w:spacing w:line="360" w:lineRule="auto"/>
        <w:ind w:firstLine="480" w:firstLineChars="200"/>
        <w:rPr>
          <w:rFonts w:hint="default" w:ascii="Times New Roman" w:hAnsi="Times New Roman" w:cs="Times New Roman"/>
          <w:bCs/>
          <w:caps w:val="0"/>
          <w:smallCaps w:val="0"/>
          <w:sz w:val="24"/>
          <w:highlight w:val="none"/>
        </w:rPr>
      </w:pPr>
      <w:r>
        <w:rPr>
          <w:rFonts w:hint="eastAsia" w:ascii="Times New Roman" w:hAnsi="Times New Roman" w:cs="Times New Roman"/>
          <w:bCs/>
          <w:caps w:val="0"/>
          <w:smallCaps w:val="0"/>
          <w:sz w:val="24"/>
          <w:highlight w:val="none"/>
          <w:lang w:val="en-US" w:eastAsia="zh-CN"/>
        </w:rPr>
        <w:t>3、</w:t>
      </w:r>
      <w:r>
        <w:rPr>
          <w:rFonts w:hint="default" w:ascii="Times New Roman" w:hAnsi="Times New Roman" w:cs="Times New Roman"/>
          <w:bCs/>
          <w:caps w:val="0"/>
          <w:smallCaps w:val="0"/>
          <w:sz w:val="24"/>
          <w:highlight w:val="none"/>
        </w:rPr>
        <w:t>固体废物</w:t>
      </w:r>
    </w:p>
    <w:p>
      <w:pPr>
        <w:spacing w:line="360" w:lineRule="auto"/>
        <w:ind w:firstLine="480" w:firstLineChars="200"/>
        <w:rPr>
          <w:rFonts w:hint="default" w:ascii="Times New Roman" w:hAnsi="Times New Roman" w:cs="Times New Roman"/>
          <w:b/>
          <w:bCs/>
          <w:caps w:val="0"/>
          <w:smallCaps w:val="0"/>
          <w:szCs w:val="21"/>
        </w:rPr>
      </w:pPr>
      <w:r>
        <w:rPr>
          <w:rFonts w:hint="default" w:ascii="Times New Roman" w:hAnsi="Times New Roman" w:cs="Times New Roman"/>
          <w:caps w:val="0"/>
          <w:smallCaps w:val="0"/>
          <w:sz w:val="24"/>
        </w:rPr>
        <w:t>本项目固体废物、危险废物处理、处置情况一览表，见表</w:t>
      </w:r>
      <w:r>
        <w:rPr>
          <w:rFonts w:hint="eastAsia" w:ascii="Times New Roman" w:hAnsi="Times New Roman" w:cs="Times New Roman"/>
          <w:b/>
          <w:bCs/>
          <w:caps w:val="0"/>
          <w:smallCaps w:val="0"/>
          <w:sz w:val="24"/>
          <w:szCs w:val="24"/>
          <w:lang w:val="en-US" w:eastAsia="zh-CN"/>
        </w:rPr>
        <w:t>3.</w:t>
      </w:r>
      <w:r>
        <w:rPr>
          <w:rFonts w:hint="eastAsia" w:cs="Times New Roman"/>
          <w:b/>
          <w:bCs/>
          <w:caps w:val="0"/>
          <w:smallCaps w:val="0"/>
          <w:sz w:val="24"/>
          <w:szCs w:val="24"/>
          <w:lang w:val="en-US" w:eastAsia="zh-CN"/>
        </w:rPr>
        <w:t>4</w:t>
      </w:r>
      <w:r>
        <w:rPr>
          <w:rFonts w:hint="eastAsia" w:ascii="Times New Roman" w:hAnsi="Times New Roman" w:cs="Times New Roman"/>
          <w:b/>
          <w:bCs/>
          <w:caps w:val="0"/>
          <w:smallCaps w:val="0"/>
          <w:sz w:val="24"/>
          <w:szCs w:val="24"/>
          <w:lang w:val="en-US" w:eastAsia="zh-CN"/>
        </w:rPr>
        <w:t>-5</w:t>
      </w:r>
      <w:r>
        <w:rPr>
          <w:rFonts w:hint="default" w:ascii="Times New Roman" w:hAnsi="Times New Roman" w:cs="Times New Roman"/>
          <w:caps w:val="0"/>
          <w:smallCaps w:val="0"/>
          <w:sz w:val="24"/>
        </w:rPr>
        <w:t>。</w:t>
      </w:r>
    </w:p>
    <w:p>
      <w:pPr>
        <w:pStyle w:val="95"/>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表</w:t>
      </w:r>
      <w:r>
        <w:rPr>
          <w:rFonts w:hint="eastAsia" w:ascii="Times New Roman" w:hAnsi="Times New Roman" w:cs="Times New Roman"/>
          <w:b/>
          <w:bCs/>
          <w:caps w:val="0"/>
          <w:smallCaps w:val="0"/>
          <w:sz w:val="24"/>
          <w:szCs w:val="24"/>
          <w:lang w:val="en-US" w:eastAsia="zh-CN"/>
        </w:rPr>
        <w:t>3.4-5</w:t>
      </w:r>
      <w:r>
        <w:rPr>
          <w:rFonts w:hint="default" w:ascii="Times New Roman" w:hAnsi="Times New Roman" w:cs="Times New Roman"/>
          <w:caps w:val="0"/>
          <w:smallCaps w:val="0"/>
          <w:lang w:val="en-US" w:eastAsia="zh-CN"/>
        </w:rPr>
        <w:t>固体废物处理、处置情况一览表</w:t>
      </w:r>
    </w:p>
    <w:tbl>
      <w:tblPr>
        <w:tblStyle w:val="7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1364"/>
        <w:gridCol w:w="1303"/>
        <w:gridCol w:w="1250"/>
        <w:gridCol w:w="28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238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固体废物（危废）名称</w:t>
            </w:r>
          </w:p>
        </w:tc>
        <w:tc>
          <w:tcPr>
            <w:tcW w:w="1364" w:type="dxa"/>
            <w:noWrap w:val="0"/>
            <w:vAlign w:val="center"/>
          </w:tcPr>
          <w:p>
            <w:pPr>
              <w:pStyle w:val="117"/>
              <w:bidi w:val="0"/>
              <w:rPr>
                <w:rFonts w:hint="default" w:ascii="Times New Roman" w:hAnsi="Times New Roman" w:cs="Times New Roman"/>
                <w:caps w:val="0"/>
                <w:smallCaps w:val="0"/>
                <w:lang w:eastAsia="zh-CN"/>
              </w:rPr>
            </w:pPr>
            <w:r>
              <w:rPr>
                <w:rFonts w:hint="default" w:ascii="Times New Roman" w:hAnsi="Times New Roman" w:cs="Times New Roman"/>
                <w:caps w:val="0"/>
                <w:smallCaps w:val="0"/>
                <w:lang w:eastAsia="zh-CN"/>
              </w:rPr>
              <w:t>产生量（</w:t>
            </w:r>
            <w:r>
              <w:rPr>
                <w:rFonts w:hint="default" w:ascii="Times New Roman" w:hAnsi="Times New Roman" w:cs="Times New Roman"/>
                <w:caps w:val="0"/>
                <w:smallCaps w:val="0"/>
                <w:lang w:val="en-US" w:eastAsia="zh-CN"/>
              </w:rPr>
              <w:t>t/a</w:t>
            </w:r>
            <w:r>
              <w:rPr>
                <w:rFonts w:hint="default" w:ascii="Times New Roman" w:hAnsi="Times New Roman" w:cs="Times New Roman"/>
                <w:caps w:val="0"/>
                <w:smallCaps w:val="0"/>
                <w:lang w:eastAsia="zh-CN"/>
              </w:rPr>
              <w:t>）</w:t>
            </w:r>
          </w:p>
        </w:tc>
        <w:tc>
          <w:tcPr>
            <w:tcW w:w="130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来源</w:t>
            </w:r>
          </w:p>
        </w:tc>
        <w:tc>
          <w:tcPr>
            <w:tcW w:w="125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类别</w:t>
            </w:r>
          </w:p>
        </w:tc>
        <w:tc>
          <w:tcPr>
            <w:tcW w:w="2821"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处理、处置方式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2380"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氢氧化钠包装袋</w:t>
            </w:r>
          </w:p>
        </w:tc>
        <w:tc>
          <w:tcPr>
            <w:tcW w:w="1364"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0.5</w:t>
            </w:r>
          </w:p>
        </w:tc>
        <w:tc>
          <w:tcPr>
            <w:tcW w:w="1303"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环保设施/生产过程</w:t>
            </w:r>
          </w:p>
        </w:tc>
        <w:tc>
          <w:tcPr>
            <w:tcW w:w="1250"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危险废物</w:t>
            </w:r>
          </w:p>
        </w:tc>
        <w:tc>
          <w:tcPr>
            <w:tcW w:w="2821" w:type="dxa"/>
            <w:vMerge w:val="restart"/>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分类收集至危废暂存间后定期交由湖南瀚洋环保科技有限公司进行处置。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238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废活性炭</w:t>
            </w:r>
            <w:r>
              <w:rPr>
                <w:rFonts w:hint="default" w:ascii="Times New Roman" w:hAnsi="Times New Roman" w:cs="Times New Roman"/>
                <w:caps w:val="0"/>
                <w:smallCaps w:val="0"/>
              </w:rPr>
              <w:br w:type="textWrapping"/>
            </w:r>
            <w:r>
              <w:rPr>
                <w:rFonts w:hint="default" w:ascii="Times New Roman" w:hAnsi="Times New Roman" w:cs="Times New Roman"/>
                <w:caps w:val="0"/>
                <w:smallCaps w:val="0"/>
              </w:rPr>
              <w:t>900-041-49</w:t>
            </w:r>
          </w:p>
        </w:tc>
        <w:tc>
          <w:tcPr>
            <w:tcW w:w="1364"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0.5</w:t>
            </w:r>
          </w:p>
        </w:tc>
        <w:tc>
          <w:tcPr>
            <w:tcW w:w="1303" w:type="dxa"/>
            <w:vMerge w:val="continue"/>
            <w:noWrap w:val="0"/>
            <w:vAlign w:val="center"/>
          </w:tcPr>
          <w:p>
            <w:pPr>
              <w:pStyle w:val="117"/>
              <w:bidi w:val="0"/>
              <w:rPr>
                <w:rFonts w:hint="default" w:ascii="Times New Roman" w:hAnsi="Times New Roman" w:cs="Times New Roman"/>
                <w:caps w:val="0"/>
                <w:smallCaps w:val="0"/>
              </w:rPr>
            </w:pPr>
          </w:p>
        </w:tc>
        <w:tc>
          <w:tcPr>
            <w:tcW w:w="1250" w:type="dxa"/>
            <w:vMerge w:val="continue"/>
            <w:noWrap w:val="0"/>
            <w:vAlign w:val="center"/>
          </w:tcPr>
          <w:p>
            <w:pPr>
              <w:pStyle w:val="117"/>
              <w:bidi w:val="0"/>
              <w:rPr>
                <w:rFonts w:hint="default" w:ascii="Times New Roman" w:hAnsi="Times New Roman" w:cs="Times New Roman"/>
                <w:caps w:val="0"/>
                <w:smallCaps w:val="0"/>
              </w:rPr>
            </w:pPr>
          </w:p>
        </w:tc>
        <w:tc>
          <w:tcPr>
            <w:tcW w:w="2821" w:type="dxa"/>
            <w:vMerge w:val="continue"/>
            <w:noWrap w:val="0"/>
            <w:vAlign w:val="center"/>
          </w:tcPr>
          <w:p>
            <w:pPr>
              <w:pStyle w:val="117"/>
              <w:bidi w:val="0"/>
              <w:rPr>
                <w:rFonts w:hint="default"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trPr>
        <w:tc>
          <w:tcPr>
            <w:tcW w:w="238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废导热油</w:t>
            </w:r>
            <w:r>
              <w:rPr>
                <w:rFonts w:hint="default" w:ascii="Times New Roman" w:hAnsi="Times New Roman" w:cs="Times New Roman"/>
                <w:caps w:val="0"/>
                <w:smallCaps w:val="0"/>
              </w:rPr>
              <w:br w:type="textWrapping"/>
            </w:r>
            <w:r>
              <w:rPr>
                <w:rFonts w:hint="default" w:ascii="Times New Roman" w:hAnsi="Times New Roman" w:cs="Times New Roman"/>
                <w:caps w:val="0"/>
                <w:smallCaps w:val="0"/>
              </w:rPr>
              <w:t>900-214-48</w:t>
            </w:r>
          </w:p>
        </w:tc>
        <w:tc>
          <w:tcPr>
            <w:tcW w:w="1364"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6.4</w:t>
            </w:r>
          </w:p>
        </w:tc>
        <w:tc>
          <w:tcPr>
            <w:tcW w:w="1303" w:type="dxa"/>
            <w:vMerge w:val="continue"/>
            <w:noWrap w:val="0"/>
            <w:vAlign w:val="center"/>
          </w:tcPr>
          <w:p>
            <w:pPr>
              <w:pStyle w:val="117"/>
              <w:bidi w:val="0"/>
              <w:rPr>
                <w:rFonts w:hint="default" w:ascii="Times New Roman" w:hAnsi="Times New Roman" w:cs="Times New Roman"/>
                <w:caps w:val="0"/>
                <w:smallCaps w:val="0"/>
              </w:rPr>
            </w:pPr>
          </w:p>
        </w:tc>
        <w:tc>
          <w:tcPr>
            <w:tcW w:w="1250" w:type="dxa"/>
            <w:vMerge w:val="continue"/>
            <w:noWrap w:val="0"/>
            <w:vAlign w:val="center"/>
          </w:tcPr>
          <w:p>
            <w:pPr>
              <w:pStyle w:val="117"/>
              <w:bidi w:val="0"/>
              <w:rPr>
                <w:rFonts w:hint="default" w:ascii="Times New Roman" w:hAnsi="Times New Roman" w:cs="Times New Roman"/>
                <w:caps w:val="0"/>
                <w:smallCaps w:val="0"/>
              </w:rPr>
            </w:pPr>
          </w:p>
        </w:tc>
        <w:tc>
          <w:tcPr>
            <w:tcW w:w="2821" w:type="dxa"/>
            <w:vMerge w:val="continue"/>
            <w:noWrap w:val="0"/>
            <w:vAlign w:val="center"/>
          </w:tcPr>
          <w:p>
            <w:pPr>
              <w:pStyle w:val="117"/>
              <w:bidi w:val="0"/>
              <w:rPr>
                <w:rFonts w:hint="default" w:ascii="Times New Roman" w:hAnsi="Times New Roman" w:cs="Times New Roman"/>
                <w:caps w:val="0"/>
                <w:smallCaps w:val="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rPr>
        <w:tc>
          <w:tcPr>
            <w:tcW w:w="238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生活垃圾</w:t>
            </w:r>
          </w:p>
        </w:tc>
        <w:tc>
          <w:tcPr>
            <w:tcW w:w="1364" w:type="dxa"/>
            <w:noWrap w:val="0"/>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val="en-US" w:eastAsia="zh-CN"/>
              </w:rPr>
              <w:t>6</w:t>
            </w:r>
          </w:p>
        </w:tc>
        <w:tc>
          <w:tcPr>
            <w:tcW w:w="1303"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员工</w:t>
            </w:r>
          </w:p>
        </w:tc>
        <w:tc>
          <w:tcPr>
            <w:tcW w:w="1250"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生活垃圾</w:t>
            </w:r>
          </w:p>
        </w:tc>
        <w:tc>
          <w:tcPr>
            <w:tcW w:w="2821" w:type="dxa"/>
            <w:noWrap w:val="0"/>
            <w:vAlign w:val="center"/>
          </w:tcPr>
          <w:p>
            <w:pPr>
              <w:pStyle w:val="117"/>
              <w:bidi w:val="0"/>
              <w:rPr>
                <w:rFonts w:hint="default" w:ascii="Times New Roman" w:hAnsi="Times New Roman" w:cs="Times New Roman"/>
                <w:caps w:val="0"/>
                <w:smallCaps w:val="0"/>
              </w:rPr>
            </w:pPr>
            <w:r>
              <w:rPr>
                <w:rFonts w:hint="default" w:ascii="Times New Roman" w:hAnsi="Times New Roman" w:cs="Times New Roman"/>
                <w:caps w:val="0"/>
                <w:smallCaps w:val="0"/>
              </w:rPr>
              <w:t>环卫部门</w:t>
            </w:r>
            <w:r>
              <w:rPr>
                <w:rFonts w:hint="default" w:ascii="Times New Roman" w:hAnsi="Times New Roman" w:cs="Times New Roman"/>
                <w:caps w:val="0"/>
                <w:smallCaps w:val="0"/>
                <w:lang w:eastAsia="zh-CN"/>
              </w:rPr>
              <w:t>统一清理</w:t>
            </w:r>
            <w:r>
              <w:rPr>
                <w:rFonts w:hint="default" w:ascii="Times New Roman" w:hAnsi="Times New Roman" w:cs="Times New Roman"/>
                <w:caps w:val="0"/>
                <w:smallCaps w:val="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2380" w:type="dxa"/>
            <w:noWrap w:val="0"/>
            <w:vAlign w:val="center"/>
          </w:tcPr>
          <w:p>
            <w:pPr>
              <w:pStyle w:val="117"/>
              <w:bidi w:val="0"/>
              <w:rPr>
                <w:rFonts w:hint="default" w:ascii="Times New Roman" w:hAnsi="Times New Roman" w:cs="Times New Roman"/>
                <w:caps w:val="0"/>
                <w:smallCaps w:val="0"/>
                <w:lang w:eastAsia="zh-CN"/>
              </w:rPr>
            </w:pPr>
            <w:r>
              <w:rPr>
                <w:rFonts w:hint="eastAsia" w:ascii="Times New Roman" w:hAnsi="Times New Roman" w:cs="Times New Roman"/>
                <w:caps w:val="0"/>
                <w:smallCaps w:val="0"/>
                <w:lang w:eastAsia="zh-CN"/>
              </w:rPr>
              <w:t>水膜</w:t>
            </w:r>
            <w:r>
              <w:rPr>
                <w:rFonts w:hint="default" w:ascii="Times New Roman" w:hAnsi="Times New Roman" w:cs="Times New Roman"/>
                <w:caps w:val="0"/>
                <w:smallCaps w:val="0"/>
                <w:lang w:eastAsia="zh-CN"/>
              </w:rPr>
              <w:t>除尘</w:t>
            </w:r>
            <w:r>
              <w:rPr>
                <w:rFonts w:hint="eastAsia" w:ascii="Times New Roman" w:hAnsi="Times New Roman" w:cs="Times New Roman"/>
                <w:caps w:val="0"/>
                <w:smallCaps w:val="0"/>
                <w:lang w:eastAsia="zh-CN"/>
              </w:rPr>
              <w:t>沉</w:t>
            </w:r>
            <w:r>
              <w:rPr>
                <w:rFonts w:hint="default" w:ascii="Times New Roman" w:hAnsi="Times New Roman" w:cs="Times New Roman"/>
                <w:caps w:val="0"/>
                <w:smallCaps w:val="0"/>
                <w:lang w:eastAsia="zh-CN"/>
              </w:rPr>
              <w:t>渣</w:t>
            </w:r>
          </w:p>
        </w:tc>
        <w:tc>
          <w:tcPr>
            <w:tcW w:w="1364" w:type="dxa"/>
            <w:noWrap w:val="0"/>
            <w:vAlign w:val="center"/>
          </w:tcPr>
          <w:p>
            <w:pPr>
              <w:pStyle w:val="117"/>
              <w:bidi w:val="0"/>
              <w:rPr>
                <w:rFonts w:hint="default" w:ascii="Times New Roman" w:hAnsi="Times New Roman" w:cs="Times New Roman"/>
                <w:caps w:val="0"/>
                <w:smallCaps w:val="0"/>
                <w:lang w:eastAsia="zh-CN"/>
              </w:rPr>
            </w:pPr>
            <w:r>
              <w:rPr>
                <w:rFonts w:hint="default" w:ascii="Times New Roman" w:hAnsi="Times New Roman" w:cs="Times New Roman"/>
                <w:caps w:val="0"/>
                <w:smallCaps w:val="0"/>
                <w:lang w:val="en-US" w:eastAsia="zh-CN"/>
              </w:rPr>
              <w:t>2.9</w:t>
            </w:r>
          </w:p>
        </w:tc>
        <w:tc>
          <w:tcPr>
            <w:tcW w:w="1303" w:type="dxa"/>
            <w:noWrap w:val="0"/>
            <w:vAlign w:val="center"/>
          </w:tcPr>
          <w:p>
            <w:pPr>
              <w:pStyle w:val="117"/>
              <w:bidi w:val="0"/>
              <w:rPr>
                <w:rFonts w:hint="default" w:ascii="Times New Roman" w:hAnsi="Times New Roman" w:cs="Times New Roman"/>
                <w:caps w:val="0"/>
                <w:smallCaps w:val="0"/>
                <w:lang w:eastAsia="zh-CN"/>
              </w:rPr>
            </w:pPr>
            <w:r>
              <w:rPr>
                <w:rFonts w:hint="default" w:ascii="Times New Roman" w:hAnsi="Times New Roman" w:cs="Times New Roman"/>
                <w:caps w:val="0"/>
                <w:smallCaps w:val="0"/>
                <w:lang w:eastAsia="zh-CN"/>
              </w:rPr>
              <w:t>水膜除尘设施</w:t>
            </w:r>
          </w:p>
        </w:tc>
        <w:tc>
          <w:tcPr>
            <w:tcW w:w="1250" w:type="dxa"/>
            <w:noWrap w:val="0"/>
            <w:vAlign w:val="center"/>
          </w:tcPr>
          <w:p>
            <w:pPr>
              <w:pStyle w:val="117"/>
              <w:bidi w:val="0"/>
              <w:rPr>
                <w:rFonts w:hint="default" w:ascii="Times New Roman" w:hAnsi="Times New Roman" w:cs="Times New Roman"/>
                <w:caps w:val="0"/>
                <w:smallCaps w:val="0"/>
                <w:lang w:eastAsia="zh-CN"/>
              </w:rPr>
            </w:pPr>
            <w:r>
              <w:rPr>
                <w:rFonts w:hint="default" w:ascii="Times New Roman" w:hAnsi="Times New Roman" w:cs="Times New Roman"/>
                <w:caps w:val="0"/>
                <w:smallCaps w:val="0"/>
                <w:lang w:eastAsia="zh-CN"/>
              </w:rPr>
              <w:t>一般固废</w:t>
            </w:r>
          </w:p>
        </w:tc>
        <w:tc>
          <w:tcPr>
            <w:tcW w:w="2821" w:type="dxa"/>
            <w:noWrap w:val="0"/>
            <w:vAlign w:val="center"/>
          </w:tcPr>
          <w:p>
            <w:pPr>
              <w:pStyle w:val="117"/>
              <w:bidi w:val="0"/>
              <w:rPr>
                <w:rFonts w:hint="default" w:ascii="Times New Roman" w:hAnsi="Times New Roman" w:cs="Times New Roman"/>
                <w:caps w:val="0"/>
                <w:smallCaps w:val="0"/>
                <w:lang w:eastAsia="zh-CN"/>
              </w:rPr>
            </w:pPr>
            <w:r>
              <w:rPr>
                <w:rFonts w:hint="default" w:ascii="Times New Roman" w:hAnsi="Times New Roman" w:cs="Times New Roman"/>
                <w:caps w:val="0"/>
                <w:smallCaps w:val="0"/>
              </w:rPr>
              <w:t>干化后</w:t>
            </w:r>
            <w:r>
              <w:rPr>
                <w:rFonts w:hint="eastAsia" w:ascii="Times New Roman" w:hAnsi="Times New Roman" w:cs="Times New Roman"/>
                <w:caps w:val="0"/>
                <w:smallCaps w:val="0"/>
                <w:lang w:eastAsia="zh-CN"/>
              </w:rPr>
              <w:t>送砖厂循环利用</w:t>
            </w:r>
            <w:r>
              <w:rPr>
                <w:rFonts w:hint="default" w:ascii="Times New Roman" w:hAnsi="Times New Roman" w:cs="Times New Roman"/>
                <w:caps w:val="0"/>
                <w:smallCaps w:val="0"/>
                <w:lang w:eastAsia="zh-CN"/>
              </w:rPr>
              <w:t>。</w:t>
            </w:r>
          </w:p>
        </w:tc>
      </w:tr>
    </w:tbl>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aps w:val="0"/>
          <w:smallCaps w:val="0"/>
          <w:color w:val="000000"/>
          <w:sz w:val="24"/>
          <w:highlight w:val="none"/>
        </w:rPr>
      </w:pPr>
      <w:r>
        <w:rPr>
          <w:rFonts w:hint="eastAsia" w:ascii="Times New Roman" w:hAnsi="Times New Roman" w:cs="Times New Roman"/>
          <w:bCs/>
          <w:caps w:val="0"/>
          <w:smallCaps w:val="0"/>
          <w:color w:val="000000"/>
          <w:sz w:val="24"/>
          <w:highlight w:val="none"/>
          <w:lang w:val="en-US" w:eastAsia="zh-CN"/>
        </w:rPr>
        <w:t>4、</w:t>
      </w:r>
      <w:r>
        <w:rPr>
          <w:rFonts w:hint="default" w:ascii="Times New Roman" w:hAnsi="Times New Roman" w:cs="Times New Roman"/>
          <w:bCs/>
          <w:caps w:val="0"/>
          <w:smallCaps w:val="0"/>
          <w:color w:val="000000"/>
          <w:sz w:val="24"/>
          <w:highlight w:val="none"/>
        </w:rPr>
        <w:t>噪声</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aps w:val="0"/>
          <w:smallCaps w:val="0"/>
          <w:sz w:val="24"/>
        </w:rPr>
      </w:pPr>
      <w:r>
        <w:rPr>
          <w:rFonts w:hint="eastAsia" w:ascii="Times New Roman" w:hAnsi="Times New Roman" w:cs="Times New Roman"/>
          <w:caps w:val="0"/>
          <w:smallCaps w:val="0"/>
          <w:color w:val="000000"/>
          <w:sz w:val="24"/>
          <w:lang w:eastAsia="zh-CN"/>
        </w:rPr>
        <w:t>现有工程</w:t>
      </w:r>
      <w:r>
        <w:rPr>
          <w:rFonts w:hint="default" w:ascii="Times New Roman" w:hAnsi="Times New Roman" w:cs="Times New Roman"/>
          <w:caps w:val="0"/>
          <w:smallCaps w:val="0"/>
          <w:color w:val="000000"/>
          <w:sz w:val="24"/>
        </w:rPr>
        <w:t>运营期噪声来源于</w:t>
      </w:r>
      <w:r>
        <w:rPr>
          <w:rFonts w:hint="default" w:ascii="Times New Roman" w:hAnsi="Times New Roman" w:cs="Times New Roman"/>
          <w:bCs/>
          <w:caps w:val="0"/>
          <w:smallCaps w:val="0"/>
          <w:kern w:val="0"/>
          <w:sz w:val="24"/>
        </w:rPr>
        <w:t>生产</w:t>
      </w:r>
      <w:r>
        <w:rPr>
          <w:rFonts w:hint="default" w:ascii="Times New Roman" w:hAnsi="Times New Roman" w:cs="Times New Roman"/>
          <w:caps w:val="0"/>
          <w:smallCaps w:val="0"/>
          <w:snapToGrid w:val="0"/>
          <w:kern w:val="24"/>
          <w:sz w:val="24"/>
        </w:rPr>
        <w:t>设备</w:t>
      </w:r>
      <w:r>
        <w:rPr>
          <w:rFonts w:hint="default" w:ascii="Times New Roman" w:hAnsi="Times New Roman" w:cs="Times New Roman"/>
          <w:caps w:val="0"/>
          <w:smallCaps w:val="0"/>
          <w:sz w:val="24"/>
        </w:rPr>
        <w:t>运行时产生的噪声</w:t>
      </w:r>
      <w:r>
        <w:rPr>
          <w:rFonts w:hint="default" w:ascii="Times New Roman" w:hAnsi="Times New Roman" w:cs="Times New Roman"/>
          <w:bCs/>
          <w:caps w:val="0"/>
          <w:smallCaps w:val="0"/>
          <w:color w:val="000000"/>
          <w:kern w:val="0"/>
          <w:sz w:val="24"/>
        </w:rPr>
        <w:t>。</w:t>
      </w:r>
    </w:p>
    <w:p>
      <w:pPr>
        <w:keepNext w:val="0"/>
        <w:keepLines w:val="0"/>
        <w:pageBreakBefore w:val="0"/>
        <w:widowControl w:val="0"/>
        <w:numPr>
          <w:ilvl w:val="0"/>
          <w:numId w:val="6"/>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aps w:val="0"/>
          <w:smallCaps w:val="0"/>
          <w:kern w:val="0"/>
          <w:sz w:val="24"/>
        </w:rPr>
      </w:pPr>
      <w:r>
        <w:rPr>
          <w:rFonts w:hint="default" w:ascii="Times New Roman" w:hAnsi="Times New Roman" w:cs="Times New Roman"/>
          <w:bCs/>
          <w:caps w:val="0"/>
          <w:smallCaps w:val="0"/>
          <w:kern w:val="0"/>
          <w:sz w:val="24"/>
        </w:rPr>
        <w:t>选取生产设备时候优先选取了低噪声的设备；</w:t>
      </w:r>
    </w:p>
    <w:p>
      <w:pPr>
        <w:keepNext w:val="0"/>
        <w:keepLines w:val="0"/>
        <w:pageBreakBefore w:val="0"/>
        <w:widowControl w:val="0"/>
        <w:numPr>
          <w:ilvl w:val="0"/>
          <w:numId w:val="6"/>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aps w:val="0"/>
          <w:smallCaps w:val="0"/>
          <w:kern w:val="0"/>
          <w:sz w:val="24"/>
        </w:rPr>
      </w:pPr>
      <w:r>
        <w:rPr>
          <w:rFonts w:hint="default" w:ascii="Times New Roman" w:hAnsi="Times New Roman" w:cs="Times New Roman"/>
          <w:bCs/>
          <w:caps w:val="0"/>
          <w:smallCaps w:val="0"/>
          <w:kern w:val="0"/>
          <w:sz w:val="24"/>
        </w:rPr>
        <w:t>加强了生产设备的管理，对生产设备定期进行了检查与维护；</w:t>
      </w:r>
    </w:p>
    <w:p>
      <w:pPr>
        <w:keepNext w:val="0"/>
        <w:keepLines w:val="0"/>
        <w:pageBreakBefore w:val="0"/>
        <w:widowControl w:val="0"/>
        <w:numPr>
          <w:ilvl w:val="0"/>
          <w:numId w:val="6"/>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aps w:val="0"/>
          <w:smallCaps w:val="0"/>
          <w:kern w:val="0"/>
          <w:sz w:val="24"/>
        </w:rPr>
      </w:pPr>
      <w:r>
        <w:rPr>
          <w:rFonts w:hint="default" w:ascii="Times New Roman" w:hAnsi="Times New Roman" w:cs="Times New Roman"/>
          <w:bCs/>
          <w:caps w:val="0"/>
          <w:smallCaps w:val="0"/>
          <w:kern w:val="0"/>
          <w:sz w:val="24"/>
        </w:rPr>
        <w:t>在厂区内及周围种植了高大树种及绿化的建设；</w:t>
      </w:r>
    </w:p>
    <w:p>
      <w:pPr>
        <w:keepNext w:val="0"/>
        <w:keepLines w:val="0"/>
        <w:pageBreakBefore w:val="0"/>
        <w:widowControl w:val="0"/>
        <w:numPr>
          <w:ilvl w:val="0"/>
          <w:numId w:val="6"/>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bCs/>
          <w:caps w:val="0"/>
          <w:smallCaps w:val="0"/>
          <w:kern w:val="0"/>
          <w:sz w:val="24"/>
        </w:rPr>
      </w:pPr>
      <w:r>
        <w:rPr>
          <w:rFonts w:hint="default" w:ascii="Times New Roman" w:hAnsi="Times New Roman" w:cs="Times New Roman"/>
          <w:bCs/>
          <w:caps w:val="0"/>
          <w:smallCaps w:val="0"/>
          <w:kern w:val="0"/>
          <w:sz w:val="24"/>
        </w:rPr>
        <w:t>对</w:t>
      </w:r>
      <w:r>
        <w:rPr>
          <w:rFonts w:hint="default" w:ascii="Times New Roman" w:hAnsi="Times New Roman" w:cs="Times New Roman"/>
          <w:caps w:val="0"/>
          <w:smallCaps w:val="0"/>
          <w:sz w:val="24"/>
        </w:rPr>
        <w:t>生产设备采取了隔声和基础减振等措施；</w:t>
      </w:r>
    </w:p>
    <w:p>
      <w:pPr>
        <w:keepNext w:val="0"/>
        <w:keepLines w:val="0"/>
        <w:pageBreakBefore w:val="0"/>
        <w:widowControl w:val="0"/>
        <w:numPr>
          <w:ilvl w:val="0"/>
          <w:numId w:val="6"/>
        </w:numPr>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aps w:val="0"/>
          <w:smallCaps w:val="0"/>
          <w:sz w:val="24"/>
        </w:rPr>
      </w:pPr>
      <w:r>
        <w:rPr>
          <w:rFonts w:hint="default" w:ascii="Times New Roman" w:hAnsi="Times New Roman" w:cs="Times New Roman"/>
          <w:bCs/>
          <w:caps w:val="0"/>
          <w:smallCaps w:val="0"/>
          <w:kern w:val="0"/>
          <w:sz w:val="24"/>
        </w:rPr>
        <w:t>夜间及中午不进行生产。</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cs="Times New Roman"/>
          <w:caps w:val="0"/>
          <w:smallCaps w:val="0"/>
          <w:color w:val="000000"/>
          <w:sz w:val="24"/>
        </w:rPr>
      </w:pPr>
      <w:r>
        <w:rPr>
          <w:rFonts w:hint="default" w:ascii="Times New Roman" w:hAnsi="Times New Roman" w:cs="Times New Roman"/>
          <w:caps w:val="0"/>
          <w:smallCaps w:val="0"/>
          <w:color w:val="000000"/>
          <w:sz w:val="24"/>
          <w:lang w:val="en-US" w:eastAsia="zh-CN"/>
        </w:rPr>
        <w:t>根据</w:t>
      </w:r>
      <w:r>
        <w:rPr>
          <w:rFonts w:hint="eastAsia" w:ascii="Times New Roman" w:hAnsi="Times New Roman" w:cs="Times New Roman"/>
          <w:caps w:val="0"/>
          <w:smallCaps w:val="0"/>
          <w:color w:val="000000"/>
          <w:sz w:val="24"/>
          <w:lang w:val="en-US" w:eastAsia="zh-CN"/>
        </w:rPr>
        <w:t>湖南科准检测技术有限公司2021年5月</w:t>
      </w:r>
      <w:r>
        <w:rPr>
          <w:rFonts w:hint="default" w:ascii="Times New Roman" w:hAnsi="Times New Roman" w:cs="Times New Roman"/>
          <w:caps w:val="0"/>
          <w:smallCaps w:val="0"/>
          <w:color w:val="000000"/>
          <w:sz w:val="24"/>
          <w:lang w:val="en-US" w:eastAsia="zh-CN"/>
        </w:rPr>
        <w:t>编制的</w:t>
      </w:r>
      <w:r>
        <w:rPr>
          <w:rFonts w:hint="eastAsia" w:ascii="Times New Roman" w:hAnsi="Times New Roman" w:cs="Times New Roman"/>
          <w:caps w:val="0"/>
          <w:smallCaps w:val="0"/>
          <w:color w:val="000000"/>
          <w:sz w:val="24"/>
          <w:lang w:val="en-US" w:eastAsia="zh-CN"/>
        </w:rPr>
        <w:t>《湖南海丰物流有限公司锅炉改造工程建设项目竣工环境保护验收监测报告》，厂界噪声监测结果见下表：</w:t>
      </w:r>
    </w:p>
    <w:p>
      <w:pPr>
        <w:pStyle w:val="9"/>
        <w:numPr>
          <w:ilvl w:val="5"/>
          <w:numId w:val="0"/>
        </w:numPr>
        <w:spacing w:before="24" w:line="240" w:lineRule="auto"/>
        <w:ind w:right="4" w:rightChars="0"/>
        <w:jc w:val="center"/>
        <w:rPr>
          <w:rFonts w:ascii="Times New Roman" w:hAnsi="Times New Roman" w:cs="Times New Roman"/>
          <w:b w:val="0"/>
          <w:bCs w:val="0"/>
          <w:caps w:val="0"/>
          <w:smallCaps w:val="0"/>
        </w:rPr>
      </w:pPr>
      <w:r>
        <w:rPr>
          <w:rFonts w:ascii="Times New Roman" w:hAnsi="Times New Roman" w:cs="Times New Roman"/>
          <w:caps w:val="0"/>
          <w:smallCaps w:val="0"/>
        </w:rPr>
        <w:t>表</w:t>
      </w:r>
      <w:r>
        <w:rPr>
          <w:rFonts w:hint="eastAsia" w:ascii="Times New Roman" w:hAnsi="Times New Roman" w:cs="Times New Roman"/>
          <w:b/>
          <w:bCs/>
          <w:caps w:val="0"/>
          <w:smallCaps w:val="0"/>
          <w:sz w:val="24"/>
          <w:szCs w:val="24"/>
          <w:lang w:val="en-US" w:eastAsia="zh-CN"/>
        </w:rPr>
        <w:t xml:space="preserve">3.4-5 </w:t>
      </w:r>
      <w:r>
        <w:rPr>
          <w:rFonts w:ascii="Times New Roman" w:hAnsi="Times New Roman" w:cs="Times New Roman"/>
          <w:caps w:val="0"/>
          <w:smallCaps w:val="0"/>
        </w:rPr>
        <w:t>噪声监测结果表</w:t>
      </w:r>
    </w:p>
    <w:tbl>
      <w:tblPr>
        <w:tblStyle w:val="71"/>
        <w:tblW w:w="9018" w:type="dxa"/>
        <w:tblInd w:w="95" w:type="dxa"/>
        <w:tblLayout w:type="fixed"/>
        <w:tblCellMar>
          <w:top w:w="0" w:type="dxa"/>
          <w:left w:w="0" w:type="dxa"/>
          <w:bottom w:w="0" w:type="dxa"/>
          <w:right w:w="0" w:type="dxa"/>
        </w:tblCellMar>
      </w:tblPr>
      <w:tblGrid>
        <w:gridCol w:w="1328"/>
        <w:gridCol w:w="1997"/>
        <w:gridCol w:w="1803"/>
        <w:gridCol w:w="1831"/>
        <w:gridCol w:w="2059"/>
      </w:tblGrid>
      <w:tr>
        <w:trPr>
          <w:trHeight w:val="317" w:hRule="exact"/>
        </w:trPr>
        <w:tc>
          <w:tcPr>
            <w:tcW w:w="1328" w:type="dxa"/>
            <w:vMerge w:val="restart"/>
            <w:tcBorders>
              <w:top w:val="single" w:color="000000" w:sz="12"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点位序号</w:t>
            </w:r>
          </w:p>
        </w:tc>
        <w:tc>
          <w:tcPr>
            <w:tcW w:w="1997" w:type="dxa"/>
            <w:vMerge w:val="restart"/>
            <w:tcBorders>
              <w:top w:val="single" w:color="000000" w:sz="12"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采样位置</w:t>
            </w:r>
          </w:p>
        </w:tc>
        <w:tc>
          <w:tcPr>
            <w:tcW w:w="1803" w:type="dxa"/>
            <w:vMerge w:val="restart"/>
            <w:tcBorders>
              <w:top w:val="single" w:color="000000" w:sz="12"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采样时间</w:t>
            </w:r>
          </w:p>
        </w:tc>
        <w:tc>
          <w:tcPr>
            <w:tcW w:w="3890" w:type="dxa"/>
            <w:gridSpan w:val="2"/>
            <w:tcBorders>
              <w:top w:val="single" w:color="000000" w:sz="12"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检测结果</w:t>
            </w:r>
            <w:r>
              <w:rPr>
                <w:rFonts w:ascii="Times New Roman" w:hAnsi="Times New Roman" w:cs="Times New Roman"/>
                <w:caps w:val="0"/>
                <w:smallCaps w:val="0"/>
              </w:rPr>
              <w:tab/>
            </w:r>
            <w:r>
              <w:rPr>
                <w:rFonts w:ascii="Times New Roman" w:hAnsi="Times New Roman" w:cs="Times New Roman"/>
                <w:caps w:val="0"/>
                <w:smallCaps w:val="0"/>
              </w:rPr>
              <w:t>Leq</w:t>
            </w:r>
            <w:r>
              <w:rPr>
                <w:rFonts w:hint="eastAsia" w:ascii="Times New Roman" w:hAnsi="Times New Roman" w:cs="Times New Roman"/>
                <w:caps w:val="0"/>
                <w:smallCaps w:val="0"/>
                <w:lang w:eastAsia="zh-CN"/>
              </w:rPr>
              <w:t>：</w:t>
            </w:r>
            <w:r>
              <w:rPr>
                <w:rFonts w:ascii="Times New Roman" w:hAnsi="Times New Roman" w:cs="Times New Roman"/>
                <w:caps w:val="0"/>
                <w:smallCaps w:val="0"/>
              </w:rPr>
              <w:t>dB(A)</w:t>
            </w:r>
          </w:p>
        </w:tc>
      </w:tr>
      <w:tr>
        <w:tblPrEx>
          <w:tblCellMar>
            <w:top w:w="0" w:type="dxa"/>
            <w:left w:w="0" w:type="dxa"/>
            <w:bottom w:w="0" w:type="dxa"/>
            <w:right w:w="0" w:type="dxa"/>
          </w:tblCellMar>
        </w:tblPrEx>
        <w:trPr>
          <w:trHeight w:val="346" w:hRule="exact"/>
        </w:trPr>
        <w:tc>
          <w:tcPr>
            <w:tcW w:w="1328" w:type="dxa"/>
            <w:vMerge w:val="continue"/>
            <w:tcBorders>
              <w:left w:val="single" w:color="000000" w:sz="4" w:space="0"/>
              <w:bottom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997"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803"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昼间</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夜间</w:t>
            </w:r>
          </w:p>
        </w:tc>
      </w:tr>
      <w:tr>
        <w:tblPrEx>
          <w:tblCellMar>
            <w:top w:w="0" w:type="dxa"/>
            <w:left w:w="0" w:type="dxa"/>
            <w:bottom w:w="0" w:type="dxa"/>
            <w:right w:w="0" w:type="dxa"/>
          </w:tblCellMar>
        </w:tblPrEx>
        <w:trPr>
          <w:trHeight w:val="458" w:hRule="exact"/>
        </w:trPr>
        <w:tc>
          <w:tcPr>
            <w:tcW w:w="1328" w:type="dxa"/>
            <w:vMerge w:val="restart"/>
            <w:tcBorders>
              <w:top w:val="single" w:color="000000" w:sz="4"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N1</w:t>
            </w:r>
          </w:p>
        </w:tc>
        <w:tc>
          <w:tcPr>
            <w:tcW w:w="1997" w:type="dxa"/>
            <w:vMerge w:val="restart"/>
            <w:tcBorders>
              <w:top w:val="single" w:color="000000" w:sz="4" w:space="0"/>
              <w:left w:val="single" w:color="000000" w:sz="4" w:space="0"/>
              <w:right w:val="single" w:color="000000" w:sz="4" w:space="0"/>
            </w:tcBorders>
          </w:tcPr>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r>
              <w:rPr>
                <w:rFonts w:ascii="Times New Roman" w:hAnsi="Times New Roman" w:cs="Times New Roman"/>
                <w:caps w:val="0"/>
                <w:smallCaps w:val="0"/>
              </w:rPr>
              <w:t>厂界东侧外1m</w:t>
            </w:r>
          </w:p>
        </w:tc>
        <w:tc>
          <w:tcPr>
            <w:tcW w:w="180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4月14日</w:t>
            </w: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58.2</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40.2</w:t>
            </w:r>
          </w:p>
        </w:tc>
      </w:tr>
      <w:tr>
        <w:trPr>
          <w:trHeight w:val="477" w:hRule="exact"/>
        </w:trPr>
        <w:tc>
          <w:tcPr>
            <w:tcW w:w="1328" w:type="dxa"/>
            <w:vMerge w:val="continue"/>
            <w:tcBorders>
              <w:left w:val="single" w:color="000000" w:sz="4" w:space="0"/>
              <w:bottom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997"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80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4月15日</w:t>
            </w: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58.7</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39.7</w:t>
            </w:r>
          </w:p>
        </w:tc>
      </w:tr>
      <w:tr>
        <w:trPr>
          <w:trHeight w:val="467" w:hRule="exact"/>
        </w:trPr>
        <w:tc>
          <w:tcPr>
            <w:tcW w:w="1328" w:type="dxa"/>
            <w:vMerge w:val="restart"/>
            <w:tcBorders>
              <w:top w:val="single" w:color="000000" w:sz="4"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N2</w:t>
            </w:r>
          </w:p>
        </w:tc>
        <w:tc>
          <w:tcPr>
            <w:tcW w:w="1997" w:type="dxa"/>
            <w:vMerge w:val="restart"/>
            <w:tcBorders>
              <w:top w:val="single" w:color="000000" w:sz="4" w:space="0"/>
              <w:left w:val="single" w:color="000000" w:sz="4" w:space="0"/>
              <w:right w:val="single" w:color="000000" w:sz="4" w:space="0"/>
            </w:tcBorders>
          </w:tcPr>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r>
              <w:rPr>
                <w:rFonts w:ascii="Times New Roman" w:hAnsi="Times New Roman" w:cs="Times New Roman"/>
                <w:caps w:val="0"/>
                <w:smallCaps w:val="0"/>
              </w:rPr>
              <w:t>厂界南侧外1m</w:t>
            </w:r>
          </w:p>
        </w:tc>
        <w:tc>
          <w:tcPr>
            <w:tcW w:w="180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4月14日</w:t>
            </w: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56.2</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42.6</w:t>
            </w:r>
          </w:p>
        </w:tc>
      </w:tr>
      <w:tr>
        <w:trPr>
          <w:trHeight w:val="458" w:hRule="exact"/>
        </w:trPr>
        <w:tc>
          <w:tcPr>
            <w:tcW w:w="1328" w:type="dxa"/>
            <w:vMerge w:val="continue"/>
            <w:tcBorders>
              <w:left w:val="single" w:color="000000" w:sz="4" w:space="0"/>
              <w:bottom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997"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80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4月15日</w:t>
            </w: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56.6</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43.1</w:t>
            </w:r>
          </w:p>
        </w:tc>
      </w:tr>
      <w:tr>
        <w:trPr>
          <w:trHeight w:val="458" w:hRule="exact"/>
        </w:trPr>
        <w:tc>
          <w:tcPr>
            <w:tcW w:w="1328" w:type="dxa"/>
            <w:vMerge w:val="restart"/>
            <w:tcBorders>
              <w:top w:val="single" w:color="000000" w:sz="4"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N3</w:t>
            </w:r>
          </w:p>
        </w:tc>
        <w:tc>
          <w:tcPr>
            <w:tcW w:w="1997" w:type="dxa"/>
            <w:vMerge w:val="restart"/>
            <w:tcBorders>
              <w:top w:val="single" w:color="000000" w:sz="4" w:space="0"/>
              <w:left w:val="single" w:color="000000" w:sz="4" w:space="0"/>
              <w:right w:val="single" w:color="000000" w:sz="4" w:space="0"/>
            </w:tcBorders>
          </w:tcPr>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r>
              <w:rPr>
                <w:rFonts w:ascii="Times New Roman" w:hAnsi="Times New Roman" w:cs="Times New Roman"/>
                <w:caps w:val="0"/>
                <w:smallCaps w:val="0"/>
              </w:rPr>
              <w:t>厂界西侧外1m</w:t>
            </w:r>
          </w:p>
        </w:tc>
        <w:tc>
          <w:tcPr>
            <w:tcW w:w="180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4月14日</w:t>
            </w: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56.6</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42.4</w:t>
            </w:r>
          </w:p>
        </w:tc>
      </w:tr>
      <w:tr>
        <w:trPr>
          <w:trHeight w:val="458" w:hRule="exact"/>
        </w:trPr>
        <w:tc>
          <w:tcPr>
            <w:tcW w:w="1328" w:type="dxa"/>
            <w:vMerge w:val="continue"/>
            <w:tcBorders>
              <w:left w:val="single" w:color="000000" w:sz="4" w:space="0"/>
              <w:bottom w:val="single" w:color="000000" w:sz="4" w:space="0"/>
              <w:right w:val="single" w:color="000000" w:sz="4" w:space="0"/>
            </w:tcBorders>
            <w:vAlign w:val="center"/>
          </w:tcPr>
          <w:p>
            <w:pPr>
              <w:pStyle w:val="117"/>
              <w:bidi w:val="0"/>
              <w:rPr>
                <w:rFonts w:ascii="Times New Roman" w:hAnsi="Times New Roman" w:cs="Times New Roman"/>
                <w:caps w:val="0"/>
                <w:smallCaps w:val="0"/>
              </w:rPr>
            </w:pPr>
          </w:p>
        </w:tc>
        <w:tc>
          <w:tcPr>
            <w:tcW w:w="1997"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80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4月15日</w:t>
            </w: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57.1</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42.2</w:t>
            </w:r>
          </w:p>
        </w:tc>
      </w:tr>
      <w:tr>
        <w:trPr>
          <w:trHeight w:val="458" w:hRule="exact"/>
        </w:trPr>
        <w:tc>
          <w:tcPr>
            <w:tcW w:w="1328" w:type="dxa"/>
            <w:vMerge w:val="restart"/>
            <w:tcBorders>
              <w:top w:val="single" w:color="000000" w:sz="4" w:space="0"/>
              <w:left w:val="single" w:color="000000" w:sz="4" w:space="0"/>
              <w:right w:val="single" w:color="000000"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N4</w:t>
            </w:r>
          </w:p>
        </w:tc>
        <w:tc>
          <w:tcPr>
            <w:tcW w:w="1997" w:type="dxa"/>
            <w:vMerge w:val="restart"/>
            <w:tcBorders>
              <w:top w:val="single" w:color="000000" w:sz="4" w:space="0"/>
              <w:left w:val="single" w:color="000000" w:sz="4" w:space="0"/>
              <w:right w:val="single" w:color="000000" w:sz="4" w:space="0"/>
            </w:tcBorders>
          </w:tcPr>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r>
              <w:rPr>
                <w:rFonts w:ascii="Times New Roman" w:hAnsi="Times New Roman" w:cs="Times New Roman"/>
                <w:caps w:val="0"/>
                <w:smallCaps w:val="0"/>
              </w:rPr>
              <w:t>厂界北侧外1m</w:t>
            </w:r>
          </w:p>
        </w:tc>
        <w:tc>
          <w:tcPr>
            <w:tcW w:w="180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4月14日</w:t>
            </w: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57.1</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41.2</w:t>
            </w:r>
          </w:p>
        </w:tc>
      </w:tr>
      <w:tr>
        <w:trPr>
          <w:trHeight w:val="458" w:hRule="exact"/>
        </w:trPr>
        <w:tc>
          <w:tcPr>
            <w:tcW w:w="1328"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997" w:type="dxa"/>
            <w:vMerge w:val="continue"/>
            <w:tcBorders>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p>
        </w:tc>
        <w:tc>
          <w:tcPr>
            <w:tcW w:w="1803"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4月15日</w:t>
            </w: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57.4</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41.5</w:t>
            </w:r>
          </w:p>
        </w:tc>
      </w:tr>
      <w:tr>
        <w:trPr>
          <w:trHeight w:val="458" w:hRule="exact"/>
        </w:trPr>
        <w:tc>
          <w:tcPr>
            <w:tcW w:w="5128" w:type="dxa"/>
            <w:gridSpan w:val="3"/>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标准值</w:t>
            </w:r>
          </w:p>
        </w:tc>
        <w:tc>
          <w:tcPr>
            <w:tcW w:w="1831"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60</w:t>
            </w:r>
          </w:p>
        </w:tc>
        <w:tc>
          <w:tcPr>
            <w:tcW w:w="2059" w:type="dxa"/>
            <w:tcBorders>
              <w:top w:val="single" w:color="000000" w:sz="4" w:space="0"/>
              <w:left w:val="single" w:color="000000" w:sz="4" w:space="0"/>
              <w:bottom w:val="single" w:color="000000" w:sz="4"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50</w:t>
            </w:r>
          </w:p>
        </w:tc>
      </w:tr>
      <w:tr>
        <w:trPr>
          <w:trHeight w:val="458" w:hRule="exact"/>
        </w:trPr>
        <w:tc>
          <w:tcPr>
            <w:tcW w:w="9018" w:type="dxa"/>
            <w:gridSpan w:val="5"/>
            <w:tcBorders>
              <w:top w:val="single" w:color="000000" w:sz="4" w:space="0"/>
              <w:left w:val="single" w:color="000000" w:sz="4" w:space="0"/>
              <w:bottom w:val="single" w:color="000000" w:sz="12" w:space="0"/>
              <w:right w:val="single" w:color="000000" w:sz="4" w:space="0"/>
            </w:tcBorders>
          </w:tcPr>
          <w:p>
            <w:pPr>
              <w:pStyle w:val="117"/>
              <w:bidi w:val="0"/>
              <w:rPr>
                <w:rFonts w:ascii="Times New Roman" w:hAnsi="Times New Roman" w:cs="Times New Roman"/>
                <w:caps w:val="0"/>
                <w:smallCaps w:val="0"/>
              </w:rPr>
            </w:pPr>
            <w:r>
              <w:rPr>
                <w:rFonts w:ascii="Times New Roman" w:hAnsi="Times New Roman" w:cs="Times New Roman"/>
                <w:caps w:val="0"/>
                <w:smallCaps w:val="0"/>
              </w:rPr>
              <w:t>备注：执行《工业企业厂界环境噪声排放标准》（GB 12348-2008）2类标准。</w:t>
            </w:r>
          </w:p>
        </w:tc>
      </w:tr>
    </w:tbl>
    <w:p>
      <w:pPr>
        <w:bidi w:val="0"/>
      </w:pPr>
    </w:p>
    <w:p>
      <w:pPr>
        <w:pStyle w:val="5"/>
        <w:bidi w:val="0"/>
        <w:rPr>
          <w:u w:val="single"/>
        </w:rPr>
      </w:pPr>
      <w:bookmarkStart w:id="28" w:name="_Toc3108"/>
      <w:r>
        <w:rPr>
          <w:rFonts w:hint="eastAsia"/>
          <w:u w:val="single"/>
        </w:rPr>
        <w:t>现有</w:t>
      </w:r>
      <w:r>
        <w:rPr>
          <w:u w:val="single"/>
        </w:rPr>
        <w:t>工程存在的主要环境问题及“</w:t>
      </w:r>
      <w:r>
        <w:rPr>
          <w:rFonts w:hint="eastAsia"/>
          <w:u w:val="single"/>
        </w:rPr>
        <w:t>以新带老</w:t>
      </w:r>
      <w:r>
        <w:rPr>
          <w:u w:val="single"/>
        </w:rPr>
        <w:t>”</w:t>
      </w:r>
      <w:r>
        <w:rPr>
          <w:rFonts w:hint="eastAsia"/>
          <w:u w:val="single"/>
        </w:rPr>
        <w:t>整改</w:t>
      </w:r>
      <w:r>
        <w:rPr>
          <w:u w:val="single"/>
        </w:rPr>
        <w:t>措施</w:t>
      </w:r>
      <w:bookmarkEnd w:id="28"/>
    </w:p>
    <w:p>
      <w:pPr>
        <w:pStyle w:val="6"/>
        <w:bidi w:val="0"/>
        <w:rPr>
          <w:u w:val="single"/>
        </w:rPr>
      </w:pPr>
      <w:r>
        <w:rPr>
          <w:rFonts w:hint="eastAsia"/>
          <w:u w:val="single"/>
          <w:lang w:eastAsia="zh-CN"/>
        </w:rPr>
        <w:t>存在的主要问题</w:t>
      </w:r>
    </w:p>
    <w:p>
      <w:pPr>
        <w:pStyle w:val="7"/>
        <w:bidi w:val="0"/>
        <w:rPr>
          <w:rFonts w:hint="default"/>
          <w:u w:val="single"/>
          <w:lang w:val="en-US" w:eastAsia="zh-CN"/>
        </w:rPr>
      </w:pPr>
      <w:r>
        <w:rPr>
          <w:rFonts w:hint="eastAsia"/>
          <w:u w:val="single"/>
          <w:lang w:val="en-US" w:eastAsia="zh-CN"/>
        </w:rPr>
        <w:t>泊位停靠问题</w:t>
      </w:r>
    </w:p>
    <w:p>
      <w:pPr>
        <w:rPr>
          <w:rFonts w:hint="default"/>
          <w:u w:val="single"/>
          <w:lang w:val="en-US" w:eastAsia="zh-CN"/>
        </w:rPr>
      </w:pPr>
      <w:r>
        <w:rPr>
          <w:rFonts w:hint="default"/>
          <w:u w:val="single"/>
          <w:lang w:val="en-US" w:eastAsia="zh-CN"/>
        </w:rPr>
        <w:t>泊位丁靠船舶与水流垂直，且船舶伸入江中较多，易发生操船事故，存在安全隐患；丁靠船舶作业时，需要靠船舶动力抵抗水水流力保持泊稳，不节能不环保，不利于岸电接入。</w:t>
      </w:r>
    </w:p>
    <w:p>
      <w:pPr>
        <w:pStyle w:val="7"/>
        <w:bidi w:val="0"/>
        <w:rPr>
          <w:rFonts w:hint="default"/>
          <w:u w:val="single"/>
          <w:lang w:val="en-US" w:eastAsia="zh-CN"/>
        </w:rPr>
      </w:pPr>
      <w:r>
        <w:rPr>
          <w:rFonts w:hint="eastAsia"/>
          <w:u w:val="single"/>
          <w:lang w:val="en-US" w:eastAsia="zh-CN"/>
        </w:rPr>
        <w:t>输送设施破旧、老化</w:t>
      </w:r>
    </w:p>
    <w:p>
      <w:pPr>
        <w:rPr>
          <w:rFonts w:hint="default"/>
          <w:u w:val="single"/>
          <w:lang w:val="en-US" w:eastAsia="zh-CN"/>
        </w:rPr>
      </w:pPr>
      <w:r>
        <w:rPr>
          <w:rFonts w:hint="default"/>
          <w:u w:val="single"/>
          <w:lang w:val="en-US" w:eastAsia="zh-CN"/>
        </w:rPr>
        <w:t>码头现有输送管廊道较为破旧，防风、防雨、防渗效果较差。</w:t>
      </w:r>
    </w:p>
    <w:p>
      <w:pPr>
        <w:pStyle w:val="7"/>
        <w:bidi w:val="0"/>
        <w:rPr>
          <w:rFonts w:hint="default"/>
          <w:u w:val="single"/>
          <w:lang w:val="en-US" w:eastAsia="zh-CN"/>
        </w:rPr>
      </w:pPr>
      <w:r>
        <w:rPr>
          <w:rFonts w:hint="eastAsia"/>
          <w:u w:val="single"/>
          <w:lang w:val="en-US" w:eastAsia="zh-CN"/>
        </w:rPr>
        <w:t>无公用、环保设施</w:t>
      </w:r>
    </w:p>
    <w:p>
      <w:pPr>
        <w:rPr>
          <w:rFonts w:hint="eastAsia"/>
          <w:u w:val="single"/>
          <w:lang w:val="en-US" w:eastAsia="zh-CN"/>
        </w:rPr>
      </w:pPr>
      <w:r>
        <w:rPr>
          <w:rFonts w:hint="eastAsia"/>
          <w:u w:val="single"/>
          <w:lang w:val="en-US" w:eastAsia="zh-CN"/>
        </w:rPr>
        <w:t>码头建成时间较早，建设时环境保护意识不强，未采取适当的环保措施，且无相应的公用设施。</w:t>
      </w:r>
    </w:p>
    <w:p>
      <w:pPr>
        <w:rPr>
          <w:rFonts w:hint="default"/>
          <w:u w:val="single"/>
          <w:lang w:val="en-US" w:eastAsia="zh-CN"/>
        </w:rPr>
      </w:pPr>
      <w:r>
        <w:rPr>
          <w:rFonts w:hint="eastAsia"/>
          <w:u w:val="single"/>
          <w:lang w:val="en-US" w:eastAsia="zh-CN"/>
        </w:rPr>
        <w:t>根据现场调查，</w:t>
      </w:r>
      <w:r>
        <w:rPr>
          <w:rFonts w:hint="default"/>
          <w:u w:val="single"/>
          <w:lang w:val="en-US" w:eastAsia="zh-CN"/>
        </w:rPr>
        <w:t>码头</w:t>
      </w:r>
      <w:r>
        <w:rPr>
          <w:rFonts w:hint="eastAsia"/>
          <w:u w:val="single"/>
          <w:lang w:val="en-US" w:eastAsia="zh-CN"/>
        </w:rPr>
        <w:t>无岸电设施，无</w:t>
      </w:r>
      <w:r>
        <w:rPr>
          <w:rFonts w:hint="default"/>
          <w:u w:val="single"/>
          <w:lang w:val="en-US" w:eastAsia="zh-CN"/>
        </w:rPr>
        <w:t>给排水系统，未设置船舶供水系统，未设置</w:t>
      </w:r>
      <w:r>
        <w:rPr>
          <w:rFonts w:hint="eastAsia"/>
          <w:u w:val="single"/>
          <w:lang w:val="en-US" w:eastAsia="zh-CN"/>
        </w:rPr>
        <w:t>船舶</w:t>
      </w:r>
      <w:r>
        <w:rPr>
          <w:rFonts w:hint="default"/>
          <w:u w:val="single"/>
          <w:lang w:val="en-US" w:eastAsia="zh-CN"/>
        </w:rPr>
        <w:t>污水收集处理设施，无雨污分流管网，船舶废水无明确去向。</w:t>
      </w:r>
    </w:p>
    <w:p>
      <w:pPr>
        <w:pStyle w:val="7"/>
        <w:bidi w:val="0"/>
        <w:rPr>
          <w:rFonts w:hint="default"/>
          <w:u w:val="single"/>
          <w:lang w:val="en-US" w:eastAsia="zh-CN"/>
        </w:rPr>
      </w:pPr>
      <w:r>
        <w:rPr>
          <w:rFonts w:hint="eastAsia"/>
          <w:u w:val="single"/>
          <w:lang w:val="en-US" w:eastAsia="zh-CN"/>
        </w:rPr>
        <w:t>无环境风险应急措施</w:t>
      </w:r>
    </w:p>
    <w:p>
      <w:pPr>
        <w:rPr>
          <w:rFonts w:hint="eastAsia"/>
          <w:u w:val="single"/>
          <w:lang w:val="en-US" w:eastAsia="zh-CN"/>
        </w:rPr>
      </w:pPr>
      <w:r>
        <w:rPr>
          <w:rFonts w:hint="eastAsia"/>
          <w:u w:val="single"/>
          <w:lang w:val="en-US" w:eastAsia="zh-CN"/>
        </w:rPr>
        <w:t>现有码头未配备相应的环境风险应急物资及设施。</w:t>
      </w:r>
    </w:p>
    <w:p>
      <w:pPr>
        <w:pStyle w:val="6"/>
        <w:bidi w:val="0"/>
        <w:rPr>
          <w:rFonts w:hint="default"/>
          <w:u w:val="single"/>
          <w:lang w:val="en-US" w:eastAsia="zh-CN"/>
        </w:rPr>
      </w:pPr>
      <w:r>
        <w:rPr>
          <w:rFonts w:hint="eastAsia"/>
          <w:u w:val="single"/>
          <w:lang w:val="en-US" w:eastAsia="zh-CN"/>
        </w:rPr>
        <w:t>“以新带老”措施</w:t>
      </w:r>
    </w:p>
    <w:p>
      <w:pPr>
        <w:pStyle w:val="7"/>
        <w:bidi w:val="0"/>
        <w:rPr>
          <w:rFonts w:hint="default"/>
          <w:u w:val="single"/>
          <w:lang w:val="en-US" w:eastAsia="zh-CN"/>
        </w:rPr>
      </w:pPr>
      <w:r>
        <w:rPr>
          <w:rFonts w:hint="eastAsia"/>
          <w:u w:val="single"/>
          <w:lang w:val="en-US" w:eastAsia="zh-CN"/>
        </w:rPr>
        <w:t>改造码头类型，优化船舶停靠方式</w:t>
      </w:r>
    </w:p>
    <w:p>
      <w:pPr>
        <w:rPr>
          <w:rFonts w:hint="eastAsia"/>
          <w:u w:val="single"/>
          <w:lang w:val="en-US" w:eastAsia="zh-CN"/>
        </w:rPr>
      </w:pPr>
      <w:r>
        <w:rPr>
          <w:rFonts w:hint="eastAsia"/>
          <w:u w:val="single"/>
          <w:lang w:val="en-US" w:eastAsia="zh-CN"/>
        </w:rPr>
        <w:t>将斜坡码头改为浮码头，对原有斜坡码头拆除，新建浮码头，采用浮码头顺水流方向停靠方式，新增趸船为船舶提供停靠，停靠后可关停船舶发动机，使用浮码头上的岸电设施。</w:t>
      </w:r>
    </w:p>
    <w:p>
      <w:pPr>
        <w:pStyle w:val="7"/>
        <w:bidi w:val="0"/>
        <w:rPr>
          <w:rFonts w:hint="default"/>
          <w:u w:val="single"/>
          <w:lang w:val="en-US" w:eastAsia="zh-CN"/>
        </w:rPr>
      </w:pPr>
      <w:r>
        <w:rPr>
          <w:rFonts w:hint="eastAsia"/>
          <w:u w:val="single"/>
          <w:lang w:val="en-US" w:eastAsia="zh-CN"/>
        </w:rPr>
        <w:t>对输送管廊道提质改造</w:t>
      </w:r>
    </w:p>
    <w:p>
      <w:pPr>
        <w:rPr>
          <w:rFonts w:hint="eastAsia"/>
          <w:u w:val="single"/>
          <w:lang w:val="en-US" w:eastAsia="zh-CN"/>
        </w:rPr>
      </w:pPr>
      <w:r>
        <w:rPr>
          <w:rFonts w:hint="eastAsia"/>
          <w:u w:val="single"/>
          <w:lang w:val="en-US" w:eastAsia="zh-CN"/>
        </w:rPr>
        <w:t>对码头现有输送管廊道进行提质改造，拆除现有的装卸管道及管道支架水泥墩柱，新建沥青输送管线，详见钢结构转运墩，完善防风、防雨、防渗效果。</w:t>
      </w:r>
    </w:p>
    <w:p>
      <w:pPr>
        <w:pStyle w:val="7"/>
        <w:bidi w:val="0"/>
        <w:rPr>
          <w:rFonts w:hint="eastAsia"/>
          <w:u w:val="single"/>
          <w:lang w:val="en-US" w:eastAsia="zh-CN"/>
        </w:rPr>
      </w:pPr>
      <w:r>
        <w:rPr>
          <w:rFonts w:hint="eastAsia"/>
          <w:u w:val="single"/>
          <w:lang w:val="en-US" w:eastAsia="zh-CN"/>
        </w:rPr>
        <w:t>建设公用、环保设施</w:t>
      </w:r>
    </w:p>
    <w:p>
      <w:pPr>
        <w:rPr>
          <w:rFonts w:hint="eastAsia"/>
          <w:u w:val="single"/>
          <w:lang w:val="en-US" w:eastAsia="zh-CN"/>
        </w:rPr>
      </w:pPr>
      <w:r>
        <w:rPr>
          <w:rFonts w:hint="eastAsia"/>
          <w:u w:val="single"/>
          <w:lang w:val="en-US" w:eastAsia="zh-CN"/>
        </w:rPr>
        <w:t>对新建的浮码头建设雨污分流管网、船舶供水系统、趸船和船舶生活污水收集系统、趸船和船舶含油污水收集系统。</w:t>
      </w:r>
    </w:p>
    <w:p>
      <w:pPr>
        <w:pStyle w:val="7"/>
        <w:bidi w:val="0"/>
        <w:rPr>
          <w:rFonts w:hint="eastAsia"/>
          <w:u w:val="single"/>
          <w:lang w:val="en-US" w:eastAsia="zh-CN"/>
        </w:rPr>
      </w:pPr>
      <w:r>
        <w:rPr>
          <w:rFonts w:hint="eastAsia"/>
          <w:u w:val="single"/>
          <w:lang w:val="en-US" w:eastAsia="zh-CN"/>
        </w:rPr>
        <w:t>配套建设突发环境风险设施</w:t>
      </w:r>
    </w:p>
    <w:p>
      <w:pPr>
        <w:rPr>
          <w:rFonts w:hint="default"/>
          <w:u w:val="single"/>
          <w:lang w:val="en-US" w:eastAsia="zh-CN"/>
        </w:rPr>
      </w:pPr>
      <w:r>
        <w:rPr>
          <w:rFonts w:hint="eastAsia" w:ascii="Times New Roman" w:hAnsi="Times New Roman" w:cs="Times New Roman"/>
          <w:caps w:val="0"/>
          <w:smallCaps w:val="0"/>
          <w:u w:val="single"/>
          <w:lang w:val="en-US" w:eastAsia="zh-CN"/>
        </w:rPr>
        <w:t>在码头前沿配备围油栏，以防止船舶突发漏油事故油污扩散，围油栏采用岸边诱导式敷设，围油栏长300米，业主自备围油栏拖带工作船；在趸船上配置吸油毡，吸附泄漏的油；在趸船上配置</w:t>
      </w:r>
      <w:r>
        <w:rPr>
          <w:rFonts w:hint="eastAsia" w:ascii="Times New Roman" w:hAnsi="Times New Roman" w:cs="Times New Roman"/>
          <w:caps w:val="0"/>
          <w:smallCaps w:val="0"/>
          <w:u w:val="single"/>
          <w:lang w:eastAsia="zh-CN"/>
        </w:rPr>
        <w:t>托油网，截留泄漏的凝固沥青。</w:t>
      </w:r>
    </w:p>
    <w:p>
      <w:pPr>
        <w:ind w:firstLine="562"/>
        <w:jc w:val="center"/>
        <w:rPr>
          <w:rFonts w:ascii="Times New Roman" w:hAnsi="Times New Roman" w:cs="Times New Roman"/>
          <w:b/>
          <w:caps w:val="0"/>
          <w:smallCaps w:val="0"/>
          <w:u w:val="single"/>
        </w:rPr>
      </w:pPr>
      <w:r>
        <w:rPr>
          <w:rFonts w:hint="eastAsia" w:ascii="Times New Roman" w:hAnsi="Times New Roman" w:cs="Times New Roman"/>
          <w:b/>
          <w:caps w:val="0"/>
          <w:smallCaps w:val="0"/>
          <w:u w:val="single"/>
        </w:rPr>
        <w:t>表</w:t>
      </w:r>
      <w:r>
        <w:rPr>
          <w:rFonts w:ascii="Times New Roman" w:hAnsi="Times New Roman" w:cs="Times New Roman"/>
          <w:b/>
          <w:caps w:val="0"/>
          <w:smallCaps w:val="0"/>
          <w:u w:val="single"/>
        </w:rPr>
        <w:t>3.</w:t>
      </w:r>
      <w:r>
        <w:rPr>
          <w:rFonts w:hint="eastAsia" w:cs="Times New Roman"/>
          <w:b/>
          <w:caps w:val="0"/>
          <w:smallCaps w:val="0"/>
          <w:u w:val="single"/>
          <w:lang w:val="en-US" w:eastAsia="zh-CN"/>
        </w:rPr>
        <w:t>5</w:t>
      </w:r>
      <w:r>
        <w:rPr>
          <w:rFonts w:ascii="Times New Roman" w:hAnsi="Times New Roman" w:cs="Times New Roman"/>
          <w:b/>
          <w:caps w:val="0"/>
          <w:smallCaps w:val="0"/>
          <w:u w:val="single"/>
        </w:rPr>
        <w:t>-</w:t>
      </w:r>
      <w:r>
        <w:rPr>
          <w:rFonts w:hint="eastAsia" w:ascii="Times New Roman" w:hAnsi="Times New Roman" w:cs="Times New Roman"/>
          <w:b/>
          <w:caps w:val="0"/>
          <w:smallCaps w:val="0"/>
          <w:u w:val="single"/>
          <w:lang w:val="en-US" w:eastAsia="zh-CN"/>
        </w:rPr>
        <w:t>6</w:t>
      </w:r>
      <w:r>
        <w:rPr>
          <w:rFonts w:hint="eastAsia" w:ascii="Times New Roman" w:hAnsi="Times New Roman" w:cs="Times New Roman"/>
          <w:b/>
          <w:caps w:val="0"/>
          <w:smallCaps w:val="0"/>
          <w:u w:val="single"/>
        </w:rPr>
        <w:t>项目存在环境问题及整改措施一览表</w:t>
      </w:r>
    </w:p>
    <w:tbl>
      <w:tblPr>
        <w:tblStyle w:val="71"/>
        <w:tblW w:w="5000" w:type="pct"/>
        <w:tblInd w:w="0"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108" w:type="dxa"/>
          <w:bottom w:w="0" w:type="dxa"/>
          <w:right w:w="108" w:type="dxa"/>
        </w:tblCellMar>
      </w:tblPr>
      <w:tblGrid>
        <w:gridCol w:w="891"/>
        <w:gridCol w:w="4169"/>
        <w:gridCol w:w="4226"/>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87" w:hRule="atLeast"/>
          <w:tblHeader/>
        </w:trPr>
        <w:tc>
          <w:tcPr>
            <w:tcW w:w="480" w:type="pct"/>
            <w:tcBorders>
              <w:top w:val="single" w:color="000000" w:sz="12" w:space="0"/>
              <w:left w:val="single" w:color="000000" w:sz="12"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序号</w:t>
            </w:r>
          </w:p>
        </w:tc>
        <w:tc>
          <w:tcPr>
            <w:tcW w:w="2245" w:type="pct"/>
            <w:tcBorders>
              <w:top w:val="single" w:color="000000" w:sz="12" w:space="0"/>
              <w:left w:val="single" w:color="000000" w:sz="6"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存在环境问题</w:t>
            </w:r>
          </w:p>
        </w:tc>
        <w:tc>
          <w:tcPr>
            <w:tcW w:w="2275" w:type="pct"/>
            <w:tcBorders>
              <w:top w:val="single" w:color="000000" w:sz="12" w:space="0"/>
              <w:left w:val="single" w:color="000000" w:sz="6" w:space="0"/>
              <w:bottom w:val="single" w:color="000000" w:sz="6" w:space="0"/>
              <w:right w:val="single" w:color="000000" w:sz="12"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整改措施及建议</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480" w:type="pct"/>
            <w:tcBorders>
              <w:top w:val="single" w:color="000000" w:sz="6" w:space="0"/>
              <w:left w:val="single" w:color="000000" w:sz="12"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w:t>
            </w:r>
          </w:p>
        </w:tc>
        <w:tc>
          <w:tcPr>
            <w:tcW w:w="2245" w:type="pct"/>
            <w:tcBorders>
              <w:top w:val="single" w:color="000000" w:sz="6" w:space="0"/>
              <w:left w:val="single" w:color="000000" w:sz="6"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泊位丁靠船舶与水流垂直，且船舶伸入江中较多，易发生操船事故，存在安全隐患；丁靠船舶作业时，需要靠船舶动力抵抗水水流力保持泊稳，不节能不环保，不利于岸电接入。</w:t>
            </w:r>
          </w:p>
        </w:tc>
        <w:tc>
          <w:tcPr>
            <w:tcW w:w="2275" w:type="pct"/>
            <w:tcBorders>
              <w:top w:val="single" w:color="000000" w:sz="6" w:space="0"/>
              <w:left w:val="single" w:color="000000" w:sz="6" w:space="0"/>
              <w:bottom w:val="single" w:color="000000" w:sz="6" w:space="0"/>
              <w:right w:val="single" w:color="000000" w:sz="12"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采用浮码头顺水流方向停靠方式，新增趸船为船舶提供停靠，停靠后可关停船舶发动机。</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480" w:type="pct"/>
            <w:tcBorders>
              <w:top w:val="single" w:color="000000" w:sz="6" w:space="0"/>
              <w:left w:val="single" w:color="000000" w:sz="12"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2</w:t>
            </w:r>
          </w:p>
        </w:tc>
        <w:tc>
          <w:tcPr>
            <w:tcW w:w="2245" w:type="pct"/>
            <w:tcBorders>
              <w:top w:val="single" w:color="000000" w:sz="6" w:space="0"/>
              <w:left w:val="single" w:color="000000" w:sz="6"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码头现有输送管廊道较为破旧，防风、防雨、防渗效果较差。</w:t>
            </w:r>
          </w:p>
        </w:tc>
        <w:tc>
          <w:tcPr>
            <w:tcW w:w="2275" w:type="pct"/>
            <w:tcBorders>
              <w:top w:val="single" w:color="000000" w:sz="6" w:space="0"/>
              <w:left w:val="single" w:color="000000" w:sz="6" w:space="0"/>
              <w:bottom w:val="single" w:color="000000" w:sz="6" w:space="0"/>
              <w:right w:val="single" w:color="000000" w:sz="12"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对码头现有输送管廊道进行提质改造，拆除原有接料墩，新增沥青运输管线，新建钢结构转运墩，完善防风、防雨、防渗效果。</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480" w:type="pct"/>
            <w:tcBorders>
              <w:top w:val="single" w:color="000000" w:sz="6" w:space="0"/>
              <w:left w:val="single" w:color="000000" w:sz="12"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3</w:t>
            </w:r>
          </w:p>
        </w:tc>
        <w:tc>
          <w:tcPr>
            <w:tcW w:w="2245" w:type="pct"/>
            <w:tcBorders>
              <w:top w:val="single" w:color="000000" w:sz="6" w:space="0"/>
              <w:left w:val="single" w:color="000000" w:sz="6"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码头前沿未设置给排水系统，未设置船舶供水系统，未设置污水收集处理设施，无雨污分流管网，船舶废水无明确去向。</w:t>
            </w:r>
          </w:p>
        </w:tc>
        <w:tc>
          <w:tcPr>
            <w:tcW w:w="2275" w:type="pct"/>
            <w:tcBorders>
              <w:top w:val="single" w:color="000000" w:sz="6" w:space="0"/>
              <w:left w:val="single" w:color="000000" w:sz="6" w:space="0"/>
              <w:bottom w:val="single" w:color="000000" w:sz="6" w:space="0"/>
              <w:right w:val="single" w:color="000000" w:sz="12"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新增码头雨污分流管网、船舶供水系统和趸船污水收集系统；船舶生活污水经趸船生活污水箱收集后定期由海事部门指定具有专业资质的接收船接收处理，船舶舱底油污水经趸船含油污水箱收集后定期由海事部门指定具有专业资质的接收船接收处理。</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480" w:type="pct"/>
            <w:tcBorders>
              <w:top w:val="single" w:color="000000" w:sz="6" w:space="0"/>
              <w:left w:val="single" w:color="000000" w:sz="12"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4</w:t>
            </w:r>
          </w:p>
        </w:tc>
        <w:tc>
          <w:tcPr>
            <w:tcW w:w="2245" w:type="pct"/>
            <w:tcBorders>
              <w:top w:val="single" w:color="000000" w:sz="6" w:space="0"/>
              <w:left w:val="single" w:color="000000" w:sz="6" w:space="0"/>
              <w:bottom w:val="single" w:color="000000" w:sz="6" w:space="0"/>
              <w:right w:val="single" w:color="000000" w:sz="6"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码头前沿为混凝土硬化场地，不属于湘江河滩原生生态环境。</w:t>
            </w:r>
          </w:p>
        </w:tc>
        <w:tc>
          <w:tcPr>
            <w:tcW w:w="2275" w:type="pct"/>
            <w:tcBorders>
              <w:top w:val="single" w:color="000000" w:sz="6" w:space="0"/>
              <w:left w:val="single" w:color="000000" w:sz="6" w:space="0"/>
              <w:bottom w:val="single" w:color="000000" w:sz="6" w:space="0"/>
              <w:right w:val="single" w:color="000000" w:sz="12"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码头前沿混凝土硬化场地进行复绿，恢复湘江河滩原生生态环境。</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487" w:hRule="atLeast"/>
        </w:trPr>
        <w:tc>
          <w:tcPr>
            <w:tcW w:w="480" w:type="pct"/>
            <w:tcBorders>
              <w:top w:val="single" w:color="000000" w:sz="6" w:space="0"/>
              <w:left w:val="single" w:color="000000" w:sz="12" w:space="0"/>
              <w:bottom w:val="single" w:color="000000" w:sz="12" w:space="0"/>
              <w:right w:val="single" w:color="000000" w:sz="6" w:space="0"/>
            </w:tcBorders>
            <w:vAlign w:val="center"/>
          </w:tcPr>
          <w:p>
            <w:pPr>
              <w:pStyle w:val="117"/>
              <w:bidi w:val="0"/>
              <w:rPr>
                <w:rFonts w:hint="eastAsia"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lang w:val="en-US" w:eastAsia="zh-CN"/>
              </w:rPr>
              <w:t>5</w:t>
            </w:r>
          </w:p>
        </w:tc>
        <w:tc>
          <w:tcPr>
            <w:tcW w:w="2245" w:type="pct"/>
            <w:tcBorders>
              <w:top w:val="single" w:color="000000" w:sz="6" w:space="0"/>
              <w:left w:val="single" w:color="000000" w:sz="6" w:space="0"/>
              <w:bottom w:val="single" w:color="000000" w:sz="12" w:space="0"/>
              <w:right w:val="single" w:color="000000" w:sz="6" w:space="0"/>
            </w:tcBorders>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无突发环境事故应急措施</w:t>
            </w:r>
          </w:p>
        </w:tc>
        <w:tc>
          <w:tcPr>
            <w:tcW w:w="2275" w:type="pct"/>
            <w:tcBorders>
              <w:top w:val="single" w:color="000000" w:sz="6" w:space="0"/>
              <w:left w:val="single" w:color="000000" w:sz="6" w:space="0"/>
              <w:bottom w:val="single" w:color="000000" w:sz="12" w:space="0"/>
              <w:right w:val="single" w:color="000000" w:sz="12" w:space="0"/>
            </w:tcBorders>
            <w:vAlign w:val="center"/>
          </w:tcPr>
          <w:p>
            <w:pPr>
              <w:pStyle w:val="117"/>
              <w:bidi w:val="0"/>
              <w:rPr>
                <w:rFonts w:hint="eastAsia" w:ascii="Times New Roman" w:hAnsi="Times New Roman" w:cs="Times New Roman"/>
                <w:caps w:val="0"/>
                <w:smallCaps w:val="0"/>
                <w:u w:val="single"/>
              </w:rPr>
            </w:pPr>
            <w:r>
              <w:rPr>
                <w:rFonts w:hint="eastAsia" w:ascii="Times New Roman" w:hAnsi="Times New Roman" w:cs="Times New Roman"/>
                <w:caps w:val="0"/>
                <w:smallCaps w:val="0"/>
                <w:u w:val="single"/>
                <w:lang w:val="en-US" w:eastAsia="zh-CN"/>
              </w:rPr>
              <w:t>在码头前沿配备围油栏，以防止船舶突发漏油事故油污扩散，围油栏采用岸边诱导式敷设，围油栏长300米，业主自备围油栏拖带工作船；在趸船上配置吸油毡，吸附泄漏的油；在趸船上配置</w:t>
            </w:r>
            <w:r>
              <w:rPr>
                <w:rFonts w:hint="eastAsia" w:ascii="Times New Roman" w:hAnsi="Times New Roman" w:cs="Times New Roman"/>
                <w:caps w:val="0"/>
                <w:smallCaps w:val="0"/>
                <w:u w:val="single"/>
                <w:lang w:eastAsia="zh-CN"/>
              </w:rPr>
              <w:t>托油网，截留泄漏的凝固沥青。</w:t>
            </w:r>
          </w:p>
        </w:tc>
      </w:tr>
    </w:tbl>
    <w:p>
      <w:pPr>
        <w:bidi w:val="0"/>
        <w:rPr>
          <w:rFonts w:ascii="Times New Roman" w:hAnsi="Times New Roman" w:cs="Times New Roman"/>
          <w:caps w:val="0"/>
          <w:smallCaps w:val="0"/>
        </w:rPr>
      </w:pPr>
    </w:p>
    <w:p>
      <w:pPr>
        <w:pStyle w:val="5"/>
        <w:rPr>
          <w:rFonts w:ascii="Times New Roman" w:hAnsi="Times New Roman" w:cs="Times New Roman" w:eastAsiaTheme="minorEastAsia"/>
          <w:b/>
          <w:caps w:val="0"/>
          <w:smallCaps w:val="0"/>
        </w:rPr>
      </w:pPr>
      <w:bookmarkStart w:id="29" w:name="_Toc22203"/>
      <w:r>
        <w:rPr>
          <w:rFonts w:ascii="Times New Roman" w:hAnsi="Times New Roman" w:cs="Times New Roman" w:eastAsiaTheme="minorEastAsia"/>
          <w:b/>
          <w:caps w:val="0"/>
          <w:smallCaps w:val="0"/>
        </w:rPr>
        <w:t>提质改造工程概况</w:t>
      </w:r>
      <w:bookmarkEnd w:id="29"/>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⑴</w:t>
      </w:r>
      <w:r>
        <w:rPr>
          <w:rFonts w:ascii="Times New Roman" w:hAnsi="Times New Roman" w:cs="Times New Roman" w:eastAsiaTheme="minorEastAsia"/>
          <w:caps w:val="0"/>
          <w:smallCaps w:val="0"/>
          <w:color w:val="000000"/>
          <w:kern w:val="0"/>
          <w:sz w:val="24"/>
          <w:szCs w:val="24"/>
        </w:rPr>
        <w:t>项目性质：改扩建项目。</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⑵</w:t>
      </w:r>
      <w:r>
        <w:rPr>
          <w:rFonts w:ascii="Times New Roman" w:hAnsi="Times New Roman" w:cs="Times New Roman" w:eastAsiaTheme="minorEastAsia"/>
          <w:caps w:val="0"/>
          <w:smallCaps w:val="0"/>
          <w:color w:val="000000"/>
          <w:kern w:val="0"/>
          <w:sz w:val="24"/>
          <w:szCs w:val="24"/>
        </w:rPr>
        <w:t>建设地点：本项目位于</w:t>
      </w:r>
      <w:r>
        <w:rPr>
          <w:rFonts w:hint="eastAsia" w:cs="Times New Roman" w:eastAsiaTheme="minorEastAsia"/>
          <w:caps w:val="0"/>
          <w:smallCaps w:val="0"/>
          <w:color w:val="000000"/>
          <w:kern w:val="0"/>
          <w:sz w:val="24"/>
          <w:szCs w:val="24"/>
          <w:lang w:eastAsia="zh-CN"/>
        </w:rPr>
        <w:t>屈原管理区推山咀，该码头地处</w:t>
      </w:r>
      <w:r>
        <w:rPr>
          <w:rFonts w:ascii="Times New Roman" w:hAnsi="Times New Roman" w:cs="Times New Roman" w:eastAsiaTheme="minorEastAsia"/>
          <w:caps w:val="0"/>
          <w:smallCaps w:val="0"/>
          <w:color w:val="000000"/>
          <w:kern w:val="0"/>
          <w:sz w:val="24"/>
          <w:szCs w:val="24"/>
        </w:rPr>
        <w:t>岳阳港</w:t>
      </w:r>
      <w:r>
        <w:rPr>
          <w:rFonts w:hint="eastAsia" w:ascii="Times New Roman" w:hAnsi="Times New Roman" w:cs="Times New Roman" w:eastAsiaTheme="minorEastAsia"/>
          <w:caps w:val="0"/>
          <w:smallCaps w:val="0"/>
          <w:color w:val="000000"/>
          <w:kern w:val="0"/>
          <w:sz w:val="24"/>
          <w:szCs w:val="24"/>
        </w:rPr>
        <w:t>汨罗港区推山咀作业区，</w:t>
      </w:r>
      <w:r>
        <w:rPr>
          <w:rFonts w:ascii="Times New Roman" w:hAnsi="Times New Roman" w:cs="Times New Roman" w:eastAsiaTheme="minorEastAsia"/>
          <w:caps w:val="0"/>
          <w:smallCaps w:val="0"/>
          <w:color w:val="000000"/>
          <w:kern w:val="0"/>
          <w:sz w:val="24"/>
          <w:szCs w:val="24"/>
        </w:rPr>
        <w:t>工程码头岸线长度</w:t>
      </w:r>
      <w:r>
        <w:rPr>
          <w:rFonts w:hint="eastAsia" w:ascii="Times New Roman" w:hAnsi="Times New Roman" w:cs="Times New Roman" w:eastAsiaTheme="minorEastAsia"/>
          <w:caps w:val="0"/>
          <w:smallCaps w:val="0"/>
          <w:color w:val="000000"/>
          <w:kern w:val="0"/>
          <w:sz w:val="24"/>
          <w:szCs w:val="24"/>
        </w:rPr>
        <w:t>150</w:t>
      </w:r>
      <w:r>
        <w:rPr>
          <w:rFonts w:ascii="Times New Roman" w:hAnsi="Times New Roman" w:cs="Times New Roman" w:eastAsiaTheme="minorEastAsia"/>
          <w:caps w:val="0"/>
          <w:smallCaps w:val="0"/>
          <w:color w:val="000000"/>
          <w:kern w:val="0"/>
          <w:sz w:val="24"/>
          <w:szCs w:val="24"/>
        </w:rPr>
        <w:t>m。</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⑶</w:t>
      </w:r>
      <w:r>
        <w:rPr>
          <w:rFonts w:ascii="Times New Roman" w:hAnsi="Times New Roman" w:cs="Times New Roman" w:eastAsiaTheme="minorEastAsia"/>
          <w:caps w:val="0"/>
          <w:smallCaps w:val="0"/>
          <w:color w:val="000000"/>
          <w:kern w:val="0"/>
          <w:sz w:val="24"/>
          <w:szCs w:val="24"/>
        </w:rPr>
        <w:t>建设内容及建设规模：本项目</w:t>
      </w:r>
      <w:r>
        <w:rPr>
          <w:rFonts w:hint="eastAsia" w:ascii="Times New Roman" w:hAnsi="Times New Roman" w:cs="Times New Roman" w:eastAsiaTheme="minorEastAsia"/>
          <w:caps w:val="0"/>
          <w:smallCaps w:val="0"/>
          <w:color w:val="000000"/>
          <w:kern w:val="0"/>
          <w:sz w:val="24"/>
          <w:szCs w:val="24"/>
        </w:rPr>
        <w:t>主要工程为</w:t>
      </w:r>
      <w:r>
        <w:rPr>
          <w:rFonts w:hint="eastAsia" w:cs="Times New Roman" w:eastAsiaTheme="minorEastAsia"/>
          <w:caps w:val="0"/>
          <w:smallCaps w:val="0"/>
          <w:color w:val="000000"/>
          <w:kern w:val="0"/>
          <w:sz w:val="24"/>
          <w:szCs w:val="24"/>
          <w:lang w:eastAsia="zh-CN"/>
        </w:rPr>
        <w:t>码头工程</w:t>
      </w:r>
      <w:r>
        <w:rPr>
          <w:rFonts w:hint="eastAsia" w:ascii="Times New Roman" w:hAnsi="Times New Roman" w:cs="Times New Roman" w:eastAsiaTheme="minorEastAsia"/>
          <w:caps w:val="0"/>
          <w:smallCaps w:val="0"/>
          <w:color w:val="000000"/>
          <w:kern w:val="0"/>
          <w:sz w:val="24"/>
          <w:szCs w:val="24"/>
        </w:rPr>
        <w:t>，</w:t>
      </w:r>
      <w:r>
        <w:rPr>
          <w:rFonts w:hint="eastAsia" w:ascii="Times New Roman" w:hAnsi="Times New Roman" w:cs="Times New Roman" w:eastAsiaTheme="minorEastAsia"/>
          <w:caps w:val="0"/>
          <w:smallCaps w:val="0"/>
          <w:color w:val="000000"/>
          <w:kern w:val="0"/>
          <w:sz w:val="24"/>
          <w:szCs w:val="24"/>
          <w:lang w:eastAsia="zh-CN"/>
        </w:rPr>
        <w:t>不含</w:t>
      </w:r>
      <w:r>
        <w:rPr>
          <w:rFonts w:hint="eastAsia" w:cs="Times New Roman" w:eastAsiaTheme="minorEastAsia"/>
          <w:caps w:val="0"/>
          <w:smallCaps w:val="0"/>
          <w:color w:val="000000"/>
          <w:kern w:val="0"/>
          <w:sz w:val="24"/>
          <w:szCs w:val="24"/>
          <w:lang w:eastAsia="zh-CN"/>
        </w:rPr>
        <w:t>后方库区</w:t>
      </w:r>
      <w:r>
        <w:rPr>
          <w:rFonts w:hint="eastAsia" w:ascii="Times New Roman" w:hAnsi="Times New Roman" w:cs="Times New Roman" w:eastAsiaTheme="minorEastAsia"/>
          <w:caps w:val="0"/>
          <w:smallCaps w:val="0"/>
          <w:color w:val="000000"/>
          <w:kern w:val="0"/>
          <w:sz w:val="24"/>
          <w:szCs w:val="24"/>
          <w:lang w:eastAsia="zh-CN"/>
        </w:rPr>
        <w:t>，</w:t>
      </w:r>
      <w:r>
        <w:rPr>
          <w:rFonts w:hint="eastAsia" w:cs="Times New Roman" w:eastAsiaTheme="minorEastAsia"/>
          <w:caps w:val="0"/>
          <w:smallCaps w:val="0"/>
          <w:color w:val="000000"/>
          <w:kern w:val="0"/>
          <w:sz w:val="24"/>
          <w:szCs w:val="24"/>
          <w:lang w:eastAsia="zh-CN"/>
        </w:rPr>
        <w:t>库区</w:t>
      </w:r>
      <w:r>
        <w:rPr>
          <w:rFonts w:hint="eastAsia" w:ascii="Times New Roman" w:hAnsi="Times New Roman" w:cs="Times New Roman" w:eastAsiaTheme="minorEastAsia"/>
          <w:caps w:val="0"/>
          <w:smallCaps w:val="0"/>
          <w:color w:val="000000"/>
          <w:kern w:val="0"/>
          <w:sz w:val="24"/>
          <w:szCs w:val="24"/>
        </w:rPr>
        <w:t>依托现有工程。</w:t>
      </w:r>
      <w:r>
        <w:rPr>
          <w:rFonts w:ascii="Times New Roman" w:hAnsi="Times New Roman" w:cs="Times New Roman" w:eastAsiaTheme="minorEastAsia"/>
          <w:caps w:val="0"/>
          <w:smallCaps w:val="0"/>
          <w:color w:val="000000"/>
          <w:kern w:val="0"/>
          <w:sz w:val="24"/>
          <w:szCs w:val="24"/>
        </w:rPr>
        <w:t>拟</w:t>
      </w:r>
      <w:r>
        <w:rPr>
          <w:rFonts w:hint="eastAsia" w:ascii="Times New Roman" w:hAnsi="Times New Roman" w:cs="Times New Roman" w:eastAsiaTheme="minorEastAsia"/>
          <w:caps w:val="0"/>
          <w:smallCaps w:val="0"/>
          <w:color w:val="000000"/>
          <w:kern w:val="0"/>
          <w:sz w:val="24"/>
          <w:szCs w:val="24"/>
        </w:rPr>
        <w:t>对原斜坡老码头复绿，建设1个2000t级泊位，新建码头平台和引桥，设置2根沥青输送管线（一备一用）</w:t>
      </w:r>
      <w:r>
        <w:rPr>
          <w:rFonts w:hint="eastAsia" w:ascii="Times New Roman" w:hAnsi="Times New Roman" w:cs="Times New Roman" w:eastAsiaTheme="minorEastAsia"/>
          <w:caps w:val="0"/>
          <w:smallCaps w:val="0"/>
          <w:color w:val="000000"/>
          <w:kern w:val="0"/>
          <w:sz w:val="24"/>
          <w:szCs w:val="24"/>
          <w:lang w:eastAsia="zh-CN"/>
        </w:rPr>
        <w:t>以及配套设施、环保设施</w:t>
      </w:r>
      <w:r>
        <w:rPr>
          <w:rFonts w:hint="eastAsia" w:ascii="Times New Roman" w:hAnsi="Times New Roman" w:cs="Times New Roman" w:eastAsiaTheme="minorEastAsia"/>
          <w:caps w:val="0"/>
          <w:smallCaps w:val="0"/>
          <w:color w:val="000000"/>
          <w:kern w:val="0"/>
          <w:sz w:val="24"/>
          <w:szCs w:val="24"/>
        </w:rPr>
        <w:t>。设计船型为2000t级油船、型长90m、型宽14.8m、满载吃水2.8m，泊位长度150m、宽度30m。</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⑷</w:t>
      </w:r>
      <w:r>
        <w:rPr>
          <w:rFonts w:ascii="Times New Roman" w:hAnsi="Times New Roman" w:cs="Times New Roman" w:eastAsiaTheme="minorEastAsia"/>
          <w:caps w:val="0"/>
          <w:smallCaps w:val="0"/>
          <w:color w:val="000000"/>
          <w:kern w:val="0"/>
          <w:sz w:val="24"/>
          <w:szCs w:val="24"/>
        </w:rPr>
        <w:t>服务对象：本项目建成后服务对象为</w:t>
      </w:r>
      <w:r>
        <w:rPr>
          <w:rFonts w:hint="eastAsia" w:ascii="Times New Roman" w:hAnsi="Times New Roman" w:cs="Times New Roman" w:eastAsiaTheme="minorEastAsia"/>
          <w:caps w:val="0"/>
          <w:smallCaps w:val="0"/>
          <w:color w:val="000000"/>
          <w:kern w:val="0"/>
          <w:sz w:val="24"/>
          <w:szCs w:val="24"/>
        </w:rPr>
        <w:t>湖南海丰物流有限公司</w:t>
      </w:r>
      <w:r>
        <w:rPr>
          <w:rFonts w:ascii="Times New Roman" w:hAnsi="Times New Roman" w:cs="Times New Roman" w:eastAsiaTheme="minorEastAsia"/>
          <w:caps w:val="0"/>
          <w:smallCaps w:val="0"/>
          <w:color w:val="000000"/>
          <w:kern w:val="0"/>
          <w:sz w:val="24"/>
          <w:szCs w:val="24"/>
        </w:rPr>
        <w: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⑸</w:t>
      </w:r>
      <w:r>
        <w:rPr>
          <w:rFonts w:ascii="Times New Roman" w:hAnsi="Times New Roman" w:cs="Times New Roman" w:eastAsiaTheme="minorEastAsia"/>
          <w:caps w:val="0"/>
          <w:smallCaps w:val="0"/>
          <w:color w:val="000000"/>
          <w:kern w:val="0"/>
          <w:sz w:val="24"/>
          <w:szCs w:val="24"/>
        </w:rPr>
        <w:t>主要货种及预测吞吐量：货种为</w:t>
      </w:r>
      <w:r>
        <w:rPr>
          <w:rFonts w:hint="eastAsia" w:ascii="Times New Roman" w:hAnsi="Times New Roman" w:cs="Times New Roman" w:eastAsiaTheme="minorEastAsia"/>
          <w:caps w:val="0"/>
          <w:smallCaps w:val="0"/>
          <w:color w:val="000000"/>
          <w:kern w:val="0"/>
          <w:sz w:val="24"/>
          <w:szCs w:val="24"/>
        </w:rPr>
        <w:t>沥青</w:t>
      </w:r>
      <w:r>
        <w:rPr>
          <w:rFonts w:hint="eastAsia" w:ascii="Times New Roman" w:hAnsi="Times New Roman" w:cs="Times New Roman" w:eastAsiaTheme="minorEastAsia"/>
          <w:caps w:val="0"/>
          <w:smallCaps w:val="0"/>
          <w:color w:val="000000"/>
          <w:kern w:val="0"/>
          <w:sz w:val="24"/>
          <w:szCs w:val="24"/>
          <w:lang w:eastAsia="zh-CN"/>
        </w:rPr>
        <w:t>，</w:t>
      </w:r>
      <w:r>
        <w:rPr>
          <w:rFonts w:ascii="Times New Roman" w:hAnsi="Times New Roman" w:cs="Times New Roman" w:eastAsiaTheme="minorEastAsia"/>
          <w:caps w:val="0"/>
          <w:smallCaps w:val="0"/>
          <w:color w:val="000000"/>
          <w:kern w:val="0"/>
          <w:sz w:val="24"/>
          <w:szCs w:val="24"/>
        </w:rPr>
        <w:t>设计吞吐量为</w:t>
      </w:r>
      <w:r>
        <w:rPr>
          <w:rFonts w:hint="eastAsia" w:ascii="Times New Roman" w:hAnsi="Times New Roman" w:cs="Times New Roman" w:eastAsiaTheme="minorEastAsia"/>
          <w:caps w:val="0"/>
          <w:smallCaps w:val="0"/>
          <w:color w:val="000000"/>
          <w:kern w:val="0"/>
          <w:sz w:val="24"/>
          <w:szCs w:val="24"/>
        </w:rPr>
        <w:t>25</w:t>
      </w:r>
      <w:r>
        <w:rPr>
          <w:rFonts w:ascii="Times New Roman" w:hAnsi="Times New Roman" w:cs="Times New Roman" w:eastAsiaTheme="minorEastAsia"/>
          <w:caps w:val="0"/>
          <w:smallCaps w:val="0"/>
          <w:color w:val="000000"/>
          <w:kern w:val="0"/>
          <w:sz w:val="24"/>
          <w:szCs w:val="24"/>
        </w:rPr>
        <w:t>万t。</w:t>
      </w:r>
    </w:p>
    <w:p>
      <w:pPr>
        <w:adjustRightInd w:val="0"/>
        <w:snapToGrid w:val="0"/>
        <w:spacing w:line="360" w:lineRule="auto"/>
        <w:ind w:firstLine="480" w:firstLineChars="200"/>
        <w:rPr>
          <w:rFonts w:ascii="Times New Roman" w:hAnsi="Times New Roman" w:cs="Times New Roman"/>
          <w:caps w:val="0"/>
          <w:smallCaps w:val="0"/>
          <w:color w:val="000000"/>
          <w:kern w:val="0"/>
          <w:sz w:val="24"/>
          <w:szCs w:val="24"/>
        </w:rPr>
      </w:pPr>
      <w:r>
        <w:rPr>
          <w:rFonts w:hint="eastAsia" w:ascii="Times New Roman" w:hAnsi="Times New Roman" w:cs="Times New Roman"/>
          <w:caps w:val="0"/>
          <w:smallCaps w:val="0"/>
          <w:color w:val="000000"/>
          <w:kern w:val="0"/>
          <w:sz w:val="24"/>
          <w:szCs w:val="24"/>
        </w:rPr>
        <w:t>⑹</w:t>
      </w:r>
      <w:r>
        <w:rPr>
          <w:rFonts w:ascii="Times New Roman" w:hAnsi="Times New Roman" w:cs="Times New Roman"/>
          <w:caps w:val="0"/>
          <w:smallCaps w:val="0"/>
          <w:color w:val="000000"/>
          <w:kern w:val="0"/>
          <w:sz w:val="24"/>
          <w:szCs w:val="24"/>
        </w:rPr>
        <w:t>工程</w:t>
      </w:r>
      <w:r>
        <w:rPr>
          <w:rFonts w:hint="eastAsia" w:ascii="Times New Roman" w:hAnsi="Times New Roman" w:cs="Times New Roman"/>
          <w:caps w:val="0"/>
          <w:smallCaps w:val="0"/>
          <w:color w:val="000000"/>
          <w:kern w:val="0"/>
          <w:sz w:val="24"/>
          <w:szCs w:val="24"/>
          <w:lang w:eastAsia="zh-CN"/>
        </w:rPr>
        <w:t>总</w:t>
      </w:r>
      <w:r>
        <w:rPr>
          <w:rFonts w:ascii="Times New Roman" w:hAnsi="Times New Roman" w:cs="Times New Roman"/>
          <w:caps w:val="0"/>
          <w:smallCaps w:val="0"/>
          <w:color w:val="000000"/>
          <w:kern w:val="0"/>
          <w:sz w:val="24"/>
          <w:szCs w:val="24"/>
        </w:rPr>
        <w:t>投资：约</w:t>
      </w:r>
      <w:r>
        <w:rPr>
          <w:rFonts w:hint="eastAsia" w:ascii="Times New Roman" w:hAnsi="Times New Roman" w:cs="Times New Roman"/>
          <w:caps w:val="0"/>
          <w:smallCaps w:val="0"/>
          <w:color w:val="000000"/>
          <w:kern w:val="0"/>
          <w:sz w:val="24"/>
          <w:szCs w:val="24"/>
        </w:rPr>
        <w:t>2679.77</w:t>
      </w:r>
      <w:r>
        <w:rPr>
          <w:rFonts w:ascii="Times New Roman" w:hAnsi="Times New Roman" w:cs="Times New Roman"/>
          <w:caps w:val="0"/>
          <w:smallCaps w:val="0"/>
          <w:color w:val="000000"/>
          <w:kern w:val="0"/>
          <w:sz w:val="24"/>
          <w:szCs w:val="24"/>
        </w:rPr>
        <w:t>万元。</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sectPr>
          <w:headerReference r:id="rId11" w:type="default"/>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Times New Roman" w:hAnsi="Times New Roman" w:cs="Times New Roman"/>
          <w:caps w:val="0"/>
          <w:smallCaps w:val="0"/>
          <w:color w:val="000000"/>
          <w:kern w:val="0"/>
          <w:sz w:val="24"/>
          <w:szCs w:val="24"/>
        </w:rPr>
        <w:t>⑺</w:t>
      </w:r>
      <w:r>
        <w:rPr>
          <w:rFonts w:ascii="Times New Roman" w:hAnsi="Times New Roman" w:cs="Times New Roman" w:eastAsiaTheme="minorEastAsia"/>
          <w:caps w:val="0"/>
          <w:smallCaps w:val="0"/>
          <w:color w:val="000000"/>
          <w:kern w:val="0"/>
          <w:sz w:val="24"/>
          <w:szCs w:val="24"/>
        </w:rPr>
        <w:t>建设期限：建设工期</w:t>
      </w:r>
      <w:r>
        <w:rPr>
          <w:rFonts w:hint="eastAsia" w:ascii="Times New Roman" w:hAnsi="Times New Roman" w:cs="Times New Roman" w:eastAsiaTheme="minorEastAsia"/>
          <w:caps w:val="0"/>
          <w:smallCaps w:val="0"/>
          <w:color w:val="000000"/>
          <w:kern w:val="0"/>
          <w:sz w:val="24"/>
          <w:szCs w:val="24"/>
        </w:rPr>
        <w:t>3</w:t>
      </w:r>
      <w:r>
        <w:rPr>
          <w:rFonts w:ascii="Times New Roman" w:hAnsi="Times New Roman" w:cs="Times New Roman" w:eastAsiaTheme="minorEastAsia"/>
          <w:caps w:val="0"/>
          <w:smallCaps w:val="0"/>
          <w:color w:val="000000"/>
          <w:kern w:val="0"/>
          <w:sz w:val="24"/>
          <w:szCs w:val="24"/>
        </w:rPr>
        <w:t>个月。</w:t>
      </w:r>
    </w:p>
    <w:p>
      <w:pPr>
        <w:adjustRightInd w:val="0"/>
        <w:snapToGrid w:val="0"/>
        <w:spacing w:line="360" w:lineRule="auto"/>
        <w:jc w:val="center"/>
        <w:rPr>
          <w:rFonts w:ascii="Times New Roman" w:hAnsi="Times New Roman" w:cs="Times New Roman" w:eastAsiaTheme="minorEastAsia"/>
          <w:caps w:val="0"/>
          <w:smallCaps w:val="0"/>
          <w:color w:val="000000"/>
          <w:kern w:val="0"/>
          <w:sz w:val="24"/>
          <w:szCs w:val="24"/>
        </w:rPr>
      </w:pPr>
      <w:r>
        <w:rPr>
          <w:rFonts w:ascii="Times New Roman" w:hAnsi="Times New Roman" w:cs="Times New Roman"/>
          <w:caps w:val="0"/>
          <w:smallCaps w:val="0"/>
        </w:rPr>
        <w:drawing>
          <wp:inline distT="0" distB="0" distL="114300" distR="114300">
            <wp:extent cx="7219950" cy="5100955"/>
            <wp:effectExtent l="0" t="0" r="0" b="4445"/>
            <wp:docPr id="6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2"/>
                    <pic:cNvPicPr>
                      <a:picLocks noChangeAspect="1"/>
                    </pic:cNvPicPr>
                  </pic:nvPicPr>
                  <pic:blipFill>
                    <a:blip r:embed="rId32"/>
                    <a:stretch>
                      <a:fillRect/>
                    </a:stretch>
                  </pic:blipFill>
                  <pic:spPr>
                    <a:xfrm>
                      <a:off x="0" y="0"/>
                      <a:ext cx="7219950" cy="5100955"/>
                    </a:xfrm>
                    <a:prstGeom prst="rect">
                      <a:avLst/>
                    </a:prstGeom>
                    <a:noFill/>
                    <a:ln>
                      <a:noFill/>
                    </a:ln>
                  </pic:spPr>
                </pic:pic>
              </a:graphicData>
            </a:graphic>
          </wp:inline>
        </w:drawing>
      </w:r>
    </w:p>
    <w:p>
      <w:pPr>
        <w:adjustRightInd w:val="0"/>
        <w:snapToGrid w:val="0"/>
        <w:spacing w:line="360" w:lineRule="auto"/>
        <w:jc w:val="center"/>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eastAsiaTheme="minorEastAsia"/>
          <w:b/>
          <w:caps w:val="0"/>
          <w:smallCaps w:val="0"/>
          <w:color w:val="000000"/>
          <w:kern w:val="0"/>
          <w:sz w:val="24"/>
          <w:szCs w:val="24"/>
        </w:rPr>
        <w:t>图3.</w:t>
      </w:r>
      <w:r>
        <w:rPr>
          <w:rFonts w:hint="eastAsia" w:cs="Times New Roman" w:eastAsiaTheme="minorEastAsia"/>
          <w:b/>
          <w:caps w:val="0"/>
          <w:smallCaps w:val="0"/>
          <w:color w:val="000000"/>
          <w:kern w:val="0"/>
          <w:sz w:val="24"/>
          <w:szCs w:val="24"/>
          <w:lang w:val="en-US" w:eastAsia="zh-CN"/>
        </w:rPr>
        <w:t>6</w:t>
      </w:r>
      <w:r>
        <w:rPr>
          <w:rFonts w:ascii="Times New Roman" w:hAnsi="Times New Roman" w:cs="Times New Roman" w:eastAsiaTheme="minorEastAsia"/>
          <w:b/>
          <w:caps w:val="0"/>
          <w:smallCaps w:val="0"/>
          <w:color w:val="000000"/>
          <w:kern w:val="0"/>
          <w:sz w:val="24"/>
          <w:szCs w:val="24"/>
        </w:rPr>
        <w:t>-1</w:t>
      </w:r>
      <w:r>
        <w:rPr>
          <w:rFonts w:hint="eastAsia" w:ascii="Times New Roman" w:hAnsi="Times New Roman" w:cs="Times New Roman" w:eastAsiaTheme="minorEastAsia"/>
          <w:b/>
          <w:caps w:val="0"/>
          <w:smallCaps w:val="0"/>
          <w:color w:val="000000"/>
          <w:kern w:val="0"/>
          <w:sz w:val="24"/>
          <w:szCs w:val="24"/>
        </w:rPr>
        <w:t>本项目平面布置图</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sectPr>
          <w:pgSz w:w="16838" w:h="11906" w:orient="landscape"/>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6"/>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建设内容及技术经济指标</w:t>
      </w:r>
    </w:p>
    <w:p>
      <w:pPr>
        <w:pStyle w:val="109"/>
        <w:tabs>
          <w:tab w:val="left" w:pos="900"/>
        </w:tabs>
        <w:adjustRightInd w:val="0"/>
        <w:snapToGrid w:val="0"/>
        <w:spacing w:line="360" w:lineRule="auto"/>
        <w:ind w:firstLine="480"/>
        <w:rPr>
          <w:rFonts w:ascii="Times New Roman" w:hAnsi="Times New Roman" w:cs="Times New Roman" w:eastAsiaTheme="minorEastAsia"/>
          <w:caps w:val="0"/>
          <w:smallCaps w:val="0"/>
          <w:color w:val="000000" w:themeColor="text1"/>
          <w:u w:val="single"/>
          <w14:textFill>
            <w14:solidFill>
              <w14:schemeClr w14:val="tx1"/>
            </w14:solidFill>
          </w14:textFill>
        </w:rPr>
      </w:pPr>
      <w:r>
        <w:rPr>
          <w:rFonts w:ascii="Times New Roman" w:hAnsi="Times New Roman" w:cs="Times New Roman" w:eastAsiaTheme="minorEastAsia"/>
          <w:caps w:val="0"/>
          <w:smallCaps w:val="0"/>
          <w:color w:val="000000" w:themeColor="text1"/>
          <w:u w:val="single"/>
          <w14:textFill>
            <w14:solidFill>
              <w14:schemeClr w14:val="tx1"/>
            </w14:solidFill>
          </w14:textFill>
        </w:rPr>
        <w:t>本项目由主体工程、配套工程和环保工程组成，项目建设工程主要内容见表3.</w:t>
      </w:r>
      <w:r>
        <w:rPr>
          <w:rFonts w:hint="eastAsia" w:cs="Times New Roman" w:eastAsiaTheme="minorEastAsia"/>
          <w:caps w:val="0"/>
          <w:smallCaps w:val="0"/>
          <w:color w:val="000000" w:themeColor="text1"/>
          <w:u w:val="single"/>
          <w:lang w:val="en-US" w:eastAsia="zh-CN"/>
          <w14:textFill>
            <w14:solidFill>
              <w14:schemeClr w14:val="tx1"/>
            </w14:solidFill>
          </w14:textFill>
        </w:rPr>
        <w:t>6</w:t>
      </w:r>
      <w:r>
        <w:rPr>
          <w:rFonts w:ascii="Times New Roman" w:hAnsi="Times New Roman" w:cs="Times New Roman" w:eastAsiaTheme="minorEastAsia"/>
          <w:caps w:val="0"/>
          <w:smallCaps w:val="0"/>
          <w:color w:val="000000" w:themeColor="text1"/>
          <w:u w:val="single"/>
          <w14:textFill>
            <w14:solidFill>
              <w14:schemeClr w14:val="tx1"/>
            </w14:solidFill>
          </w14:textFill>
        </w:rPr>
        <w:t>-1。</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表3.</w:t>
      </w:r>
      <w:r>
        <w:rPr>
          <w:rFonts w:hint="eastAsia" w:cs="Times New Roman" w:eastAsiaTheme="minorEastAsia"/>
          <w:b/>
          <w:caps w:val="0"/>
          <w:smallCaps w:val="0"/>
          <w:color w:val="000000"/>
          <w:sz w:val="24"/>
          <w:szCs w:val="24"/>
          <w:u w:val="single"/>
          <w:lang w:val="en-US" w:eastAsia="zh-CN"/>
        </w:rPr>
        <w:t>6</w:t>
      </w:r>
      <w:r>
        <w:rPr>
          <w:rFonts w:ascii="Times New Roman" w:hAnsi="Times New Roman" w:cs="Times New Roman" w:eastAsiaTheme="minorEastAsia"/>
          <w:b/>
          <w:caps w:val="0"/>
          <w:smallCaps w:val="0"/>
          <w:color w:val="000000"/>
          <w:sz w:val="24"/>
          <w:szCs w:val="24"/>
          <w:u w:val="single"/>
        </w:rPr>
        <w:t>-1本项目主要建设内容一览表</w:t>
      </w:r>
    </w:p>
    <w:tbl>
      <w:tblPr>
        <w:tblStyle w:val="71"/>
        <w:tblW w:w="513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644"/>
        <w:gridCol w:w="632"/>
        <w:gridCol w:w="7310"/>
        <w:gridCol w:w="7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345"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工程类别</w:t>
            </w: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名称</w:t>
            </w:r>
          </w:p>
        </w:tc>
        <w:tc>
          <w:tcPr>
            <w:tcW w:w="3912"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工程内容、规模</w:t>
            </w:r>
          </w:p>
        </w:tc>
        <w:tc>
          <w:tcPr>
            <w:tcW w:w="402" w:type="pct"/>
            <w:noWrap w:val="0"/>
            <w:vAlign w:val="top"/>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restar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主体工程</w:t>
            </w: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泊位</w:t>
            </w:r>
          </w:p>
        </w:tc>
        <w:tc>
          <w:tcPr>
            <w:tcW w:w="3912" w:type="pct"/>
            <w:noWrap w:val="0"/>
            <w:vAlign w:val="center"/>
          </w:tcPr>
          <w:p>
            <w:pPr>
              <w:pStyle w:val="117"/>
              <w:bidi w:val="0"/>
              <w:jc w:val="both"/>
              <w:rPr>
                <w:rFonts w:ascii="Times New Roman" w:hAnsi="Times New Roman" w:cs="Times New Roman"/>
                <w:caps w:val="0"/>
                <w:smallCaps w:val="0"/>
                <w:u w:val="single"/>
              </w:rPr>
            </w:pPr>
            <w:r>
              <w:rPr>
                <w:rFonts w:ascii="Times New Roman" w:hAnsi="Times New Roman" w:cs="Times New Roman"/>
                <w:caps w:val="0"/>
                <w:smallCaps w:val="0"/>
                <w:u w:val="single"/>
              </w:rPr>
              <w:t>本次提质改造拟对</w:t>
            </w:r>
            <w:r>
              <w:rPr>
                <w:rFonts w:hint="eastAsia" w:ascii="Times New Roman" w:hAnsi="Times New Roman" w:cs="Times New Roman"/>
                <w:caps w:val="0"/>
                <w:smallCaps w:val="0"/>
                <w:u w:val="single"/>
              </w:rPr>
              <w:t>原有斜坡码头</w:t>
            </w:r>
            <w:r>
              <w:rPr>
                <w:rFonts w:hint="eastAsia" w:ascii="Times New Roman" w:hAnsi="Times New Roman" w:cs="Times New Roman"/>
                <w:caps w:val="0"/>
                <w:smallCaps w:val="0"/>
                <w:u w:val="single"/>
                <w:lang w:eastAsia="zh-CN"/>
              </w:rPr>
              <w:t>复绿</w:t>
            </w:r>
            <w:r>
              <w:rPr>
                <w:rFonts w:ascii="Times New Roman" w:hAnsi="Times New Roman" w:cs="Times New Roman"/>
                <w:caps w:val="0"/>
                <w:smallCaps w:val="0"/>
                <w:u w:val="single"/>
              </w:rPr>
              <w:t>。建设</w:t>
            </w:r>
            <w:r>
              <w:rPr>
                <w:rFonts w:hint="eastAsia" w:ascii="Times New Roman" w:hAnsi="Times New Roman" w:cs="Times New Roman"/>
                <w:caps w:val="0"/>
                <w:smallCaps w:val="0"/>
                <w:u w:val="single"/>
              </w:rPr>
              <w:t>1</w:t>
            </w:r>
            <w:r>
              <w:rPr>
                <w:rFonts w:ascii="Times New Roman" w:hAnsi="Times New Roman" w:cs="Times New Roman"/>
                <w:caps w:val="0"/>
                <w:smallCaps w:val="0"/>
                <w:u w:val="single"/>
              </w:rPr>
              <w:t>个</w:t>
            </w:r>
            <w:r>
              <w:rPr>
                <w:rFonts w:hint="eastAsia" w:ascii="Times New Roman" w:hAnsi="Times New Roman" w:cs="Times New Roman"/>
                <w:caps w:val="0"/>
                <w:smallCaps w:val="0"/>
                <w:u w:val="single"/>
              </w:rPr>
              <w:t>2</w:t>
            </w:r>
            <w:r>
              <w:rPr>
                <w:rFonts w:ascii="Times New Roman" w:hAnsi="Times New Roman" w:cs="Times New Roman"/>
                <w:caps w:val="0"/>
                <w:smallCaps w:val="0"/>
                <w:u w:val="single"/>
              </w:rPr>
              <w:t>000吨</w:t>
            </w:r>
            <w:r>
              <w:rPr>
                <w:rFonts w:hint="eastAsia" w:ascii="Times New Roman" w:hAnsi="Times New Roman" w:cs="Times New Roman"/>
                <w:caps w:val="0"/>
                <w:smallCaps w:val="0"/>
                <w:u w:val="single"/>
              </w:rPr>
              <w:t>沥青</w:t>
            </w:r>
            <w:r>
              <w:rPr>
                <w:rFonts w:ascii="Times New Roman" w:hAnsi="Times New Roman" w:cs="Times New Roman"/>
                <w:caps w:val="0"/>
                <w:smallCaps w:val="0"/>
                <w:u w:val="single"/>
              </w:rPr>
              <w:t>泊位</w:t>
            </w:r>
            <w:r>
              <w:rPr>
                <w:rFonts w:hint="eastAsia" w:ascii="Times New Roman" w:hAnsi="Times New Roman" w:cs="Times New Roman"/>
                <w:caps w:val="0"/>
                <w:smallCaps w:val="0"/>
                <w:u w:val="single"/>
              </w:rPr>
              <w:t>，</w:t>
            </w:r>
            <w:r>
              <w:rPr>
                <w:rFonts w:ascii="Times New Roman" w:hAnsi="Times New Roman" w:cs="Times New Roman"/>
                <w:caps w:val="0"/>
                <w:smallCaps w:val="0"/>
                <w:u w:val="single"/>
              </w:rPr>
              <w:t>采用浮码头结构，港池开挖</w:t>
            </w:r>
            <w:r>
              <w:rPr>
                <w:rFonts w:hint="eastAsia" w:ascii="Times New Roman" w:hAnsi="Times New Roman" w:cs="Times New Roman"/>
                <w:caps w:val="0"/>
                <w:smallCaps w:val="0"/>
                <w:u w:val="single"/>
                <w:lang w:val="en-US" w:eastAsia="zh-CN"/>
              </w:rPr>
              <w:t>2.1147</w:t>
            </w:r>
            <w:r>
              <w:rPr>
                <w:rFonts w:hint="eastAsia" w:ascii="Times New Roman" w:hAnsi="Times New Roman" w:cs="Times New Roman"/>
                <w:caps w:val="0"/>
                <w:smallCaps w:val="0"/>
                <w:u w:val="single"/>
              </w:rPr>
              <w:t>万m</w:t>
            </w:r>
            <w:r>
              <w:rPr>
                <w:rFonts w:ascii="Times New Roman" w:hAnsi="Times New Roman" w:cs="Times New Roman"/>
                <w:caps w:val="0"/>
                <w:smallCaps w:val="0"/>
                <w:u w:val="single"/>
                <w:vertAlign w:val="superscript"/>
              </w:rPr>
              <w:t>3</w:t>
            </w:r>
            <w:r>
              <w:rPr>
                <w:rFonts w:ascii="Times New Roman" w:hAnsi="Times New Roman" w:cs="Times New Roman"/>
                <w:caps w:val="0"/>
                <w:smallCaps w:val="0"/>
                <w:u w:val="single"/>
              </w:rPr>
              <w:t>。</w:t>
            </w:r>
          </w:p>
          <w:p>
            <w:pPr>
              <w:pStyle w:val="117"/>
              <w:bidi w:val="0"/>
              <w:jc w:val="both"/>
              <w:rPr>
                <w:rFonts w:ascii="Times New Roman" w:hAnsi="Times New Roman" w:cs="Times New Roman"/>
                <w:caps w:val="0"/>
                <w:smallCaps w:val="0"/>
                <w:u w:val="single"/>
              </w:rPr>
            </w:pPr>
            <w:r>
              <w:rPr>
                <w:rFonts w:ascii="Times New Roman" w:hAnsi="Times New Roman" w:cs="Times New Roman"/>
                <w:caps w:val="0"/>
                <w:smallCaps w:val="0"/>
                <w:u w:val="single"/>
              </w:rPr>
              <w:t>码头采用浮码头形式。码头主要由趸船、活动钢引桥、</w:t>
            </w:r>
            <w:r>
              <w:rPr>
                <w:rFonts w:hint="eastAsia" w:ascii="Times New Roman" w:hAnsi="Times New Roman" w:cs="Times New Roman"/>
                <w:caps w:val="0"/>
                <w:smallCaps w:val="0"/>
                <w:u w:val="single"/>
              </w:rPr>
              <w:t>搭接</w:t>
            </w:r>
            <w:r>
              <w:rPr>
                <w:rFonts w:ascii="Times New Roman" w:hAnsi="Times New Roman" w:cs="Times New Roman"/>
                <w:caps w:val="0"/>
                <w:smallCaps w:val="0"/>
                <w:u w:val="single"/>
              </w:rPr>
              <w:t>平台、定位</w:t>
            </w:r>
            <w:r>
              <w:rPr>
                <w:rFonts w:hint="eastAsia" w:ascii="Times New Roman" w:hAnsi="Times New Roman" w:cs="Times New Roman"/>
                <w:caps w:val="0"/>
                <w:smallCaps w:val="0"/>
                <w:u w:val="single"/>
              </w:rPr>
              <w:t>桩</w:t>
            </w:r>
            <w:r>
              <w:rPr>
                <w:rFonts w:ascii="Times New Roman" w:hAnsi="Times New Roman" w:cs="Times New Roman"/>
                <w:caps w:val="0"/>
                <w:smallCaps w:val="0"/>
                <w:u w:val="single"/>
              </w:rPr>
              <w:t>、固定引桥</w:t>
            </w:r>
            <w:r>
              <w:rPr>
                <w:rFonts w:hint="eastAsia" w:ascii="Times New Roman" w:hAnsi="Times New Roman" w:cs="Times New Roman"/>
                <w:caps w:val="0"/>
                <w:smallCaps w:val="0"/>
                <w:u w:val="single"/>
              </w:rPr>
              <w:t>、接岸平台</w:t>
            </w:r>
            <w:r>
              <w:rPr>
                <w:rFonts w:ascii="Times New Roman" w:hAnsi="Times New Roman" w:cs="Times New Roman"/>
                <w:caps w:val="0"/>
                <w:smallCaps w:val="0"/>
                <w:u w:val="single"/>
              </w:rPr>
              <w:t>等组成。</w:t>
            </w:r>
          </w:p>
          <w:p>
            <w:pPr>
              <w:pStyle w:val="117"/>
              <w:bidi w:val="0"/>
              <w:ind w:firstLine="0" w:firstLineChars="0"/>
              <w:jc w:val="both"/>
              <w:rPr>
                <w:rFonts w:ascii="Times New Roman" w:hAnsi="Times New Roman" w:cs="Times New Roman"/>
                <w:caps w:val="0"/>
                <w:smallCaps w:val="0"/>
                <w:u w:val="single"/>
              </w:rPr>
            </w:pPr>
            <w:r>
              <w:rPr>
                <w:rFonts w:ascii="Times New Roman" w:hAnsi="Times New Roman" w:cs="Times New Roman"/>
                <w:caps w:val="0"/>
                <w:smallCaps w:val="0"/>
                <w:u w:val="single"/>
              </w:rPr>
              <w:t>泊位靠泊</w:t>
            </w:r>
            <w:r>
              <w:rPr>
                <w:rFonts w:hint="eastAsia" w:ascii="Times New Roman" w:hAnsi="Times New Roman" w:cs="Times New Roman"/>
                <w:caps w:val="0"/>
                <w:smallCaps w:val="0"/>
                <w:u w:val="single"/>
              </w:rPr>
              <w:t>2</w:t>
            </w:r>
            <w:r>
              <w:rPr>
                <w:rFonts w:ascii="Times New Roman" w:hAnsi="Times New Roman" w:cs="Times New Roman"/>
                <w:caps w:val="0"/>
                <w:smallCaps w:val="0"/>
                <w:u w:val="single"/>
              </w:rPr>
              <w:t>000吨级船舶，艏艉缆采用</w:t>
            </w:r>
            <w:r>
              <w:rPr>
                <w:rFonts w:hint="eastAsia" w:ascii="Times New Roman" w:hAnsi="Times New Roman" w:cs="Times New Roman"/>
                <w:caps w:val="0"/>
                <w:smallCaps w:val="0"/>
                <w:u w:val="single"/>
              </w:rPr>
              <w:t>定位桩</w:t>
            </w:r>
            <w:r>
              <w:rPr>
                <w:rFonts w:ascii="Times New Roman" w:hAnsi="Times New Roman" w:cs="Times New Roman"/>
                <w:caps w:val="0"/>
                <w:smallCaps w:val="0"/>
                <w:u w:val="single"/>
              </w:rPr>
              <w:t>系缆。趸船通过活动钢引桥</w:t>
            </w:r>
            <w:r>
              <w:rPr>
                <w:rFonts w:hint="eastAsia" w:ascii="Times New Roman" w:hAnsi="Times New Roman" w:cs="Times New Roman"/>
                <w:caps w:val="0"/>
                <w:smallCaps w:val="0"/>
                <w:u w:val="single"/>
              </w:rPr>
              <w:t>及固定引桥与后方</w:t>
            </w:r>
            <w:r>
              <w:rPr>
                <w:rFonts w:hint="eastAsia" w:ascii="Times New Roman" w:hAnsi="Times New Roman" w:cs="Times New Roman"/>
                <w:caps w:val="0"/>
                <w:smallCaps w:val="0"/>
                <w:u w:val="single"/>
                <w:lang w:eastAsia="zh-CN"/>
              </w:rPr>
              <w:t>库区</w:t>
            </w:r>
            <w:r>
              <w:rPr>
                <w:rFonts w:hint="eastAsia" w:ascii="Times New Roman" w:hAnsi="Times New Roman" w:cs="Times New Roman"/>
                <w:caps w:val="0"/>
                <w:smallCaps w:val="0"/>
                <w:u w:val="single"/>
              </w:rPr>
              <w:t>连接</w:t>
            </w:r>
            <w:r>
              <w:rPr>
                <w:rFonts w:ascii="Times New Roman" w:hAnsi="Times New Roman" w:cs="Times New Roman"/>
                <w:caps w:val="0"/>
                <w:smallCaps w:val="0"/>
                <w:u w:val="single"/>
              </w:rPr>
              <w:t>。</w:t>
            </w:r>
          </w:p>
        </w:tc>
        <w:tc>
          <w:tcPr>
            <w:tcW w:w="402" w:type="pct"/>
            <w:noWrap w:val="0"/>
            <w:vAlign w:val="center"/>
          </w:tcPr>
          <w:p>
            <w:pPr>
              <w:pStyle w:val="117"/>
              <w:bidi w:val="0"/>
              <w:rPr>
                <w:rFonts w:hint="eastAsia" w:ascii="Times New Roman" w:hAnsi="Times New Roman" w:cs="Times New Roman"/>
                <w:caps w:val="0"/>
                <w:smallCaps w:val="0"/>
                <w:u w:val="single"/>
                <w:lang w:eastAsia="zh-CN"/>
              </w:rPr>
            </w:pPr>
            <w:r>
              <w:rPr>
                <w:rFonts w:hint="eastAsia" w:ascii="Times New Roman" w:hAnsi="Times New Roman" w:cs="Times New Roman"/>
                <w:caps w:val="0"/>
                <w:smallCaps w:val="0"/>
                <w:u w:val="single"/>
                <w:lang w:eastAsia="zh-CN"/>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引桥</w:t>
            </w:r>
          </w:p>
        </w:tc>
        <w:tc>
          <w:tcPr>
            <w:tcW w:w="3912" w:type="pct"/>
            <w:noWrap w:val="0"/>
            <w:vAlign w:val="center"/>
          </w:tcPr>
          <w:p>
            <w:pPr>
              <w:pStyle w:val="117"/>
              <w:bidi w:val="0"/>
              <w:ind w:firstLine="0" w:firstLineChars="0"/>
              <w:jc w:val="both"/>
              <w:rPr>
                <w:rFonts w:ascii="Times New Roman" w:hAnsi="Times New Roman" w:cs="Times New Roman"/>
                <w:caps w:val="0"/>
                <w:smallCaps w:val="0"/>
                <w:u w:val="single"/>
              </w:rPr>
            </w:pPr>
            <w:r>
              <w:rPr>
                <w:rFonts w:hint="eastAsia" w:ascii="Times New Roman" w:hAnsi="Times New Roman" w:cs="Times New Roman"/>
                <w:caps w:val="0"/>
                <w:smallCaps w:val="0"/>
                <w:u w:val="single"/>
                <w:lang w:val="en-US" w:eastAsia="zh-CN"/>
              </w:rPr>
              <w:t>趸船通过活动钢引桥与后方搭接平台连接，活动钢引桥长42m，宽3m，引桥两侧设护轮坎和栏杆。</w:t>
            </w:r>
          </w:p>
        </w:tc>
        <w:tc>
          <w:tcPr>
            <w:tcW w:w="402" w:type="pct"/>
            <w:noWrap w:val="0"/>
            <w:vAlign w:val="center"/>
          </w:tcPr>
          <w:p>
            <w:pPr>
              <w:pStyle w:val="117"/>
              <w:bidi w:val="0"/>
              <w:rPr>
                <w:rFonts w:hint="eastAsia" w:ascii="Times New Roman" w:hAnsi="Times New Roman" w:cs="Times New Roman"/>
                <w:caps w:val="0"/>
                <w:smallCaps w:val="0"/>
                <w:u w:val="single"/>
                <w:lang w:eastAsia="zh-CN"/>
              </w:rPr>
            </w:pPr>
            <w:r>
              <w:rPr>
                <w:rFonts w:hint="eastAsia" w:ascii="Times New Roman" w:hAnsi="Times New Roman" w:cs="Times New Roman"/>
                <w:caps w:val="0"/>
                <w:smallCaps w:val="0"/>
                <w:u w:val="single"/>
                <w:lang w:eastAsia="zh-CN"/>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管道</w:t>
            </w:r>
          </w:p>
        </w:tc>
        <w:tc>
          <w:tcPr>
            <w:tcW w:w="3912" w:type="pct"/>
            <w:noWrap w:val="0"/>
            <w:vAlign w:val="center"/>
          </w:tcPr>
          <w:p>
            <w:pPr>
              <w:pStyle w:val="117"/>
              <w:bidi w:val="0"/>
              <w:jc w:val="both"/>
              <w:rPr>
                <w:rFonts w:hint="default"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rPr>
              <w:t>新建2根沥青输送管线（DN150），一备一用。</w:t>
            </w:r>
            <w:r>
              <w:rPr>
                <w:rFonts w:ascii="Times New Roman" w:hAnsi="Times New Roman" w:cs="Times New Roman"/>
                <w:caps w:val="0"/>
                <w:smallCaps w:val="0"/>
                <w:u w:val="single"/>
              </w:rPr>
              <w:t>厂际管线不在本项目范围内。</w:t>
            </w:r>
            <w:r>
              <w:rPr>
                <w:rFonts w:hint="eastAsia" w:ascii="Times New Roman" w:hAnsi="Times New Roman" w:cs="Times New Roman"/>
                <w:caps w:val="0"/>
                <w:smallCaps w:val="0"/>
                <w:u w:val="single"/>
                <w:lang w:eastAsia="zh-CN"/>
              </w:rPr>
              <w:t>配套建设</w:t>
            </w:r>
            <w:r>
              <w:rPr>
                <w:rFonts w:hint="eastAsia" w:ascii="Times New Roman" w:hAnsi="Times New Roman" w:cs="Times New Roman"/>
                <w:caps w:val="0"/>
                <w:smallCaps w:val="0"/>
                <w:u w:val="single"/>
                <w:lang w:val="en-US" w:eastAsia="zh-CN"/>
              </w:rPr>
              <w:t>1根生活给水管、1根消防给水管、1根消防泡沫给水管、1根含油污水管、1根生活污水管。</w:t>
            </w:r>
          </w:p>
          <w:p>
            <w:pPr>
              <w:pStyle w:val="117"/>
              <w:bidi w:val="0"/>
              <w:ind w:firstLine="0" w:firstLineChars="0"/>
              <w:jc w:val="both"/>
              <w:rPr>
                <w:rFonts w:ascii="Times New Roman" w:hAnsi="Times New Roman" w:cs="Times New Roman"/>
                <w:caps w:val="0"/>
                <w:smallCaps w:val="0"/>
                <w:u w:val="single"/>
              </w:rPr>
            </w:pPr>
            <w:r>
              <w:rPr>
                <w:rFonts w:hint="eastAsia" w:ascii="Times New Roman" w:hAnsi="Times New Roman" w:cs="Times New Roman"/>
                <w:caps w:val="0"/>
                <w:smallCaps w:val="0"/>
                <w:u w:val="single"/>
              </w:rPr>
              <w:t>废管线拆除与厂区其他危险废物一起送至有资质单位处置。</w:t>
            </w:r>
          </w:p>
        </w:tc>
        <w:tc>
          <w:tcPr>
            <w:tcW w:w="402"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eastAsia="zh-CN"/>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restar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辅助工程</w:t>
            </w: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阀室平台</w:t>
            </w:r>
          </w:p>
        </w:tc>
        <w:tc>
          <w:tcPr>
            <w:tcW w:w="3912" w:type="pct"/>
            <w:noWrap w:val="0"/>
            <w:vAlign w:val="center"/>
          </w:tcPr>
          <w:p>
            <w:pPr>
              <w:pStyle w:val="117"/>
              <w:bidi w:val="0"/>
              <w:ind w:firstLine="0" w:firstLineChars="0"/>
              <w:rPr>
                <w:rFonts w:ascii="Times New Roman" w:hAnsi="Times New Roman" w:cs="Times New Roman"/>
                <w:caps w:val="0"/>
                <w:smallCaps w:val="0"/>
                <w:u w:val="single"/>
              </w:rPr>
            </w:pPr>
            <w:r>
              <w:rPr>
                <w:rFonts w:hint="eastAsia" w:ascii="Times New Roman" w:hAnsi="Times New Roman" w:cs="Times New Roman"/>
                <w:caps w:val="0"/>
                <w:smallCaps w:val="0"/>
                <w:u w:val="single"/>
                <w:lang w:val="en-US" w:eastAsia="zh-CN"/>
              </w:rPr>
              <w:t>搭接平台平面尺寸6×6m，搭接平台通过固定引桥与后方陆域连接。固定引桥长119.2m，宽3.75m，共6跨，单跨20m</w:t>
            </w:r>
            <w:r>
              <w:rPr>
                <w:rFonts w:ascii="Times New Roman" w:hAnsi="Times New Roman" w:cs="Times New Roman"/>
                <w:caps w:val="0"/>
                <w:smallCaps w:val="0"/>
                <w:u w:val="single"/>
              </w:rPr>
              <w:t>。</w:t>
            </w:r>
            <w:r>
              <w:rPr>
                <w:rFonts w:hint="eastAsia" w:ascii="Times New Roman" w:hAnsi="Times New Roman" w:cs="Times New Roman"/>
                <w:caps w:val="0"/>
                <w:smallCaps w:val="0"/>
                <w:u w:val="single"/>
                <w:lang w:val="en-US" w:eastAsia="zh-CN"/>
              </w:rPr>
              <w:t>上部结构由三块预应力空心板及上部现浇的面板结构组成。预应力空心板下设C35钢筋砼盖梁，盖梁尺寸为4.35×2.0×1.2m。</w:t>
            </w:r>
          </w:p>
        </w:tc>
        <w:tc>
          <w:tcPr>
            <w:tcW w:w="402"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eastAsia="zh-CN"/>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接岸桩基桥台</w:t>
            </w:r>
          </w:p>
        </w:tc>
        <w:tc>
          <w:tcPr>
            <w:tcW w:w="3912" w:type="pct"/>
            <w:noWrap w:val="0"/>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val="en-US" w:eastAsia="zh-CN"/>
              </w:rPr>
              <w:t>基础由立柱和钻孔灌注桩组成，钻孔灌注桩与立柱直径均为1.2m。</w:t>
            </w:r>
          </w:p>
        </w:tc>
        <w:tc>
          <w:tcPr>
            <w:tcW w:w="402" w:type="pct"/>
            <w:noWrap w:val="0"/>
            <w:vAlign w:val="center"/>
          </w:tcPr>
          <w:p>
            <w:pPr>
              <w:pStyle w:val="117"/>
              <w:bidi w:val="0"/>
              <w:rPr>
                <w:rFonts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eastAsia="zh-CN"/>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restar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公用工程</w:t>
            </w: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给水系统</w:t>
            </w:r>
          </w:p>
        </w:tc>
        <w:tc>
          <w:tcPr>
            <w:tcW w:w="3912"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本项目给水系统依托库区的供水系统</w:t>
            </w:r>
          </w:p>
        </w:tc>
        <w:tc>
          <w:tcPr>
            <w:tcW w:w="402" w:type="pct"/>
            <w:noWrap w:val="0"/>
            <w:vAlign w:val="center"/>
          </w:tcPr>
          <w:p>
            <w:pPr>
              <w:pStyle w:val="117"/>
              <w:bidi w:val="0"/>
              <w:rPr>
                <w:rFonts w:hint="eastAsia" w:ascii="Times New Roman" w:hAnsi="Times New Roman" w:cs="Times New Roman"/>
                <w:caps w:val="0"/>
                <w:smallCaps w:val="0"/>
                <w:u w:val="single"/>
                <w:lang w:eastAsia="zh-CN"/>
              </w:rPr>
            </w:pPr>
            <w:r>
              <w:rPr>
                <w:rFonts w:hint="eastAsia" w:ascii="Times New Roman" w:hAnsi="Times New Roman" w:cs="Times New Roman"/>
                <w:caps w:val="0"/>
                <w:smallCaps w:val="0"/>
                <w:u w:val="single"/>
                <w:lang w:eastAsia="zh-CN"/>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排水</w:t>
            </w:r>
          </w:p>
        </w:tc>
        <w:tc>
          <w:tcPr>
            <w:tcW w:w="3912"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lang w:val="en-US" w:eastAsia="zh-CN"/>
              </w:rPr>
              <w:t>码头前沿无固定办公员工，不设排水设施</w:t>
            </w:r>
          </w:p>
        </w:tc>
        <w:tc>
          <w:tcPr>
            <w:tcW w:w="402" w:type="pct"/>
            <w:noWrap w:val="0"/>
            <w:vAlign w:val="center"/>
          </w:tcPr>
          <w:p>
            <w:pPr>
              <w:pStyle w:val="117"/>
              <w:bidi w:val="0"/>
              <w:rPr>
                <w:rFonts w:hint="eastAsia" w:ascii="Times New Roman" w:hAnsi="Times New Roman" w:cs="Times New Roman"/>
                <w:caps w:val="0"/>
                <w:smallCaps w:val="0"/>
                <w:u w:val="single"/>
                <w:lang w:eastAsia="zh-CN"/>
              </w:rPr>
            </w:pPr>
            <w:r>
              <w:rPr>
                <w:rFonts w:hint="eastAsia" w:ascii="Times New Roman" w:hAnsi="Times New Roman" w:cs="Times New Roman"/>
                <w:caps w:val="0"/>
                <w:smallCaps w:val="0"/>
                <w:u w:val="single"/>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供电</w:t>
            </w:r>
          </w:p>
        </w:tc>
        <w:tc>
          <w:tcPr>
            <w:tcW w:w="3912" w:type="pct"/>
            <w:noWrap w:val="0"/>
            <w:vAlign w:val="center"/>
          </w:tcPr>
          <w:p>
            <w:pPr>
              <w:pStyle w:val="117"/>
              <w:bidi w:val="0"/>
              <w:rPr>
                <w:rFonts w:hint="eastAsia" w:ascii="Times New Roman" w:hAnsi="Times New Roman" w:eastAsia="宋体" w:cs="Times New Roman"/>
                <w:caps w:val="0"/>
                <w:smallCaps w:val="0"/>
                <w:u w:val="single"/>
                <w:lang w:eastAsia="zh-CN"/>
              </w:rPr>
            </w:pPr>
            <w:r>
              <w:rPr>
                <w:rFonts w:ascii="Times New Roman" w:hAnsi="Times New Roman" w:cs="Times New Roman"/>
                <w:caps w:val="0"/>
                <w:smallCaps w:val="0"/>
                <w:u w:val="single"/>
              </w:rPr>
              <w:t>供电系统依托</w:t>
            </w:r>
            <w:r>
              <w:rPr>
                <w:rFonts w:hint="eastAsia" w:ascii="Times New Roman" w:hAnsi="Times New Roman" w:cs="Times New Roman"/>
                <w:caps w:val="0"/>
                <w:smallCaps w:val="0"/>
                <w:u w:val="single"/>
              </w:rPr>
              <w:t>岸上库区的</w:t>
            </w:r>
            <w:r>
              <w:rPr>
                <w:rFonts w:ascii="Times New Roman" w:hAnsi="Times New Roman" w:cs="Times New Roman"/>
                <w:caps w:val="0"/>
                <w:smallCaps w:val="0"/>
                <w:u w:val="single"/>
              </w:rPr>
              <w:t>供电系统</w:t>
            </w:r>
            <w:r>
              <w:rPr>
                <w:rFonts w:hint="eastAsia" w:ascii="Times New Roman" w:hAnsi="Times New Roman" w:cs="Times New Roman"/>
                <w:caps w:val="0"/>
                <w:smallCaps w:val="0"/>
                <w:u w:val="single"/>
                <w:lang w:eastAsia="zh-CN"/>
              </w:rPr>
              <w:t>。</w:t>
            </w:r>
          </w:p>
          <w:p>
            <w:pPr>
              <w:pStyle w:val="117"/>
              <w:bidi w:val="0"/>
              <w:rPr>
                <w:rFonts w:hint="default"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趸船上设置船舶岸电连接设备，为靠港船舶提供电力。</w:t>
            </w:r>
          </w:p>
        </w:tc>
        <w:tc>
          <w:tcPr>
            <w:tcW w:w="402"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依托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办公</w:t>
            </w:r>
          </w:p>
        </w:tc>
        <w:tc>
          <w:tcPr>
            <w:tcW w:w="3912"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依托</w:t>
            </w:r>
            <w:r>
              <w:rPr>
                <w:rFonts w:hint="eastAsia" w:ascii="Times New Roman" w:hAnsi="Times New Roman" w:cs="Times New Roman"/>
                <w:caps w:val="0"/>
                <w:smallCaps w:val="0"/>
                <w:u w:val="single"/>
              </w:rPr>
              <w:t>岸上库区</w:t>
            </w:r>
            <w:r>
              <w:rPr>
                <w:rFonts w:ascii="Times New Roman" w:hAnsi="Times New Roman" w:cs="Times New Roman"/>
                <w:caps w:val="0"/>
                <w:smallCaps w:val="0"/>
                <w:u w:val="single"/>
              </w:rPr>
              <w:t>的办公楼</w:t>
            </w:r>
          </w:p>
        </w:tc>
        <w:tc>
          <w:tcPr>
            <w:tcW w:w="402"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依托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食堂、宿舍</w:t>
            </w:r>
          </w:p>
        </w:tc>
        <w:tc>
          <w:tcPr>
            <w:tcW w:w="3912"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依托</w:t>
            </w:r>
            <w:r>
              <w:rPr>
                <w:rFonts w:hint="eastAsia" w:ascii="Times New Roman" w:hAnsi="Times New Roman" w:cs="Times New Roman"/>
                <w:caps w:val="0"/>
                <w:smallCaps w:val="0"/>
                <w:u w:val="single"/>
              </w:rPr>
              <w:t>岸上库区</w:t>
            </w:r>
            <w:r>
              <w:rPr>
                <w:rFonts w:ascii="Times New Roman" w:hAnsi="Times New Roman" w:cs="Times New Roman"/>
                <w:caps w:val="0"/>
                <w:smallCaps w:val="0"/>
                <w:u w:val="single"/>
              </w:rPr>
              <w:t>的</w:t>
            </w:r>
            <w:r>
              <w:rPr>
                <w:rFonts w:hint="eastAsia" w:ascii="Times New Roman" w:hAnsi="Times New Roman" w:cs="Times New Roman"/>
                <w:caps w:val="0"/>
                <w:smallCaps w:val="0"/>
                <w:u w:val="single"/>
              </w:rPr>
              <w:t>食堂</w:t>
            </w:r>
            <w:r>
              <w:rPr>
                <w:rFonts w:ascii="Times New Roman" w:hAnsi="Times New Roman" w:cs="Times New Roman"/>
                <w:caps w:val="0"/>
                <w:smallCaps w:val="0"/>
                <w:u w:val="single"/>
              </w:rPr>
              <w:t>和宿舍</w:t>
            </w:r>
          </w:p>
        </w:tc>
        <w:tc>
          <w:tcPr>
            <w:tcW w:w="402"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依托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restar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环保工程</w:t>
            </w:r>
          </w:p>
        </w:tc>
        <w:tc>
          <w:tcPr>
            <w:tcW w:w="338"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废水</w:t>
            </w:r>
          </w:p>
        </w:tc>
        <w:tc>
          <w:tcPr>
            <w:tcW w:w="3912" w:type="pct"/>
            <w:noWrap w:val="0"/>
            <w:vAlign w:val="center"/>
          </w:tcPr>
          <w:p>
            <w:pPr>
              <w:pStyle w:val="117"/>
              <w:bidi w:val="0"/>
              <w:jc w:val="left"/>
              <w:rPr>
                <w:rFonts w:hint="eastAsia" w:ascii="Times New Roman" w:hAnsi="Times New Roman" w:cs="Times New Roman"/>
                <w:caps w:val="0"/>
                <w:smallCaps w:val="0"/>
                <w:u w:val="single"/>
                <w:lang w:eastAsia="zh-CN"/>
              </w:rPr>
            </w:pPr>
            <w:r>
              <w:rPr>
                <w:rFonts w:hint="eastAsia" w:ascii="Times New Roman" w:hAnsi="Times New Roman" w:cs="Times New Roman"/>
                <w:caps w:val="0"/>
                <w:smallCaps w:val="0"/>
                <w:u w:val="single"/>
                <w:lang w:val="en-US" w:eastAsia="zh-CN"/>
              </w:rPr>
              <w:t>趸船上设置污水接收设备，接收船舶污水；</w:t>
            </w:r>
            <w:r>
              <w:rPr>
                <w:rFonts w:ascii="Times New Roman" w:hAnsi="Times New Roman" w:cs="Times New Roman"/>
                <w:caps w:val="0"/>
                <w:smallCaps w:val="0"/>
                <w:u w:val="single"/>
              </w:rPr>
              <w:t>趸船</w:t>
            </w:r>
            <w:r>
              <w:rPr>
                <w:rFonts w:hint="eastAsia" w:ascii="Times New Roman" w:hAnsi="Times New Roman" w:cs="Times New Roman"/>
                <w:caps w:val="0"/>
                <w:smallCaps w:val="0"/>
                <w:u w:val="single"/>
                <w:lang w:val="en-US" w:eastAsia="zh-CN"/>
              </w:rPr>
              <w:t>设置25m</w:t>
            </w:r>
            <w:r>
              <w:rPr>
                <w:rFonts w:hint="eastAsia" w:ascii="Times New Roman" w:hAnsi="Times New Roman" w:cs="Times New Roman"/>
                <w:caps w:val="0"/>
                <w:smallCaps w:val="0"/>
                <w:u w:val="single"/>
                <w:vertAlign w:val="superscript"/>
                <w:lang w:val="en-US" w:eastAsia="zh-CN"/>
              </w:rPr>
              <w:t>3</w:t>
            </w:r>
            <w:r>
              <w:rPr>
                <w:rFonts w:hint="eastAsia" w:ascii="Times New Roman" w:hAnsi="Times New Roman" w:cs="Times New Roman"/>
                <w:caps w:val="0"/>
                <w:smallCaps w:val="0"/>
                <w:u w:val="single"/>
                <w:lang w:val="en-US" w:eastAsia="zh-CN"/>
              </w:rPr>
              <w:t>的污水舱（分为含油污水舱和生活污水舱），趸船冲洗水、</w:t>
            </w:r>
            <w:r>
              <w:rPr>
                <w:rFonts w:ascii="Times New Roman" w:hAnsi="Times New Roman" w:cs="Times New Roman"/>
                <w:caps w:val="0"/>
                <w:smallCaps w:val="0"/>
                <w:u w:val="single"/>
              </w:rPr>
              <w:t>船舶含油废水</w:t>
            </w:r>
            <w:r>
              <w:rPr>
                <w:rFonts w:ascii="Times New Roman" w:hAnsi="Times New Roman" w:cs="Times New Roman"/>
                <w:caps w:val="0"/>
                <w:smallCaps w:val="0"/>
                <w:u w:val="single"/>
                <w:lang w:eastAsia="zh-CN"/>
              </w:rPr>
              <w:t>经到港船舶自备的油水分离器隔油处理后排入趸船含油</w:t>
            </w:r>
            <w:r>
              <w:rPr>
                <w:rFonts w:hint="eastAsia" w:ascii="Times New Roman" w:hAnsi="Times New Roman" w:cs="Times New Roman"/>
                <w:caps w:val="0"/>
                <w:smallCaps w:val="0"/>
                <w:u w:val="single"/>
                <w:lang w:val="en-US" w:eastAsia="zh-CN"/>
              </w:rPr>
              <w:t>污水舱</w:t>
            </w:r>
            <w:r>
              <w:rPr>
                <w:rFonts w:hint="eastAsia" w:ascii="Times New Roman" w:hAnsi="Times New Roman" w:cs="Times New Roman"/>
                <w:caps w:val="0"/>
                <w:smallCaps w:val="0"/>
                <w:u w:val="single"/>
                <w:lang w:eastAsia="zh-CN"/>
              </w:rPr>
              <w:t>，</w:t>
            </w:r>
            <w:r>
              <w:rPr>
                <w:rFonts w:ascii="Times New Roman" w:hAnsi="Times New Roman" w:cs="Times New Roman"/>
                <w:caps w:val="0"/>
                <w:smallCaps w:val="0"/>
                <w:u w:val="single"/>
                <w:lang w:eastAsia="zh-CN"/>
              </w:rPr>
              <w:t>定期由海事部门环保船接收处理</w:t>
            </w:r>
            <w:r>
              <w:rPr>
                <w:rFonts w:hint="eastAsia" w:ascii="Times New Roman" w:hAnsi="Times New Roman" w:cs="Times New Roman"/>
                <w:caps w:val="0"/>
                <w:smallCaps w:val="0"/>
                <w:u w:val="single"/>
                <w:lang w:eastAsia="zh-CN"/>
              </w:rPr>
              <w:t>；</w:t>
            </w:r>
            <w:r>
              <w:rPr>
                <w:rFonts w:ascii="Times New Roman" w:hAnsi="Times New Roman" w:cs="Times New Roman"/>
                <w:caps w:val="0"/>
                <w:smallCaps w:val="0"/>
                <w:u w:val="single"/>
              </w:rPr>
              <w:t>船舶生活污水</w:t>
            </w:r>
            <w:r>
              <w:rPr>
                <w:rFonts w:ascii="Times New Roman" w:hAnsi="Times New Roman" w:cs="Times New Roman"/>
                <w:caps w:val="0"/>
                <w:smallCaps w:val="0"/>
                <w:u w:val="single"/>
                <w:lang w:val="en-US" w:eastAsia="zh-CN"/>
              </w:rPr>
              <w:t>经船舶自备生活污水处理装置处理后</w:t>
            </w:r>
            <w:r>
              <w:rPr>
                <w:rFonts w:ascii="Times New Roman" w:hAnsi="Times New Roman" w:cs="Times New Roman"/>
                <w:caps w:val="0"/>
                <w:smallCaps w:val="0"/>
                <w:u w:val="single"/>
                <w:lang w:eastAsia="zh-CN"/>
              </w:rPr>
              <w:t>排入趸船生活污水</w:t>
            </w:r>
            <w:r>
              <w:rPr>
                <w:rFonts w:hint="eastAsia" w:ascii="Times New Roman" w:hAnsi="Times New Roman" w:cs="Times New Roman"/>
                <w:caps w:val="0"/>
                <w:smallCaps w:val="0"/>
                <w:u w:val="single"/>
                <w:lang w:val="en-US" w:eastAsia="zh-CN"/>
              </w:rPr>
              <w:t>舱</w:t>
            </w:r>
            <w:r>
              <w:rPr>
                <w:rFonts w:ascii="Times New Roman" w:hAnsi="Times New Roman" w:cs="Times New Roman"/>
                <w:caps w:val="0"/>
                <w:smallCaps w:val="0"/>
                <w:u w:val="single"/>
                <w:lang w:eastAsia="zh-CN"/>
              </w:rPr>
              <w:t>，定期由海事部门环保船接收处理</w:t>
            </w:r>
            <w:r>
              <w:rPr>
                <w:rFonts w:hint="eastAsia" w:ascii="Times New Roman" w:hAnsi="Times New Roman" w:cs="Times New Roman"/>
                <w:caps w:val="0"/>
                <w:smallCaps w:val="0"/>
                <w:u w:val="single"/>
                <w:lang w:eastAsia="zh-CN"/>
              </w:rPr>
              <w:t>；码头员工</w:t>
            </w:r>
            <w:r>
              <w:rPr>
                <w:rFonts w:ascii="Times New Roman" w:hAnsi="Times New Roman" w:cs="Times New Roman"/>
                <w:caps w:val="0"/>
                <w:smallCaps w:val="0"/>
                <w:u w:val="single"/>
                <w:lang w:val="en-US"/>
              </w:rPr>
              <w:t>生活污水依托</w:t>
            </w:r>
            <w:r>
              <w:rPr>
                <w:rFonts w:hint="eastAsia" w:ascii="Times New Roman" w:hAnsi="Times New Roman" w:cs="Times New Roman"/>
                <w:caps w:val="0"/>
                <w:smallCaps w:val="0"/>
                <w:u w:val="single"/>
                <w:lang w:val="en-US" w:eastAsia="zh-CN"/>
              </w:rPr>
              <w:t>库区</w:t>
            </w:r>
            <w:r>
              <w:rPr>
                <w:rFonts w:ascii="Times New Roman" w:hAnsi="Times New Roman" w:cs="Times New Roman"/>
                <w:caps w:val="0"/>
                <w:smallCaps w:val="0"/>
                <w:u w:val="single"/>
                <w:lang w:val="en-US"/>
              </w:rPr>
              <w:t>化粪池处理后</w:t>
            </w:r>
            <w:r>
              <w:rPr>
                <w:rFonts w:hint="eastAsia" w:ascii="Times New Roman" w:hAnsi="Times New Roman" w:cs="Times New Roman"/>
                <w:caps w:val="0"/>
                <w:smallCaps w:val="0"/>
                <w:u w:val="single"/>
                <w:lang w:val="en-US" w:eastAsia="zh-CN"/>
              </w:rPr>
              <w:t>排入市政管网。</w:t>
            </w:r>
          </w:p>
        </w:tc>
        <w:tc>
          <w:tcPr>
            <w:tcW w:w="402"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eastAsia="zh-CN"/>
              </w:rPr>
              <w:t>废气</w:t>
            </w:r>
          </w:p>
        </w:tc>
        <w:tc>
          <w:tcPr>
            <w:tcW w:w="3912"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eastAsia="zh-CN"/>
              </w:rPr>
              <w:t>本项目船舶卸载沥青，卸载沥青废气经库区现有废气处理设施进行处理。码头不新建废气处理设施。</w:t>
            </w:r>
          </w:p>
        </w:tc>
        <w:tc>
          <w:tcPr>
            <w:tcW w:w="402"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依托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ind w:firstLine="0" w:firstLineChars="0"/>
              <w:rPr>
                <w:rFonts w:ascii="Times New Roman" w:hAnsi="Times New Roman" w:eastAsia="宋体" w:cs="Times New Roman"/>
                <w:caps w:val="0"/>
                <w:smallCaps w:val="0"/>
                <w:kern w:val="0"/>
                <w:sz w:val="21"/>
                <w:szCs w:val="24"/>
                <w:u w:val="single"/>
                <w:lang w:val="en-US" w:eastAsia="zh-CN" w:bidi="ar-SA"/>
              </w:rPr>
            </w:pPr>
            <w:r>
              <w:rPr>
                <w:rFonts w:ascii="Times New Roman" w:hAnsi="Times New Roman" w:cs="Times New Roman"/>
                <w:caps w:val="0"/>
                <w:smallCaps w:val="0"/>
                <w:u w:val="single"/>
              </w:rPr>
              <w:t>固废</w:t>
            </w:r>
          </w:p>
        </w:tc>
        <w:tc>
          <w:tcPr>
            <w:tcW w:w="3912"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生活垃圾依托库区的垃圾站进行暂存；危险废物依托</w:t>
            </w:r>
            <w:r>
              <w:rPr>
                <w:rFonts w:hint="eastAsia" w:ascii="Times New Roman" w:hAnsi="Times New Roman" w:cs="Times New Roman"/>
                <w:caps w:val="0"/>
                <w:smallCaps w:val="0"/>
                <w:u w:val="single"/>
                <w:lang w:eastAsia="zh-CN"/>
              </w:rPr>
              <w:t>库区的</w:t>
            </w:r>
            <w:r>
              <w:rPr>
                <w:rFonts w:ascii="Times New Roman" w:hAnsi="Times New Roman" w:cs="Times New Roman"/>
                <w:caps w:val="0"/>
                <w:smallCaps w:val="0"/>
                <w:u w:val="single"/>
              </w:rPr>
              <w:t>危废暂存间进行暂存</w:t>
            </w:r>
          </w:p>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趸船上设置垃圾接收设备，接收船舶生活垃圾。</w:t>
            </w:r>
          </w:p>
        </w:tc>
        <w:tc>
          <w:tcPr>
            <w:tcW w:w="402"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依托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ind w:firstLine="0" w:firstLineChars="0"/>
              <w:rPr>
                <w:rFonts w:ascii="Times New Roman" w:hAnsi="Times New Roman" w:eastAsia="宋体" w:cs="Times New Roman"/>
                <w:caps w:val="0"/>
                <w:smallCaps w:val="0"/>
                <w:kern w:val="0"/>
                <w:sz w:val="21"/>
                <w:szCs w:val="21"/>
                <w:u w:val="single"/>
                <w:lang w:val="en-US" w:eastAsia="zh-CN" w:bidi="ar-SA"/>
              </w:rPr>
            </w:pPr>
            <w:r>
              <w:rPr>
                <w:rFonts w:ascii="Times New Roman" w:hAnsi="Times New Roman" w:cs="Times New Roman"/>
                <w:caps w:val="0"/>
                <w:smallCaps w:val="0"/>
                <w:u w:val="single"/>
              </w:rPr>
              <w:t>噪声</w:t>
            </w:r>
          </w:p>
        </w:tc>
        <w:tc>
          <w:tcPr>
            <w:tcW w:w="3912" w:type="pct"/>
            <w:noWrap w:val="0"/>
            <w:vAlign w:val="center"/>
          </w:tcPr>
          <w:p>
            <w:pPr>
              <w:pStyle w:val="117"/>
              <w:bidi w:val="0"/>
              <w:ind w:firstLine="0" w:firstLineChars="0"/>
              <w:rPr>
                <w:rFonts w:hint="default" w:ascii="Times New Roman" w:hAnsi="Times New Roman" w:eastAsia="宋体" w:cs="Times New Roman"/>
                <w:caps w:val="0"/>
                <w:smallCaps w:val="0"/>
                <w:kern w:val="0"/>
                <w:sz w:val="21"/>
                <w:szCs w:val="21"/>
                <w:u w:val="single"/>
                <w:lang w:val="en-US" w:eastAsia="zh-CN" w:bidi="ar-SA"/>
              </w:rPr>
            </w:pPr>
            <w:r>
              <w:rPr>
                <w:rFonts w:ascii="Times New Roman" w:hAnsi="Times New Roman" w:cs="Times New Roman"/>
                <w:caps w:val="0"/>
                <w:smallCaps w:val="0"/>
                <w:u w:val="single"/>
              </w:rPr>
              <w:t>选用低噪声设备，对高噪声设备采用基础减振、隔音、消声等降噪措</w:t>
            </w:r>
          </w:p>
        </w:tc>
        <w:tc>
          <w:tcPr>
            <w:tcW w:w="402"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新建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45" w:type="pct"/>
            <w:vMerge w:val="continue"/>
            <w:noWrap w:val="0"/>
            <w:vAlign w:val="center"/>
          </w:tcPr>
          <w:p>
            <w:pPr>
              <w:pStyle w:val="117"/>
              <w:bidi w:val="0"/>
              <w:rPr>
                <w:rFonts w:ascii="Times New Roman" w:hAnsi="Times New Roman" w:cs="Times New Roman"/>
                <w:caps w:val="0"/>
                <w:smallCaps w:val="0"/>
                <w:u w:val="single"/>
              </w:rPr>
            </w:pPr>
          </w:p>
        </w:tc>
        <w:tc>
          <w:tcPr>
            <w:tcW w:w="338"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eastAsia="zh-CN"/>
              </w:rPr>
              <w:t>风险</w:t>
            </w:r>
          </w:p>
        </w:tc>
        <w:tc>
          <w:tcPr>
            <w:tcW w:w="3912" w:type="pct"/>
            <w:noWrap w:val="0"/>
            <w:vAlign w:val="center"/>
          </w:tcPr>
          <w:p>
            <w:pPr>
              <w:pStyle w:val="117"/>
              <w:bidi w:val="0"/>
              <w:ind w:firstLine="0" w:firstLineChars="0"/>
              <w:rPr>
                <w:rFonts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在码头前沿配备围油栏、吸油毡、</w:t>
            </w:r>
            <w:r>
              <w:rPr>
                <w:rFonts w:hint="eastAsia" w:ascii="Times New Roman" w:hAnsi="Times New Roman" w:cs="Times New Roman"/>
                <w:caps w:val="0"/>
                <w:smallCaps w:val="0"/>
                <w:u w:val="single"/>
                <w:lang w:eastAsia="zh-CN"/>
              </w:rPr>
              <w:t>托油网</w:t>
            </w:r>
          </w:p>
        </w:tc>
        <w:tc>
          <w:tcPr>
            <w:tcW w:w="402"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新建</w:t>
            </w:r>
          </w:p>
        </w:tc>
      </w:tr>
    </w:tbl>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u w:val="single"/>
        </w:rPr>
      </w:pPr>
      <w:r>
        <w:rPr>
          <w:rFonts w:ascii="Times New Roman" w:hAnsi="Times New Roman" w:cs="Times New Roman" w:eastAsiaTheme="minorEastAsia"/>
          <w:b/>
          <w:caps w:val="0"/>
          <w:smallCaps w:val="0"/>
          <w:color w:val="000000"/>
          <w:sz w:val="24"/>
          <w:szCs w:val="24"/>
          <w:u w:val="single"/>
        </w:rPr>
        <w:t>表3.</w:t>
      </w:r>
      <w:r>
        <w:rPr>
          <w:rFonts w:hint="eastAsia" w:cs="Times New Roman" w:eastAsiaTheme="minorEastAsia"/>
          <w:b/>
          <w:caps w:val="0"/>
          <w:smallCaps w:val="0"/>
          <w:color w:val="000000"/>
          <w:sz w:val="24"/>
          <w:szCs w:val="24"/>
          <w:u w:val="single"/>
          <w:lang w:val="en-US" w:eastAsia="zh-CN"/>
        </w:rPr>
        <w:t>6</w:t>
      </w:r>
      <w:r>
        <w:rPr>
          <w:rFonts w:ascii="Times New Roman" w:hAnsi="Times New Roman" w:cs="Times New Roman" w:eastAsiaTheme="minorEastAsia"/>
          <w:b/>
          <w:caps w:val="0"/>
          <w:smallCaps w:val="0"/>
          <w:color w:val="000000"/>
          <w:sz w:val="24"/>
          <w:szCs w:val="24"/>
          <w:u w:val="single"/>
        </w:rPr>
        <w:t>-2</w:t>
      </w:r>
      <w:r>
        <w:rPr>
          <w:rFonts w:hint="eastAsia"/>
          <w:b/>
          <w:u w:val="single"/>
        </w:rPr>
        <w:t>提质改造前后情况对比</w:t>
      </w:r>
    </w:p>
    <w:tbl>
      <w:tblPr>
        <w:tblStyle w:val="71"/>
        <w:tblW w:w="518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87"/>
        <w:gridCol w:w="1301"/>
        <w:gridCol w:w="1927"/>
        <w:gridCol w:w="56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11" w:type="pct"/>
            <w:tcBorders>
              <w:top w:val="single" w:color="auto" w:sz="12" w:space="0"/>
              <w:left w:val="single" w:color="auto"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编号</w:t>
            </w:r>
          </w:p>
        </w:tc>
        <w:tc>
          <w:tcPr>
            <w:tcW w:w="690" w:type="pct"/>
            <w:tcBorders>
              <w:top w:val="single" w:color="auto" w:sz="12" w:space="0"/>
            </w:tcBorders>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项目名称</w:t>
            </w:r>
          </w:p>
        </w:tc>
        <w:tc>
          <w:tcPr>
            <w:tcW w:w="1022" w:type="pct"/>
            <w:tcBorders>
              <w:top w:val="single" w:color="auto" w:sz="12"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提质改造前</w:t>
            </w:r>
          </w:p>
        </w:tc>
        <w:tc>
          <w:tcPr>
            <w:tcW w:w="2976" w:type="pct"/>
            <w:tcBorders>
              <w:top w:val="single" w:color="auto" w:sz="12" w:space="0"/>
              <w:right w:val="single" w:color="auto" w:sz="12"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提质改造后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11" w:type="pct"/>
            <w:tcBorders>
              <w:left w:val="single" w:color="auto"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1</w:t>
            </w:r>
          </w:p>
        </w:tc>
        <w:tc>
          <w:tcPr>
            <w:tcW w:w="690" w:type="pct"/>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码头</w:t>
            </w:r>
          </w:p>
        </w:tc>
        <w:tc>
          <w:tcPr>
            <w:tcW w:w="1022" w:type="pct"/>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斜坡码头</w:t>
            </w:r>
          </w:p>
        </w:tc>
        <w:tc>
          <w:tcPr>
            <w:tcW w:w="2976" w:type="pct"/>
            <w:tcBorders>
              <w:right w:val="single" w:color="auto"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浮码头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11" w:type="pct"/>
            <w:tcBorders>
              <w:left w:val="single" w:color="auto"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2</w:t>
            </w:r>
          </w:p>
        </w:tc>
        <w:tc>
          <w:tcPr>
            <w:tcW w:w="690" w:type="pct"/>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泊位</w:t>
            </w:r>
          </w:p>
        </w:tc>
        <w:tc>
          <w:tcPr>
            <w:tcW w:w="1022" w:type="pct"/>
            <w:vAlign w:val="center"/>
          </w:tcPr>
          <w:p>
            <w:pPr>
              <w:pStyle w:val="117"/>
              <w:bidi w:val="0"/>
              <w:rPr>
                <w:rFonts w:hint="default"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lang w:val="en-US" w:eastAsia="zh-CN"/>
              </w:rPr>
              <w:t>500吨级泊位</w:t>
            </w:r>
          </w:p>
        </w:tc>
        <w:tc>
          <w:tcPr>
            <w:tcW w:w="2976" w:type="pct"/>
            <w:tcBorders>
              <w:right w:val="single" w:color="auto"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建设</w:t>
            </w:r>
            <w:r>
              <w:rPr>
                <w:rFonts w:hint="eastAsia" w:ascii="Times New Roman" w:hAnsi="Times New Roman" w:cs="Times New Roman"/>
                <w:caps w:val="0"/>
                <w:smallCaps w:val="0"/>
                <w:u w:val="single"/>
              </w:rPr>
              <w:t>1</w:t>
            </w:r>
            <w:r>
              <w:rPr>
                <w:rFonts w:ascii="Times New Roman" w:hAnsi="Times New Roman" w:cs="Times New Roman"/>
                <w:caps w:val="0"/>
                <w:smallCaps w:val="0"/>
                <w:u w:val="single"/>
              </w:rPr>
              <w:t>个</w:t>
            </w:r>
            <w:r>
              <w:rPr>
                <w:rFonts w:hint="eastAsia" w:ascii="Times New Roman" w:hAnsi="Times New Roman" w:cs="Times New Roman"/>
                <w:caps w:val="0"/>
                <w:smallCaps w:val="0"/>
                <w:u w:val="single"/>
              </w:rPr>
              <w:t>2</w:t>
            </w:r>
            <w:r>
              <w:rPr>
                <w:rFonts w:ascii="Times New Roman" w:hAnsi="Times New Roman" w:cs="Times New Roman"/>
                <w:caps w:val="0"/>
                <w:smallCaps w:val="0"/>
                <w:u w:val="single"/>
              </w:rPr>
              <w:t>000吨</w:t>
            </w:r>
            <w:r>
              <w:rPr>
                <w:rFonts w:hint="eastAsia" w:ascii="Times New Roman" w:hAnsi="Times New Roman" w:cs="Times New Roman"/>
                <w:caps w:val="0"/>
                <w:smallCaps w:val="0"/>
                <w:u w:val="single"/>
              </w:rPr>
              <w:t>沥青</w:t>
            </w:r>
            <w:r>
              <w:rPr>
                <w:rFonts w:ascii="Times New Roman" w:hAnsi="Times New Roman" w:cs="Times New Roman"/>
                <w:caps w:val="0"/>
                <w:smallCaps w:val="0"/>
                <w:u w:val="single"/>
              </w:rPr>
              <w:t>泊位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11" w:type="pct"/>
            <w:tcBorders>
              <w:left w:val="single" w:color="auto"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3</w:t>
            </w:r>
          </w:p>
        </w:tc>
        <w:tc>
          <w:tcPr>
            <w:tcW w:w="690" w:type="pct"/>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管线</w:t>
            </w:r>
          </w:p>
        </w:tc>
        <w:tc>
          <w:tcPr>
            <w:tcW w:w="1022" w:type="pct"/>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val="en-US" w:eastAsia="zh-CN"/>
              </w:rPr>
              <w:t>1根</w:t>
            </w:r>
            <w:r>
              <w:rPr>
                <w:rFonts w:hint="eastAsia" w:ascii="Times New Roman" w:hAnsi="Times New Roman" w:cs="Times New Roman"/>
                <w:caps w:val="0"/>
                <w:smallCaps w:val="0"/>
                <w:u w:val="single"/>
                <w:lang w:eastAsia="zh-CN"/>
              </w:rPr>
              <w:t>沥青管线</w:t>
            </w:r>
          </w:p>
        </w:tc>
        <w:tc>
          <w:tcPr>
            <w:tcW w:w="2976" w:type="pct"/>
            <w:tcBorders>
              <w:right w:val="single" w:color="auto" w:sz="12" w:space="0"/>
            </w:tcBorders>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新建2根沥青输送管线（DN150），一备一用。</w:t>
            </w:r>
            <w:r>
              <w:rPr>
                <w:rFonts w:ascii="Times New Roman" w:hAnsi="Times New Roman" w:cs="Times New Roman"/>
                <w:caps w:val="0"/>
                <w:smallCaps w:val="0"/>
                <w:u w:val="single"/>
              </w:rPr>
              <w:t>厂际管线不在本项目范围内。</w:t>
            </w:r>
            <w:r>
              <w:rPr>
                <w:rFonts w:hint="eastAsia" w:ascii="Times New Roman" w:hAnsi="Times New Roman" w:cs="Times New Roman"/>
                <w:caps w:val="0"/>
                <w:smallCaps w:val="0"/>
                <w:u w:val="single"/>
                <w:lang w:eastAsia="zh-CN"/>
              </w:rPr>
              <w:t>配套建设</w:t>
            </w:r>
            <w:r>
              <w:rPr>
                <w:rFonts w:hint="eastAsia" w:ascii="Times New Roman" w:hAnsi="Times New Roman" w:cs="Times New Roman"/>
                <w:caps w:val="0"/>
                <w:smallCaps w:val="0"/>
                <w:u w:val="single"/>
                <w:lang w:val="en-US" w:eastAsia="zh-CN"/>
              </w:rPr>
              <w:t>1根生活给水管、1根消防给水管、1根消防泡沫给水管、1根含油污水管、1根生活污水管。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11" w:type="pct"/>
            <w:tcBorders>
              <w:left w:val="single" w:color="auto"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4</w:t>
            </w:r>
          </w:p>
        </w:tc>
        <w:tc>
          <w:tcPr>
            <w:tcW w:w="690" w:type="pct"/>
            <w:vAlign w:val="center"/>
          </w:tcPr>
          <w:p>
            <w:pPr>
              <w:pStyle w:val="117"/>
              <w:bidi w:val="0"/>
              <w:rPr>
                <w:rFonts w:ascii="Times New Roman" w:hAnsi="Times New Roman" w:cs="Times New Roman"/>
                <w:caps w:val="0"/>
                <w:smallCaps w:val="0"/>
                <w:u w:val="single"/>
              </w:rPr>
            </w:pPr>
            <w:r>
              <w:rPr>
                <w:rFonts w:hint="eastAsia"/>
                <w:u w:val="single"/>
              </w:rPr>
              <w:t>装卸</w:t>
            </w:r>
          </w:p>
        </w:tc>
        <w:tc>
          <w:tcPr>
            <w:tcW w:w="1022" w:type="pct"/>
            <w:vAlign w:val="center"/>
          </w:tcPr>
          <w:p>
            <w:pPr>
              <w:pStyle w:val="117"/>
              <w:bidi w:val="0"/>
              <w:rPr>
                <w:rFonts w:hint="default"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lang w:eastAsia="zh-CN"/>
              </w:rPr>
              <w:t>软管</w:t>
            </w:r>
            <w:r>
              <w:rPr>
                <w:rFonts w:hint="eastAsia" w:ascii="Times New Roman" w:hAnsi="Times New Roman" w:cs="Times New Roman"/>
                <w:caps w:val="0"/>
                <w:smallCaps w:val="0"/>
                <w:u w:val="single"/>
                <w:lang w:val="en-US" w:eastAsia="zh-CN"/>
              </w:rPr>
              <w:t>+管线</w:t>
            </w:r>
          </w:p>
        </w:tc>
        <w:tc>
          <w:tcPr>
            <w:tcW w:w="2976" w:type="pct"/>
            <w:tcBorders>
              <w:right w:val="single" w:color="auto" w:sz="12" w:space="0"/>
            </w:tcBorders>
            <w:vAlign w:val="center"/>
          </w:tcPr>
          <w:p>
            <w:pPr>
              <w:pStyle w:val="117"/>
              <w:bidi w:val="0"/>
              <w:rPr>
                <w:rFonts w:ascii="Times New Roman" w:hAnsi="Times New Roman" w:cs="Times New Roman"/>
                <w:caps w:val="0"/>
                <w:smallCaps w:val="0"/>
                <w:u w:val="single"/>
              </w:rPr>
            </w:pPr>
            <w:r>
              <w:rPr>
                <w:u w:val="single"/>
              </w:rPr>
              <w:t>钢引桥+趸船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0" w:hRule="atLeast"/>
          <w:jc w:val="center"/>
        </w:trPr>
        <w:tc>
          <w:tcPr>
            <w:tcW w:w="311" w:type="pct"/>
            <w:tcBorders>
              <w:left w:val="single" w:color="auto" w:sz="12" w:space="0"/>
            </w:tcBorders>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5</w:t>
            </w:r>
          </w:p>
        </w:tc>
        <w:tc>
          <w:tcPr>
            <w:tcW w:w="690" w:type="pct"/>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环境保护措施</w:t>
            </w:r>
          </w:p>
        </w:tc>
        <w:tc>
          <w:tcPr>
            <w:tcW w:w="1022" w:type="pct"/>
            <w:vAlign w:val="center"/>
          </w:tcPr>
          <w:p>
            <w:pPr>
              <w:pStyle w:val="117"/>
              <w:bidi w:val="0"/>
              <w:rPr>
                <w:rFonts w:hint="eastAsia"/>
                <w:u w:val="single"/>
                <w:lang w:val="en-US" w:eastAsia="zh-CN"/>
              </w:rPr>
            </w:pPr>
            <w:r>
              <w:rPr>
                <w:rFonts w:hint="eastAsia"/>
                <w:u w:val="single"/>
                <w:lang w:val="en-US" w:eastAsia="zh-CN"/>
              </w:rPr>
              <w:t>无</w:t>
            </w:r>
          </w:p>
        </w:tc>
        <w:tc>
          <w:tcPr>
            <w:tcW w:w="2976" w:type="pct"/>
            <w:tcBorders>
              <w:right w:val="single" w:color="auto" w:sz="12" w:space="0"/>
            </w:tcBorders>
            <w:vAlign w:val="center"/>
          </w:tcPr>
          <w:p>
            <w:pPr>
              <w:pStyle w:val="117"/>
              <w:bidi w:val="0"/>
              <w:rPr>
                <w:rFonts w:hint="eastAsia"/>
                <w:u w:val="single"/>
                <w:lang w:val="en-US" w:eastAsia="zh-CN"/>
              </w:rPr>
            </w:pPr>
            <w:r>
              <w:rPr>
                <w:rFonts w:hint="eastAsia"/>
                <w:u w:val="single"/>
                <w:lang w:val="en-US" w:eastAsia="zh-CN"/>
              </w:rPr>
              <w:t>趸船上设置污水接收设备，接收船舶污水；</w:t>
            </w:r>
          </w:p>
          <w:p>
            <w:pPr>
              <w:pStyle w:val="117"/>
              <w:bidi w:val="0"/>
              <w:rPr>
                <w:rFonts w:hint="eastAsia"/>
                <w:u w:val="single"/>
                <w:lang w:val="en-US" w:eastAsia="zh-CN"/>
              </w:rPr>
            </w:pPr>
            <w:r>
              <w:rPr>
                <w:rFonts w:hint="eastAsia"/>
                <w:u w:val="single"/>
                <w:lang w:val="en-US" w:eastAsia="zh-CN"/>
              </w:rPr>
              <w:t>卸载沥青废气引入库区现有废气处理设施进行处理；</w:t>
            </w:r>
          </w:p>
          <w:p>
            <w:pPr>
              <w:pStyle w:val="117"/>
              <w:bidi w:val="0"/>
              <w:rPr>
                <w:rFonts w:hint="eastAsia"/>
                <w:u w:val="single"/>
                <w:lang w:val="en-US" w:eastAsia="zh-CN"/>
              </w:rPr>
            </w:pPr>
            <w:r>
              <w:rPr>
                <w:rFonts w:hint="eastAsia" w:ascii="Times New Roman" w:hAnsi="Times New Roman" w:cs="Times New Roman"/>
                <w:caps w:val="0"/>
                <w:smallCaps w:val="0"/>
                <w:u w:val="single"/>
                <w:lang w:val="en-US" w:eastAsia="zh-CN"/>
              </w:rPr>
              <w:t>在码头前沿配备围油栏、吸油毡、</w:t>
            </w:r>
            <w:r>
              <w:rPr>
                <w:rFonts w:hint="eastAsia" w:ascii="Times New Roman" w:hAnsi="Times New Roman" w:cs="Times New Roman"/>
                <w:caps w:val="0"/>
                <w:smallCaps w:val="0"/>
                <w:u w:val="single"/>
                <w:lang w:eastAsia="zh-CN"/>
              </w:rPr>
              <w:t>托油网。</w:t>
            </w:r>
          </w:p>
        </w:tc>
      </w:tr>
    </w:tbl>
    <w:p>
      <w:pPr>
        <w:pStyle w:val="109"/>
        <w:tabs>
          <w:tab w:val="left" w:pos="900"/>
        </w:tabs>
        <w:adjustRightInd w:val="0"/>
        <w:snapToGrid w:val="0"/>
        <w:spacing w:line="360" w:lineRule="auto"/>
        <w:ind w:firstLine="480"/>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本项目主要经济技术指标见下表。</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6</w:t>
      </w:r>
      <w:r>
        <w:rPr>
          <w:rFonts w:ascii="Times New Roman" w:hAnsi="Times New Roman" w:cs="Times New Roman" w:eastAsiaTheme="minorEastAsia"/>
          <w:b/>
          <w:caps w:val="0"/>
          <w:smallCaps w:val="0"/>
          <w:color w:val="000000"/>
          <w:sz w:val="24"/>
          <w:szCs w:val="24"/>
        </w:rPr>
        <w:t>-</w:t>
      </w:r>
      <w:r>
        <w:rPr>
          <w:rFonts w:hint="eastAsia" w:cs="Times New Roman" w:eastAsiaTheme="minorEastAsia"/>
          <w:b/>
          <w:caps w:val="0"/>
          <w:smallCaps w:val="0"/>
          <w:color w:val="000000"/>
          <w:sz w:val="24"/>
          <w:szCs w:val="24"/>
          <w:lang w:val="en-US" w:eastAsia="zh-CN"/>
        </w:rPr>
        <w:t xml:space="preserve">3 </w:t>
      </w:r>
      <w:r>
        <w:rPr>
          <w:rFonts w:ascii="Times New Roman" w:hAnsi="Times New Roman" w:cs="Times New Roman" w:eastAsiaTheme="minorEastAsia"/>
          <w:b/>
          <w:caps w:val="0"/>
          <w:smallCaps w:val="0"/>
          <w:color w:val="000000"/>
          <w:sz w:val="24"/>
          <w:szCs w:val="24"/>
        </w:rPr>
        <w:t>本项目主要技术经济指标</w:t>
      </w:r>
    </w:p>
    <w:tbl>
      <w:tblPr>
        <w:tblStyle w:val="71"/>
        <w:tblW w:w="503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04"/>
        <w:gridCol w:w="3379"/>
        <w:gridCol w:w="2584"/>
        <w:gridCol w:w="22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4" w:type="pct"/>
            <w:tcBorders>
              <w:top w:val="single" w:color="auto" w:sz="12" w:space="0"/>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编号</w:t>
            </w:r>
          </w:p>
        </w:tc>
        <w:tc>
          <w:tcPr>
            <w:tcW w:w="1844" w:type="pct"/>
            <w:tcBorders>
              <w:top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1410" w:type="pct"/>
            <w:tcBorders>
              <w:top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单位</w:t>
            </w:r>
          </w:p>
        </w:tc>
        <w:tc>
          <w:tcPr>
            <w:tcW w:w="1250" w:type="pct"/>
            <w:tcBorders>
              <w:top w:val="single" w:color="auto" w:sz="12" w:space="0"/>
              <w:righ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4" w:type="pct"/>
            <w:tcBorders>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8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泊位吨级</w:t>
            </w:r>
          </w:p>
        </w:tc>
        <w:tc>
          <w:tcPr>
            <w:tcW w:w="141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吨级</w:t>
            </w:r>
          </w:p>
        </w:tc>
        <w:tc>
          <w:tcPr>
            <w:tcW w:w="1250" w:type="pct"/>
            <w:tcBorders>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w:t>
            </w:r>
            <w:r>
              <w:rPr>
                <w:rFonts w:ascii="Times New Roman" w:hAnsi="Times New Roman" w:cs="Times New Roman"/>
                <w:caps w:val="0"/>
                <w:smallCaps w:val="0"/>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4" w:type="pct"/>
            <w:tcBorders>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w:t>
            </w:r>
          </w:p>
        </w:tc>
        <w:tc>
          <w:tcPr>
            <w:tcW w:w="18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泊位数</w:t>
            </w:r>
          </w:p>
        </w:tc>
        <w:tc>
          <w:tcPr>
            <w:tcW w:w="141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个</w:t>
            </w:r>
          </w:p>
        </w:tc>
        <w:tc>
          <w:tcPr>
            <w:tcW w:w="1250" w:type="pct"/>
            <w:tcBorders>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4" w:type="pct"/>
            <w:tcBorders>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w:t>
            </w:r>
          </w:p>
        </w:tc>
        <w:tc>
          <w:tcPr>
            <w:tcW w:w="18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占用岸线长度</w:t>
            </w:r>
          </w:p>
        </w:tc>
        <w:tc>
          <w:tcPr>
            <w:tcW w:w="141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w:t>
            </w:r>
          </w:p>
        </w:tc>
        <w:tc>
          <w:tcPr>
            <w:tcW w:w="1250" w:type="pct"/>
            <w:tcBorders>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4" w:type="pct"/>
            <w:tcBorders>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w:t>
            </w:r>
          </w:p>
        </w:tc>
        <w:tc>
          <w:tcPr>
            <w:tcW w:w="18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泊位年运营天数</w:t>
            </w:r>
          </w:p>
        </w:tc>
        <w:tc>
          <w:tcPr>
            <w:tcW w:w="141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天</w:t>
            </w:r>
          </w:p>
        </w:tc>
        <w:tc>
          <w:tcPr>
            <w:tcW w:w="1250" w:type="pct"/>
            <w:tcBorders>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0" w:hRule="atLeast"/>
          <w:jc w:val="center"/>
        </w:trPr>
        <w:tc>
          <w:tcPr>
            <w:tcW w:w="494" w:type="pct"/>
            <w:tcBorders>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w:t>
            </w:r>
          </w:p>
        </w:tc>
        <w:tc>
          <w:tcPr>
            <w:tcW w:w="18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作业班数</w:t>
            </w:r>
          </w:p>
        </w:tc>
        <w:tc>
          <w:tcPr>
            <w:tcW w:w="141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班</w:t>
            </w:r>
          </w:p>
        </w:tc>
        <w:tc>
          <w:tcPr>
            <w:tcW w:w="1250" w:type="pct"/>
            <w:tcBorders>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4" w:type="pct"/>
            <w:tcBorders>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w:t>
            </w:r>
          </w:p>
        </w:tc>
        <w:tc>
          <w:tcPr>
            <w:tcW w:w="18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年吞吐量</w:t>
            </w:r>
          </w:p>
        </w:tc>
        <w:tc>
          <w:tcPr>
            <w:tcW w:w="141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万吨/年</w:t>
            </w:r>
          </w:p>
        </w:tc>
        <w:tc>
          <w:tcPr>
            <w:tcW w:w="1250" w:type="pct"/>
            <w:tcBorders>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4" w:type="pct"/>
            <w:tcBorders>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w:t>
            </w:r>
          </w:p>
        </w:tc>
        <w:tc>
          <w:tcPr>
            <w:tcW w:w="18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通过能力</w:t>
            </w:r>
          </w:p>
        </w:tc>
        <w:tc>
          <w:tcPr>
            <w:tcW w:w="141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万吨/年</w:t>
            </w:r>
          </w:p>
        </w:tc>
        <w:tc>
          <w:tcPr>
            <w:tcW w:w="1250" w:type="pct"/>
            <w:tcBorders>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4" w:type="pct"/>
            <w:tcBorders>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w:t>
            </w:r>
          </w:p>
        </w:tc>
        <w:tc>
          <w:tcPr>
            <w:tcW w:w="184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定员</w:t>
            </w:r>
          </w:p>
        </w:tc>
        <w:tc>
          <w:tcPr>
            <w:tcW w:w="141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人</w:t>
            </w:r>
          </w:p>
        </w:tc>
        <w:tc>
          <w:tcPr>
            <w:tcW w:w="1250" w:type="pct"/>
            <w:tcBorders>
              <w:right w:val="single" w:color="auto" w:sz="12" w:space="0"/>
            </w:tcBorders>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rPr>
              <w:t>1</w:t>
            </w:r>
            <w:r>
              <w:rPr>
                <w:rFonts w:hint="eastAsia" w:ascii="Times New Roman" w:hAnsi="Times New Roman" w:cs="Times New Roman"/>
                <w:caps w:val="0"/>
                <w:smallCaps w:val="0"/>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4" w:type="pct"/>
            <w:tcBorders>
              <w:left w:val="single" w:color="auto" w:sz="12" w:space="0"/>
              <w:bottom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w:t>
            </w:r>
          </w:p>
        </w:tc>
        <w:tc>
          <w:tcPr>
            <w:tcW w:w="1844" w:type="pct"/>
            <w:tcBorders>
              <w:bottom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投资估算</w:t>
            </w:r>
          </w:p>
        </w:tc>
        <w:tc>
          <w:tcPr>
            <w:tcW w:w="1410" w:type="pct"/>
            <w:tcBorders>
              <w:bottom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万元</w:t>
            </w:r>
          </w:p>
        </w:tc>
        <w:tc>
          <w:tcPr>
            <w:tcW w:w="1250" w:type="pct"/>
            <w:tcBorders>
              <w:bottom w:val="single" w:color="auto" w:sz="12" w:space="0"/>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2679.77</w:t>
            </w:r>
          </w:p>
        </w:tc>
      </w:tr>
    </w:tbl>
    <w:p>
      <w:pPr>
        <w:pStyle w:val="315"/>
        <w:tabs>
          <w:tab w:val="right" w:leader="dot" w:pos="9070"/>
        </w:tabs>
        <w:adjustRightInd w:val="0"/>
        <w:snapToGrid w:val="0"/>
        <w:spacing w:line="360" w:lineRule="auto"/>
        <w:ind w:firstLine="480" w:firstLineChars="200"/>
        <w:rPr>
          <w:rFonts w:ascii="Times New Roman" w:hAnsi="Times New Roman" w:cs="Times New Roman" w:eastAsiaTheme="minorEastAsia"/>
          <w:caps w:val="0"/>
          <w:smallCaps w:val="0"/>
          <w:sz w:val="24"/>
          <w:szCs w:val="24"/>
          <w:highlight w:val="yellow"/>
        </w:rPr>
      </w:pP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主要货种及吞吐量预测</w:t>
      </w:r>
    </w:p>
    <w:p>
      <w:pPr>
        <w:pStyle w:val="315"/>
        <w:tabs>
          <w:tab w:val="right" w:leader="dot" w:pos="9070"/>
        </w:tabs>
        <w:adjustRightInd w:val="0"/>
        <w:snapToGrid w:val="0"/>
        <w:spacing w:line="360" w:lineRule="auto"/>
        <w:ind w:firstLine="480" w:firstLineChars="200"/>
        <w:rPr>
          <w:rFonts w:ascii="Times New Roman" w:hAnsi="Times New Roman" w:cs="Times New Roman" w:eastAsiaTheme="minorEastAsia"/>
          <w:caps w:val="0"/>
          <w:smallCaps w:val="0"/>
          <w:sz w:val="24"/>
          <w:szCs w:val="24"/>
          <w:lang w:val="en-GB"/>
        </w:rPr>
      </w:pPr>
      <w:r>
        <w:rPr>
          <w:rFonts w:ascii="Times New Roman" w:hAnsi="Times New Roman" w:cs="Times New Roman" w:eastAsiaTheme="minorEastAsia"/>
          <w:caps w:val="0"/>
          <w:smallCaps w:val="0"/>
          <w:color w:val="000000"/>
          <w:sz w:val="24"/>
          <w:szCs w:val="24"/>
        </w:rPr>
        <w:t>本项目运输货种</w:t>
      </w:r>
      <w:r>
        <w:rPr>
          <w:rFonts w:hint="eastAsia" w:ascii="Times New Roman" w:hAnsi="Times New Roman" w:cs="Times New Roman" w:eastAsiaTheme="minorEastAsia"/>
          <w:caps w:val="0"/>
          <w:smallCaps w:val="0"/>
          <w:color w:val="000000"/>
          <w:sz w:val="24"/>
          <w:szCs w:val="24"/>
        </w:rPr>
        <w:t>为</w:t>
      </w:r>
      <w:r>
        <w:rPr>
          <w:rFonts w:hint="eastAsia" w:cs="Times New Roman" w:eastAsiaTheme="minorEastAsia"/>
          <w:caps w:val="0"/>
          <w:smallCaps w:val="0"/>
          <w:color w:val="000000"/>
          <w:sz w:val="24"/>
          <w:szCs w:val="24"/>
          <w:lang w:eastAsia="zh-CN"/>
        </w:rPr>
        <w:t>石油</w:t>
      </w:r>
      <w:r>
        <w:rPr>
          <w:rFonts w:hint="eastAsia" w:ascii="Times New Roman" w:hAnsi="Times New Roman" w:cs="Times New Roman" w:eastAsiaTheme="minorEastAsia"/>
          <w:caps w:val="0"/>
          <w:smallCaps w:val="0"/>
          <w:color w:val="000000"/>
          <w:sz w:val="24"/>
          <w:szCs w:val="24"/>
        </w:rPr>
        <w:t>沥青</w:t>
      </w:r>
      <w:r>
        <w:rPr>
          <w:rFonts w:hint="eastAsia" w:ascii="Times New Roman" w:hAnsi="Times New Roman" w:cs="Times New Roman" w:eastAsiaTheme="minorEastAsia"/>
          <w:caps w:val="0"/>
          <w:smallCaps w:val="0"/>
          <w:color w:val="000000"/>
          <w:sz w:val="24"/>
          <w:szCs w:val="24"/>
          <w:lang w:eastAsia="zh-CN"/>
        </w:rPr>
        <w:t>，不涉及其他货种，</w:t>
      </w:r>
      <w:r>
        <w:rPr>
          <w:rFonts w:ascii="Times New Roman" w:hAnsi="Times New Roman" w:cs="Times New Roman" w:eastAsiaTheme="minorEastAsia"/>
          <w:caps w:val="0"/>
          <w:smallCaps w:val="0"/>
          <w:sz w:val="24"/>
          <w:szCs w:val="24"/>
          <w:lang w:val="en-GB"/>
        </w:rPr>
        <w:t>吞吐量</w:t>
      </w:r>
      <w:r>
        <w:rPr>
          <w:rFonts w:hint="eastAsia" w:ascii="Times New Roman" w:hAnsi="Times New Roman" w:cs="Times New Roman" w:eastAsiaTheme="minorEastAsia"/>
          <w:caps w:val="0"/>
          <w:smallCaps w:val="0"/>
          <w:sz w:val="24"/>
          <w:szCs w:val="24"/>
        </w:rPr>
        <w:t>25万吨/年</w:t>
      </w:r>
      <w:r>
        <w:rPr>
          <w:rFonts w:hint="eastAsia" w:ascii="Times New Roman" w:hAnsi="Times New Roman" w:cs="Times New Roman" w:eastAsiaTheme="minorEastAsia"/>
          <w:caps w:val="0"/>
          <w:smallCaps w:val="0"/>
          <w:sz w:val="24"/>
          <w:szCs w:val="24"/>
          <w:lang w:eastAsia="zh-CN"/>
        </w:rPr>
        <w:t>。</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6</w:t>
      </w:r>
      <w:r>
        <w:rPr>
          <w:rFonts w:ascii="Times New Roman" w:hAnsi="Times New Roman" w:cs="Times New Roman" w:eastAsiaTheme="minorEastAsia"/>
          <w:b/>
          <w:caps w:val="0"/>
          <w:smallCaps w:val="0"/>
          <w:color w:val="000000"/>
          <w:sz w:val="24"/>
          <w:szCs w:val="24"/>
        </w:rPr>
        <w:t>-</w:t>
      </w:r>
      <w:r>
        <w:rPr>
          <w:rFonts w:hint="eastAsia" w:cs="Times New Roman" w:eastAsiaTheme="minorEastAsia"/>
          <w:b/>
          <w:caps w:val="0"/>
          <w:smallCaps w:val="0"/>
          <w:color w:val="000000"/>
          <w:sz w:val="24"/>
          <w:szCs w:val="24"/>
          <w:lang w:val="en-US" w:eastAsia="zh-CN"/>
        </w:rPr>
        <w:t xml:space="preserve">4  </w:t>
      </w:r>
      <w:r>
        <w:rPr>
          <w:rFonts w:ascii="Times New Roman" w:hAnsi="Times New Roman" w:cs="Times New Roman" w:eastAsiaTheme="minorEastAsia"/>
          <w:b/>
          <w:caps w:val="0"/>
          <w:smallCaps w:val="0"/>
          <w:color w:val="000000"/>
          <w:sz w:val="24"/>
          <w:szCs w:val="24"/>
        </w:rPr>
        <w:t>本项目</w:t>
      </w:r>
      <w:r>
        <w:rPr>
          <w:rFonts w:hint="eastAsia" w:ascii="Times New Roman" w:hAnsi="Times New Roman" w:cs="Times New Roman" w:eastAsiaTheme="minorEastAsia"/>
          <w:b/>
          <w:caps w:val="0"/>
          <w:smallCaps w:val="0"/>
          <w:color w:val="000000"/>
          <w:sz w:val="24"/>
          <w:szCs w:val="24"/>
        </w:rPr>
        <w:t>货物吞吐量预测表</w:t>
      </w:r>
    </w:p>
    <w:tbl>
      <w:tblPr>
        <w:tblStyle w:val="71"/>
        <w:tblW w:w="50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15"/>
        <w:gridCol w:w="1507"/>
        <w:gridCol w:w="1399"/>
        <w:gridCol w:w="54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3" w:type="pct"/>
            <w:tcBorders>
              <w:top w:val="single" w:color="auto" w:sz="12" w:space="0"/>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编号</w:t>
            </w:r>
          </w:p>
        </w:tc>
        <w:tc>
          <w:tcPr>
            <w:tcW w:w="812" w:type="pct"/>
            <w:tcBorders>
              <w:top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货物名称</w:t>
            </w:r>
          </w:p>
        </w:tc>
        <w:tc>
          <w:tcPr>
            <w:tcW w:w="754" w:type="pct"/>
            <w:tcBorders>
              <w:top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年吞吐量</w:t>
            </w:r>
          </w:p>
        </w:tc>
        <w:tc>
          <w:tcPr>
            <w:tcW w:w="2940" w:type="pct"/>
            <w:tcBorders>
              <w:top w:val="single" w:color="auto" w:sz="12" w:space="0"/>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沥青流向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3" w:type="pct"/>
            <w:tcBorders>
              <w:lef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812"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eastAsia="zh-CN"/>
              </w:rPr>
              <w:t>石油</w:t>
            </w:r>
            <w:r>
              <w:rPr>
                <w:rFonts w:hint="eastAsia" w:ascii="Times New Roman" w:hAnsi="Times New Roman" w:cs="Times New Roman"/>
                <w:caps w:val="0"/>
                <w:smallCaps w:val="0"/>
              </w:rPr>
              <w:t>沥青</w:t>
            </w:r>
          </w:p>
        </w:tc>
        <w:tc>
          <w:tcPr>
            <w:tcW w:w="75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25万吨</w:t>
            </w:r>
          </w:p>
        </w:tc>
        <w:tc>
          <w:tcPr>
            <w:tcW w:w="2940" w:type="pct"/>
            <w:tcBorders>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上海、南京、进口→本港→湖南、江西</w:t>
            </w:r>
          </w:p>
        </w:tc>
      </w:tr>
    </w:tbl>
    <w:p>
      <w:pPr>
        <w:pStyle w:val="315"/>
        <w:tabs>
          <w:tab w:val="right" w:leader="dot" w:pos="907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沥青：沥青是由不同分子量的碳氢化合物及其非金属衍生物组成的黑褐色复杂混合物，是高黏度有机液体的一种，多会以液体或半固体的石油形态存在，表面呈黑色，可溶于二硫化碳、四氯化碳。沥青密度为1.15~1.25g/cm</w:t>
      </w:r>
      <w:r>
        <w:rPr>
          <w:rFonts w:hint="eastAsia" w:ascii="Times New Roman" w:hAnsi="Times New Roman" w:cs="Times New Roman" w:eastAsiaTheme="minorEastAsia"/>
          <w:caps w:val="0"/>
          <w:smallCaps w:val="0"/>
          <w:color w:val="000000"/>
          <w:sz w:val="24"/>
          <w:szCs w:val="24"/>
          <w:vertAlign w:val="superscript"/>
        </w:rPr>
        <w:t>3</w:t>
      </w:r>
      <w:r>
        <w:rPr>
          <w:rFonts w:hint="eastAsia" w:ascii="Times New Roman" w:hAnsi="Times New Roman" w:cs="Times New Roman" w:eastAsiaTheme="minorEastAsia"/>
          <w:caps w:val="0"/>
          <w:smallCaps w:val="0"/>
          <w:color w:val="000000"/>
          <w:sz w:val="24"/>
          <w:szCs w:val="24"/>
        </w:rPr>
        <w:t>，闪点为204.4℃，无固定熔点，健康危害为中等毒性。沥青是一种防水防潮和防腐的有机胶凝材料。沥青主要可以分为煤焦沥青、石油沥青和天然沥青三种：其中，煤焦沥青是炼焦的副产品。石油沥青是原油蒸馏后的残渣。天然沥青则是储藏在地下，有的形成矿层或在地壳表面堆积。</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设计代表船型</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通过对码头</w:t>
      </w:r>
      <w:r>
        <w:rPr>
          <w:rFonts w:hint="eastAsia" w:ascii="Times New Roman" w:hAnsi="Times New Roman" w:cs="Times New Roman" w:eastAsiaTheme="minorEastAsia"/>
          <w:caps w:val="0"/>
          <w:smallCaps w:val="0"/>
          <w:color w:val="000000"/>
          <w:sz w:val="24"/>
          <w:szCs w:val="24"/>
        </w:rPr>
        <w:t>运输船舶、航道发展状况和</w:t>
      </w:r>
      <w:r>
        <w:rPr>
          <w:rFonts w:ascii="Times New Roman" w:hAnsi="Times New Roman" w:cs="Times New Roman" w:eastAsiaTheme="minorEastAsia"/>
          <w:caps w:val="0"/>
          <w:smallCaps w:val="0"/>
          <w:color w:val="000000"/>
          <w:sz w:val="24"/>
          <w:szCs w:val="24"/>
        </w:rPr>
        <w:t>货物流量</w:t>
      </w:r>
      <w:r>
        <w:rPr>
          <w:rFonts w:hint="eastAsia" w:ascii="Times New Roman" w:hAnsi="Times New Roman" w:cs="Times New Roman" w:eastAsiaTheme="minorEastAsia"/>
          <w:caps w:val="0"/>
          <w:smallCaps w:val="0"/>
          <w:color w:val="000000"/>
          <w:sz w:val="24"/>
          <w:szCs w:val="24"/>
        </w:rPr>
        <w:t>、</w:t>
      </w:r>
      <w:r>
        <w:rPr>
          <w:rFonts w:ascii="Times New Roman" w:hAnsi="Times New Roman" w:cs="Times New Roman" w:eastAsiaTheme="minorEastAsia"/>
          <w:caps w:val="0"/>
          <w:smallCaps w:val="0"/>
          <w:color w:val="000000"/>
          <w:sz w:val="24"/>
          <w:szCs w:val="24"/>
        </w:rPr>
        <w:t>流向</w:t>
      </w:r>
      <w:r>
        <w:rPr>
          <w:rFonts w:hint="eastAsia" w:ascii="Times New Roman" w:hAnsi="Times New Roman" w:cs="Times New Roman" w:eastAsiaTheme="minorEastAsia"/>
          <w:caps w:val="0"/>
          <w:smallCaps w:val="0"/>
          <w:color w:val="000000"/>
          <w:sz w:val="24"/>
          <w:szCs w:val="24"/>
        </w:rPr>
        <w:t>运距及航运效益综合考虑</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依据《湖南省内河船型标准化发展纲要》、湘江航道的现状和发展规划</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结合交通部内河货运船舶船型主尺度系列以及《内河通航标准》等行业标准，</w:t>
      </w:r>
      <w:r>
        <w:rPr>
          <w:rFonts w:ascii="Times New Roman" w:hAnsi="Times New Roman" w:cs="Times New Roman" w:eastAsiaTheme="minorEastAsia"/>
          <w:caps w:val="0"/>
          <w:smallCaps w:val="0"/>
          <w:color w:val="000000"/>
          <w:sz w:val="24"/>
          <w:szCs w:val="24"/>
        </w:rPr>
        <w:t>本项目</w:t>
      </w:r>
      <w:r>
        <w:rPr>
          <w:rFonts w:hint="eastAsia" w:ascii="Times New Roman" w:hAnsi="Times New Roman" w:cs="Times New Roman" w:eastAsiaTheme="minorEastAsia"/>
          <w:caps w:val="0"/>
          <w:smallCaps w:val="0"/>
          <w:color w:val="000000"/>
          <w:sz w:val="24"/>
          <w:szCs w:val="24"/>
        </w:rPr>
        <w:t>考虑2000t级油船为设计代表船型较适合，船型主尺度见下表</w:t>
      </w:r>
      <w:r>
        <w:rPr>
          <w:rFonts w:ascii="Times New Roman" w:hAnsi="Times New Roman" w:cs="Times New Roman" w:eastAsiaTheme="minorEastAsia"/>
          <w:caps w:val="0"/>
          <w:smallCaps w:val="0"/>
          <w:color w:val="000000"/>
          <w:sz w:val="24"/>
          <w:szCs w:val="24"/>
        </w:rPr>
        <w:t>。</w:t>
      </w:r>
    </w:p>
    <w:p>
      <w:pPr>
        <w:tabs>
          <w:tab w:val="left" w:pos="900"/>
        </w:tabs>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6</w:t>
      </w:r>
      <w:r>
        <w:rPr>
          <w:rFonts w:ascii="Times New Roman" w:hAnsi="Times New Roman" w:cs="Times New Roman" w:eastAsiaTheme="minorEastAsia"/>
          <w:b/>
          <w:caps w:val="0"/>
          <w:smallCaps w:val="0"/>
          <w:color w:val="000000"/>
          <w:sz w:val="24"/>
          <w:szCs w:val="24"/>
        </w:rPr>
        <w:t>-</w:t>
      </w: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本项目设计船型主尺度表</w:t>
      </w:r>
    </w:p>
    <w:tbl>
      <w:tblPr>
        <w:tblStyle w:val="71"/>
        <w:tblW w:w="5048"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037"/>
        <w:gridCol w:w="1557"/>
        <w:gridCol w:w="1293"/>
        <w:gridCol w:w="1149"/>
        <w:gridCol w:w="1712"/>
        <w:gridCol w:w="143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tblHeader/>
          <w:jc w:val="center"/>
        </w:trPr>
        <w:tc>
          <w:tcPr>
            <w:tcW w:w="1108" w:type="pct"/>
            <w:tcBorders>
              <w:top w:val="single" w:color="auto" w:sz="12" w:space="0"/>
              <w:left w:val="single" w:color="auto" w:sz="12" w:space="0"/>
              <w:bottom w:val="single" w:color="auto" w:sz="6" w:space="0"/>
              <w:right w:val="single" w:color="auto" w:sz="6"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船型及吨级</w:t>
            </w:r>
          </w:p>
        </w:tc>
        <w:tc>
          <w:tcPr>
            <w:tcW w:w="847" w:type="pct"/>
            <w:tcBorders>
              <w:top w:val="single" w:color="auto" w:sz="12" w:space="0"/>
              <w:left w:val="single" w:color="auto" w:sz="6" w:space="0"/>
              <w:bottom w:val="single" w:color="auto" w:sz="6" w:space="0"/>
              <w:right w:val="single" w:color="auto" w:sz="6"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型长</w:t>
            </w:r>
            <w:r>
              <w:rPr>
                <w:rFonts w:ascii="Times New Roman" w:hAnsi="Times New Roman" w:cs="Times New Roman"/>
                <w:caps w:val="0"/>
                <w:smallCaps w:val="0"/>
              </w:rPr>
              <w:t>L（m）</w:t>
            </w:r>
          </w:p>
        </w:tc>
        <w:tc>
          <w:tcPr>
            <w:tcW w:w="703" w:type="pct"/>
            <w:tcBorders>
              <w:top w:val="single" w:color="auto" w:sz="12" w:space="0"/>
              <w:left w:val="single" w:color="auto" w:sz="6" w:space="0"/>
              <w:bottom w:val="single" w:color="auto" w:sz="6" w:space="0"/>
              <w:right w:val="single" w:color="auto" w:sz="6"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型宽B（m）</w:t>
            </w:r>
          </w:p>
        </w:tc>
        <w:tc>
          <w:tcPr>
            <w:tcW w:w="625" w:type="pct"/>
            <w:tcBorders>
              <w:top w:val="single" w:color="auto" w:sz="12" w:space="0"/>
              <w:left w:val="single" w:color="auto" w:sz="6" w:space="0"/>
              <w:bottom w:val="single" w:color="auto" w:sz="6" w:space="0"/>
              <w:right w:val="single" w:color="auto" w:sz="4"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型深（m）</w:t>
            </w:r>
          </w:p>
        </w:tc>
        <w:tc>
          <w:tcPr>
            <w:tcW w:w="931" w:type="pct"/>
            <w:tcBorders>
              <w:top w:val="single" w:color="auto" w:sz="12" w:space="0"/>
              <w:left w:val="single" w:color="auto" w:sz="4" w:space="0"/>
              <w:bottom w:val="single" w:color="auto" w:sz="6" w:space="0"/>
              <w:right w:val="single" w:color="auto" w:sz="6"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满载吃水T（m）</w:t>
            </w:r>
          </w:p>
        </w:tc>
        <w:tc>
          <w:tcPr>
            <w:tcW w:w="782" w:type="pct"/>
            <w:tcBorders>
              <w:top w:val="single" w:color="auto" w:sz="12" w:space="0"/>
              <w:left w:val="single" w:color="auto" w:sz="6" w:space="0"/>
              <w:bottom w:val="single" w:color="auto" w:sz="6" w:space="0"/>
              <w:right w:val="single" w:color="auto" w:sz="12" w:space="0"/>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108" w:type="pct"/>
            <w:tcBorders>
              <w:top w:val="single" w:color="auto" w:sz="6" w:space="0"/>
              <w:left w:val="single" w:color="auto" w:sz="12" w:space="0"/>
              <w:bottom w:val="single" w:color="auto" w:sz="6" w:space="0"/>
              <w:right w:val="single" w:color="auto" w:sz="6" w:space="0"/>
            </w:tcBorders>
            <w:vAlign w:val="center"/>
          </w:tcPr>
          <w:p>
            <w:pPr>
              <w:pStyle w:val="117"/>
              <w:bidi w:val="0"/>
              <w:rPr>
                <w:rFonts w:ascii="Times New Roman" w:hAnsi="Times New Roman" w:cs="Times New Roman"/>
                <w:caps w:val="0"/>
                <w:smallCaps w:val="0"/>
                <w:lang w:val="zh-CN"/>
              </w:rPr>
            </w:pPr>
            <w:r>
              <w:rPr>
                <w:rFonts w:ascii="Times New Roman" w:hAnsi="Times New Roman" w:cs="Times New Roman"/>
                <w:caps w:val="0"/>
                <w:smallCaps w:val="0"/>
                <w:lang w:val="zh-CN"/>
              </w:rPr>
              <w:t>2000吨级油船</w:t>
            </w:r>
          </w:p>
        </w:tc>
        <w:tc>
          <w:tcPr>
            <w:tcW w:w="847" w:type="pct"/>
            <w:tcBorders>
              <w:top w:val="single" w:color="auto" w:sz="6" w:space="0"/>
              <w:left w:val="single" w:color="auto" w:sz="6" w:space="0"/>
              <w:bottom w:val="single" w:color="auto" w:sz="6" w:space="0"/>
              <w:right w:val="single" w:color="auto" w:sz="6"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90</w:t>
            </w:r>
          </w:p>
        </w:tc>
        <w:tc>
          <w:tcPr>
            <w:tcW w:w="703" w:type="pct"/>
            <w:tcBorders>
              <w:top w:val="single" w:color="auto" w:sz="6" w:space="0"/>
              <w:left w:val="single" w:color="auto" w:sz="6" w:space="0"/>
              <w:bottom w:val="single" w:color="auto" w:sz="6" w:space="0"/>
              <w:right w:val="single" w:color="auto" w:sz="6" w:space="0"/>
            </w:tcBorders>
            <w:vAlign w:val="center"/>
          </w:tcPr>
          <w:p>
            <w:pPr>
              <w:pStyle w:val="117"/>
              <w:bidi w:val="0"/>
              <w:rPr>
                <w:rFonts w:ascii="Times New Roman" w:hAnsi="Times New Roman" w:cs="Times New Roman"/>
                <w:caps w:val="0"/>
                <w:smallCaps w:val="0"/>
                <w:lang w:val="zh-CN"/>
              </w:rPr>
            </w:pPr>
            <w:r>
              <w:rPr>
                <w:rFonts w:ascii="Times New Roman" w:hAnsi="Times New Roman" w:cs="Times New Roman"/>
                <w:caps w:val="0"/>
                <w:smallCaps w:val="0"/>
                <w:lang w:val="zh-CN"/>
              </w:rPr>
              <w:t>14.8</w:t>
            </w:r>
          </w:p>
        </w:tc>
        <w:tc>
          <w:tcPr>
            <w:tcW w:w="625" w:type="pct"/>
            <w:tcBorders>
              <w:top w:val="single" w:color="auto" w:sz="6" w:space="0"/>
              <w:left w:val="single" w:color="auto" w:sz="6" w:space="0"/>
              <w:bottom w:val="single" w:color="auto" w:sz="6" w:space="0"/>
              <w:right w:val="single" w:color="auto" w:sz="4" w:space="0"/>
            </w:tcBorders>
            <w:vAlign w:val="center"/>
          </w:tcPr>
          <w:p>
            <w:pPr>
              <w:pStyle w:val="117"/>
              <w:bidi w:val="0"/>
              <w:rPr>
                <w:rFonts w:ascii="Times New Roman" w:hAnsi="Times New Roman" w:cs="Times New Roman"/>
                <w:caps w:val="0"/>
                <w:smallCaps w:val="0"/>
                <w:lang w:val="zh-CN"/>
              </w:rPr>
            </w:pPr>
            <w:r>
              <w:rPr>
                <w:rFonts w:ascii="Times New Roman" w:hAnsi="Times New Roman" w:cs="Times New Roman"/>
                <w:caps w:val="0"/>
                <w:smallCaps w:val="0"/>
                <w:lang w:val="zh-CN"/>
              </w:rPr>
              <w:t>/</w:t>
            </w:r>
          </w:p>
        </w:tc>
        <w:tc>
          <w:tcPr>
            <w:tcW w:w="931" w:type="pct"/>
            <w:tcBorders>
              <w:top w:val="single" w:color="auto" w:sz="6" w:space="0"/>
              <w:left w:val="single" w:color="auto" w:sz="4" w:space="0"/>
              <w:bottom w:val="single" w:color="auto" w:sz="6" w:space="0"/>
              <w:right w:val="single" w:color="auto" w:sz="6"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2.8</w:t>
            </w:r>
          </w:p>
        </w:tc>
        <w:tc>
          <w:tcPr>
            <w:tcW w:w="782" w:type="pct"/>
            <w:tcBorders>
              <w:top w:val="single" w:color="auto" w:sz="6" w:space="0"/>
              <w:left w:val="single" w:color="auto" w:sz="6" w:space="0"/>
              <w:bottom w:val="single" w:color="auto" w:sz="6" w:space="0"/>
              <w:right w:val="single" w:color="auto" w:sz="12" w:space="0"/>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设计代表船型</w:t>
            </w:r>
          </w:p>
        </w:tc>
      </w:tr>
    </w:tbl>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color w:val="000000"/>
          <w:sz w:val="24"/>
          <w:szCs w:val="24"/>
        </w:rPr>
      </w:pP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总平面布置情况</w:t>
      </w:r>
    </w:p>
    <w:p>
      <w:pPr>
        <w:pStyle w:val="7"/>
        <w:rPr>
          <w:rFonts w:ascii="Times New Roman" w:hAnsi="Times New Roman" w:cs="Times New Roman" w:eastAsiaTheme="minorEastAsia"/>
          <w:caps w:val="0"/>
          <w:smallCaps w:val="0"/>
        </w:rPr>
      </w:pPr>
      <w:r>
        <w:rPr>
          <w:rFonts w:hint="eastAsia" w:cs="Times New Roman" w:eastAsiaTheme="minorEastAsia"/>
          <w:caps w:val="0"/>
          <w:smallCaps w:val="0"/>
          <w:lang w:eastAsia="zh-CN"/>
        </w:rPr>
        <w:t>码头</w:t>
      </w:r>
      <w:r>
        <w:rPr>
          <w:rFonts w:ascii="Times New Roman" w:hAnsi="Times New Roman" w:cs="Times New Roman" w:eastAsiaTheme="minorEastAsia"/>
          <w:caps w:val="0"/>
          <w:smallCaps w:val="0"/>
        </w:rPr>
        <w:t>平面布置</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本工程拟将海丰码头1个500吨级泊位提质改造为2000吨级沥青泊位，泊位长度150m，原斜坡码头拆除复绿。</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码头前沿线位于老港池外边缘，基本与上游侧正虹饲料码头前沿线齐平。码头主体为一艘钢制趸船，趸船长60m，宽12m，两侧设置定位桩。趸船通过活动引桥及固定引桥与后方陆域连接，活动引桥长42m，宽3m，固定引桥宽长119.2m，宽3.75m。活动引桥和钢引桥之间设置一座连接平台，连接平台平面尺寸6×6m。</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码头主要尺度详见表3.</w:t>
      </w:r>
      <w:r>
        <w:rPr>
          <w:rFonts w:hint="eastAsia" w:cs="Times New Roman" w:eastAsiaTheme="minorEastAsia"/>
          <w:caps w:val="0"/>
          <w:smallCaps w:val="0"/>
          <w:color w:val="000000"/>
          <w:sz w:val="24"/>
          <w:szCs w:val="24"/>
          <w:lang w:val="en-US" w:eastAsia="zh-CN"/>
        </w:rPr>
        <w:t>6</w:t>
      </w:r>
      <w:r>
        <w:rPr>
          <w:rFonts w:ascii="Times New Roman" w:hAnsi="Times New Roman" w:cs="Times New Roman" w:eastAsiaTheme="minorEastAsia"/>
          <w:caps w:val="0"/>
          <w:smallCaps w:val="0"/>
          <w:color w:val="000000"/>
          <w:sz w:val="24"/>
          <w:szCs w:val="24"/>
        </w:rPr>
        <w:t>-</w:t>
      </w:r>
      <w:r>
        <w:rPr>
          <w:rFonts w:hint="eastAsia" w:cs="Times New Roman" w:eastAsiaTheme="minorEastAsia"/>
          <w:caps w:val="0"/>
          <w:smallCaps w:val="0"/>
          <w:color w:val="000000"/>
          <w:sz w:val="24"/>
          <w:szCs w:val="24"/>
          <w:lang w:val="en-US" w:eastAsia="zh-CN"/>
        </w:rPr>
        <w:t>6</w:t>
      </w:r>
      <w:r>
        <w:rPr>
          <w:rFonts w:ascii="Times New Roman" w:hAnsi="Times New Roman" w:cs="Times New Roman" w:eastAsiaTheme="minorEastAsia"/>
          <w:caps w:val="0"/>
          <w:smallCaps w:val="0"/>
          <w:color w:val="000000"/>
          <w:sz w:val="24"/>
          <w:szCs w:val="24"/>
        </w:rPr>
        <w:t>。</w:t>
      </w:r>
    </w:p>
    <w:p>
      <w:pPr>
        <w:pStyle w:val="315"/>
        <w:tabs>
          <w:tab w:val="right" w:leader="dot" w:pos="9070"/>
        </w:tabs>
        <w:wordWrap/>
        <w:adjustRightInd w:val="0"/>
        <w:snapToGrid w:val="0"/>
        <w:spacing w:line="276" w:lineRule="auto"/>
        <w:jc w:val="center"/>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6</w:t>
      </w:r>
      <w:r>
        <w:rPr>
          <w:rFonts w:ascii="Times New Roman" w:hAnsi="Times New Roman" w:cs="Times New Roman" w:eastAsiaTheme="minorEastAsia"/>
          <w:b/>
          <w:caps w:val="0"/>
          <w:smallCaps w:val="0"/>
          <w:color w:val="000000"/>
          <w:sz w:val="24"/>
          <w:szCs w:val="24"/>
        </w:rPr>
        <w:t>-</w:t>
      </w:r>
      <w:r>
        <w:rPr>
          <w:rFonts w:hint="eastAsia" w:cs="Times New Roman" w:eastAsiaTheme="minorEastAsia"/>
          <w:b/>
          <w:caps w:val="0"/>
          <w:smallCaps w:val="0"/>
          <w:color w:val="000000"/>
          <w:sz w:val="24"/>
          <w:szCs w:val="24"/>
          <w:lang w:val="en-US" w:eastAsia="zh-CN"/>
        </w:rPr>
        <w:t>6</w:t>
      </w:r>
      <w:r>
        <w:rPr>
          <w:rFonts w:ascii="Times New Roman" w:hAnsi="Times New Roman" w:cs="Times New Roman" w:eastAsiaTheme="minorEastAsia"/>
          <w:b/>
          <w:caps w:val="0"/>
          <w:smallCaps w:val="0"/>
          <w:color w:val="000000"/>
          <w:sz w:val="24"/>
          <w:szCs w:val="24"/>
        </w:rPr>
        <w:t>码头主尺度表</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caps w:val="0"/>
          <w:smallCaps w:val="0"/>
          <w:color w:val="000000"/>
          <w:sz w:val="24"/>
          <w:szCs w:val="24"/>
        </w:rPr>
        <w:t>单位：m</w:t>
      </w:r>
    </w:p>
    <w:tbl>
      <w:tblPr>
        <w:tblStyle w:val="71"/>
        <w:tblW w:w="506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015"/>
        <w:gridCol w:w="5352"/>
        <w:gridCol w:w="184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tblHeader/>
          <w:jc w:val="center"/>
        </w:trPr>
        <w:tc>
          <w:tcPr>
            <w:tcW w:w="109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名称</w:t>
            </w:r>
          </w:p>
        </w:tc>
        <w:tc>
          <w:tcPr>
            <w:tcW w:w="290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尺度（m）</w:t>
            </w:r>
          </w:p>
        </w:tc>
        <w:tc>
          <w:tcPr>
            <w:tcW w:w="100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09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趸船</w:t>
            </w:r>
          </w:p>
        </w:tc>
        <w:tc>
          <w:tcPr>
            <w:tcW w:w="2903" w:type="pct"/>
            <w:shd w:val="clear" w:color="auto" w:fill="auto"/>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60</w:t>
            </w:r>
            <w:r>
              <w:rPr>
                <w:rFonts w:ascii="Times New Roman" w:hAnsi="Times New Roman" w:cs="Times New Roman"/>
                <w:caps w:val="0"/>
                <w:smallCaps w:val="0"/>
              </w:rPr>
              <w:t>×</w:t>
            </w:r>
            <w:r>
              <w:rPr>
                <w:rFonts w:hint="eastAsia" w:ascii="Times New Roman" w:hAnsi="Times New Roman" w:cs="Times New Roman"/>
                <w:caps w:val="0"/>
                <w:smallCaps w:val="0"/>
              </w:rPr>
              <w:t>12</w:t>
            </w:r>
          </w:p>
        </w:tc>
        <w:tc>
          <w:tcPr>
            <w:tcW w:w="100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共</w:t>
            </w:r>
            <w:r>
              <w:rPr>
                <w:rFonts w:hint="eastAsia" w:ascii="Times New Roman" w:hAnsi="Times New Roman" w:cs="Times New Roman"/>
                <w:caps w:val="0"/>
                <w:smallCaps w:val="0"/>
              </w:rPr>
              <w:t>1</w:t>
            </w:r>
            <w:r>
              <w:rPr>
                <w:rFonts w:ascii="Times New Roman" w:hAnsi="Times New Roman" w:cs="Times New Roman"/>
                <w:caps w:val="0"/>
                <w:smallCaps w:val="0"/>
              </w:rPr>
              <w:t>座</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09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活动钢引桥</w:t>
            </w:r>
          </w:p>
        </w:tc>
        <w:tc>
          <w:tcPr>
            <w:tcW w:w="2903" w:type="pct"/>
            <w:shd w:val="clear" w:color="auto" w:fill="auto"/>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42</w:t>
            </w:r>
            <w:r>
              <w:rPr>
                <w:rFonts w:ascii="Times New Roman" w:hAnsi="Times New Roman" w:cs="Times New Roman"/>
                <w:caps w:val="0"/>
                <w:smallCaps w:val="0"/>
              </w:rPr>
              <w:t>×</w:t>
            </w:r>
            <w:r>
              <w:rPr>
                <w:rFonts w:hint="eastAsia" w:ascii="Times New Roman" w:hAnsi="Times New Roman" w:cs="Times New Roman"/>
                <w:caps w:val="0"/>
                <w:smallCaps w:val="0"/>
              </w:rPr>
              <w:t>3</w:t>
            </w:r>
          </w:p>
        </w:tc>
        <w:tc>
          <w:tcPr>
            <w:tcW w:w="100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共</w:t>
            </w:r>
            <w:r>
              <w:rPr>
                <w:rFonts w:hint="eastAsia" w:ascii="Times New Roman" w:hAnsi="Times New Roman" w:cs="Times New Roman"/>
                <w:caps w:val="0"/>
                <w:smallCaps w:val="0"/>
              </w:rPr>
              <w:t>1</w:t>
            </w:r>
            <w:r>
              <w:rPr>
                <w:rFonts w:ascii="Times New Roman" w:hAnsi="Times New Roman" w:cs="Times New Roman"/>
                <w:caps w:val="0"/>
                <w:smallCaps w:val="0"/>
              </w:rPr>
              <w:t>座</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09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固定引桥</w:t>
            </w:r>
          </w:p>
        </w:tc>
        <w:tc>
          <w:tcPr>
            <w:tcW w:w="2903" w:type="pct"/>
            <w:shd w:val="clear" w:color="auto" w:fill="auto"/>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119.2</w:t>
            </w:r>
            <w:r>
              <w:rPr>
                <w:rFonts w:ascii="Times New Roman" w:hAnsi="Times New Roman" w:cs="Times New Roman"/>
                <w:caps w:val="0"/>
                <w:smallCaps w:val="0"/>
              </w:rPr>
              <w:t>×</w:t>
            </w:r>
            <w:r>
              <w:rPr>
                <w:rFonts w:hint="eastAsia" w:ascii="Times New Roman" w:hAnsi="Times New Roman" w:cs="Times New Roman"/>
                <w:caps w:val="0"/>
                <w:smallCaps w:val="0"/>
              </w:rPr>
              <w:t>3.75</w:t>
            </w:r>
          </w:p>
        </w:tc>
        <w:tc>
          <w:tcPr>
            <w:tcW w:w="100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共1座</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1093" w:type="pct"/>
            <w:shd w:val="clear" w:color="auto" w:fill="auto"/>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连接平台</w:t>
            </w:r>
          </w:p>
        </w:tc>
        <w:tc>
          <w:tcPr>
            <w:tcW w:w="2903" w:type="pct"/>
            <w:shd w:val="clear" w:color="auto" w:fill="auto"/>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6</w:t>
            </w:r>
            <w:r>
              <w:rPr>
                <w:rFonts w:ascii="Times New Roman" w:hAnsi="Times New Roman" w:cs="Times New Roman"/>
                <w:caps w:val="0"/>
                <w:smallCaps w:val="0"/>
              </w:rPr>
              <w:t>×</w:t>
            </w:r>
            <w:r>
              <w:rPr>
                <w:rFonts w:hint="eastAsia" w:ascii="Times New Roman" w:hAnsi="Times New Roman" w:cs="Times New Roman"/>
                <w:caps w:val="0"/>
                <w:smallCaps w:val="0"/>
              </w:rPr>
              <w:t>6</w:t>
            </w:r>
          </w:p>
        </w:tc>
        <w:tc>
          <w:tcPr>
            <w:tcW w:w="100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共1座</w:t>
            </w:r>
          </w:p>
        </w:tc>
      </w:tr>
    </w:tbl>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p>
    <w:p>
      <w:pPr>
        <w:pStyle w:val="7"/>
        <w:rPr>
          <w:rFonts w:ascii="Times New Roman" w:hAnsi="Times New Roman" w:cs="Times New Roman" w:eastAsiaTheme="minorEastAsia"/>
          <w:caps w:val="0"/>
          <w:smallCaps w:val="0"/>
        </w:rPr>
      </w:pPr>
      <w:bookmarkStart w:id="30" w:name="_Toc423004582"/>
      <w:r>
        <w:rPr>
          <w:rFonts w:ascii="Times New Roman" w:hAnsi="Times New Roman" w:cs="Times New Roman" w:eastAsiaTheme="minorEastAsia"/>
          <w:caps w:val="0"/>
          <w:smallCaps w:val="0"/>
        </w:rPr>
        <w:t>后方罐区基本概况</w:t>
      </w:r>
      <w:bookmarkEnd w:id="30"/>
    </w:p>
    <w:p>
      <w:pPr>
        <w:pStyle w:val="109"/>
        <w:tabs>
          <w:tab w:val="left" w:pos="900"/>
        </w:tabs>
        <w:adjustRightInd w:val="0"/>
        <w:snapToGrid w:val="0"/>
        <w:spacing w:line="360" w:lineRule="auto"/>
        <w:ind w:firstLine="480"/>
        <w:rPr>
          <w:rFonts w:ascii="Times New Roman" w:hAnsi="Times New Roman" w:cs="Times New Roman" w:eastAsiaTheme="minorEastAsia"/>
          <w:caps w:val="0"/>
          <w:smallCaps w:val="0"/>
          <w:color w:val="000000"/>
        </w:rPr>
      </w:pPr>
      <w:r>
        <w:rPr>
          <w:rFonts w:ascii="Times New Roman" w:hAnsi="Times New Roman" w:cs="Times New Roman" w:eastAsiaTheme="minorEastAsia"/>
          <w:caps w:val="0"/>
          <w:smallCaps w:val="0"/>
          <w:color w:val="000000"/>
        </w:rPr>
        <w:t>后方储罐区位于本码头的南侧，</w:t>
      </w:r>
      <w:r>
        <w:rPr>
          <w:rFonts w:hint="eastAsia" w:ascii="Times New Roman" w:hAnsi="Times New Roman" w:cs="Times New Roman"/>
          <w:caps w:val="0"/>
          <w:smallCaps w:val="0"/>
          <w:color w:val="000000" w:themeColor="text1"/>
          <w14:textFill>
            <w14:solidFill>
              <w14:schemeClr w14:val="tx1"/>
            </w14:solidFill>
          </w14:textFill>
        </w:rPr>
        <w:t>距离本码头约164.8m。罐区主要储存沥青，并配备有锅炉为沥青罐保温，罐区所有储罐由海丰物流公司统一经营，目前运行正常。</w:t>
      </w:r>
      <w:r>
        <w:rPr>
          <w:rFonts w:hint="eastAsia" w:cs="Times New Roman"/>
          <w:caps w:val="0"/>
          <w:smallCaps w:val="0"/>
          <w:color w:val="000000" w:themeColor="text1"/>
          <w:lang w:eastAsia="zh-CN"/>
          <w14:textFill>
            <w14:solidFill>
              <w14:schemeClr w14:val="tx1"/>
            </w14:solidFill>
          </w14:textFill>
        </w:rPr>
        <w:t>储存基质沥青的储罐</w:t>
      </w:r>
      <w:r>
        <w:rPr>
          <w:rFonts w:hint="eastAsia" w:ascii="Times New Roman" w:hAnsi="Times New Roman" w:cs="Times New Roman"/>
          <w:bCs/>
          <w:caps w:val="0"/>
          <w:smallCaps w:val="0"/>
          <w:color w:val="000000"/>
        </w:rPr>
        <w:t>主要为2个5</w:t>
      </w:r>
      <w:r>
        <w:rPr>
          <w:rFonts w:hint="eastAsia" w:ascii="Times New Roman" w:hAnsi="Times New Roman" w:cs="Times New Roman"/>
          <w:bCs/>
          <w:caps w:val="0"/>
          <w:smallCaps w:val="0"/>
          <w:color w:val="000000"/>
          <w:lang w:val="en-US" w:eastAsia="zh-CN"/>
        </w:rPr>
        <w:t>5</w:t>
      </w:r>
      <w:r>
        <w:rPr>
          <w:rFonts w:hint="eastAsia" w:ascii="Times New Roman" w:hAnsi="Times New Roman" w:cs="Times New Roman"/>
          <w:bCs/>
          <w:caps w:val="0"/>
          <w:smallCaps w:val="0"/>
          <w:color w:val="000000"/>
        </w:rPr>
        <w:t>00m</w:t>
      </w:r>
      <w:r>
        <w:rPr>
          <w:rFonts w:hint="eastAsia" w:ascii="Times New Roman" w:hAnsi="Times New Roman" w:cs="Times New Roman"/>
          <w:bCs/>
          <w:caps w:val="0"/>
          <w:smallCaps w:val="0"/>
          <w:color w:val="000000"/>
          <w:vertAlign w:val="superscript"/>
        </w:rPr>
        <w:t>3</w:t>
      </w:r>
      <w:r>
        <w:rPr>
          <w:rFonts w:hint="eastAsia" w:ascii="Times New Roman" w:hAnsi="Times New Roman" w:cs="Times New Roman"/>
          <w:bCs/>
          <w:caps w:val="0"/>
          <w:smallCaps w:val="0"/>
          <w:color w:val="000000"/>
          <w:lang w:eastAsia="zh-CN"/>
        </w:rPr>
        <w:t>、</w:t>
      </w:r>
      <w:r>
        <w:rPr>
          <w:rFonts w:hint="eastAsia" w:ascii="Times New Roman" w:hAnsi="Times New Roman" w:cs="Times New Roman"/>
          <w:bCs/>
          <w:caps w:val="0"/>
          <w:smallCaps w:val="0"/>
          <w:color w:val="000000"/>
          <w:lang w:val="en-US" w:eastAsia="zh-CN"/>
        </w:rPr>
        <w:t>1</w:t>
      </w:r>
      <w:r>
        <w:rPr>
          <w:rFonts w:hint="eastAsia" w:ascii="Times New Roman" w:hAnsi="Times New Roman" w:cs="Times New Roman"/>
          <w:bCs/>
          <w:caps w:val="0"/>
          <w:smallCaps w:val="0"/>
          <w:color w:val="000000"/>
        </w:rPr>
        <w:t>个</w:t>
      </w:r>
      <w:r>
        <w:rPr>
          <w:rFonts w:hint="eastAsia" w:ascii="Times New Roman" w:hAnsi="Times New Roman" w:cs="Times New Roman"/>
          <w:bCs/>
          <w:caps w:val="0"/>
          <w:smallCaps w:val="0"/>
          <w:color w:val="000000"/>
          <w:lang w:val="en-US" w:eastAsia="zh-CN"/>
        </w:rPr>
        <w:t>49</w:t>
      </w:r>
      <w:r>
        <w:rPr>
          <w:rFonts w:hint="eastAsia" w:ascii="Times New Roman" w:hAnsi="Times New Roman" w:cs="Times New Roman"/>
          <w:bCs/>
          <w:caps w:val="0"/>
          <w:smallCaps w:val="0"/>
          <w:color w:val="000000"/>
        </w:rPr>
        <w:t>00m</w:t>
      </w:r>
      <w:r>
        <w:rPr>
          <w:rFonts w:hint="eastAsia" w:ascii="Times New Roman" w:hAnsi="Times New Roman" w:cs="Times New Roman"/>
          <w:bCs/>
          <w:caps w:val="0"/>
          <w:smallCaps w:val="0"/>
          <w:color w:val="000000"/>
          <w:vertAlign w:val="superscript"/>
        </w:rPr>
        <w:t>3</w:t>
      </w:r>
      <w:r>
        <w:rPr>
          <w:rFonts w:hint="eastAsia" w:ascii="Times New Roman" w:hAnsi="Times New Roman" w:cs="Times New Roman"/>
          <w:bCs/>
          <w:caps w:val="0"/>
          <w:smallCaps w:val="0"/>
          <w:color w:val="000000"/>
          <w:lang w:eastAsia="zh-CN"/>
        </w:rPr>
        <w:t>、</w:t>
      </w:r>
      <w:r>
        <w:rPr>
          <w:rFonts w:hint="eastAsia" w:ascii="Times New Roman" w:hAnsi="Times New Roman" w:cs="Times New Roman"/>
          <w:bCs/>
          <w:caps w:val="0"/>
          <w:smallCaps w:val="0"/>
          <w:color w:val="000000"/>
          <w:lang w:val="en-US" w:eastAsia="zh-CN"/>
        </w:rPr>
        <w:t>3</w:t>
      </w:r>
      <w:r>
        <w:rPr>
          <w:rFonts w:hint="eastAsia" w:ascii="Times New Roman" w:hAnsi="Times New Roman" w:cs="Times New Roman"/>
          <w:bCs/>
          <w:caps w:val="0"/>
          <w:smallCaps w:val="0"/>
          <w:color w:val="000000"/>
        </w:rPr>
        <w:t>个</w:t>
      </w:r>
      <w:r>
        <w:rPr>
          <w:rFonts w:hint="eastAsia" w:ascii="Times New Roman" w:hAnsi="Times New Roman" w:cs="Times New Roman"/>
          <w:bCs/>
          <w:caps w:val="0"/>
          <w:smallCaps w:val="0"/>
          <w:color w:val="000000"/>
          <w:lang w:val="en-US" w:eastAsia="zh-CN"/>
        </w:rPr>
        <w:t>2</w:t>
      </w:r>
      <w:r>
        <w:rPr>
          <w:rFonts w:hint="eastAsia" w:ascii="Times New Roman" w:hAnsi="Times New Roman" w:cs="Times New Roman"/>
          <w:bCs/>
          <w:caps w:val="0"/>
          <w:smallCaps w:val="0"/>
          <w:color w:val="000000"/>
        </w:rPr>
        <w:t>500m</w:t>
      </w:r>
      <w:r>
        <w:rPr>
          <w:rFonts w:hint="eastAsia" w:ascii="Times New Roman" w:hAnsi="Times New Roman" w:cs="Times New Roman"/>
          <w:bCs/>
          <w:caps w:val="0"/>
          <w:smallCaps w:val="0"/>
          <w:color w:val="000000"/>
          <w:vertAlign w:val="superscript"/>
        </w:rPr>
        <w:t>3</w:t>
      </w:r>
      <w:r>
        <w:rPr>
          <w:rFonts w:hint="eastAsia" w:ascii="Times New Roman" w:hAnsi="Times New Roman" w:cs="Times New Roman"/>
          <w:bCs/>
          <w:caps w:val="0"/>
          <w:smallCaps w:val="0"/>
          <w:color w:val="000000"/>
          <w:vertAlign w:val="baseline"/>
          <w:lang w:eastAsia="zh-CN"/>
        </w:rPr>
        <w:t>、</w:t>
      </w:r>
      <w:r>
        <w:rPr>
          <w:rFonts w:hint="eastAsia" w:ascii="Times New Roman" w:hAnsi="Times New Roman" w:cs="Times New Roman"/>
          <w:bCs/>
          <w:caps w:val="0"/>
          <w:smallCaps w:val="0"/>
          <w:color w:val="000000"/>
        </w:rPr>
        <w:t>2个500m</w:t>
      </w:r>
      <w:r>
        <w:rPr>
          <w:rFonts w:hint="eastAsia" w:ascii="Times New Roman" w:hAnsi="Times New Roman" w:cs="Times New Roman"/>
          <w:bCs/>
          <w:caps w:val="0"/>
          <w:smallCaps w:val="0"/>
          <w:color w:val="000000"/>
          <w:vertAlign w:val="superscript"/>
        </w:rPr>
        <w:t>3</w:t>
      </w:r>
      <w:r>
        <w:rPr>
          <w:rFonts w:hint="eastAsia" w:ascii="Times New Roman" w:hAnsi="Times New Roman" w:cs="Times New Roman"/>
          <w:bCs/>
          <w:caps w:val="0"/>
          <w:smallCaps w:val="0"/>
          <w:color w:val="000000"/>
        </w:rPr>
        <w:t>基质沥青储罐</w:t>
      </w:r>
      <w:r>
        <w:rPr>
          <w:rFonts w:hint="eastAsia" w:ascii="Times New Roman" w:hAnsi="Times New Roman" w:cs="Times New Roman"/>
          <w:bCs/>
          <w:caps w:val="0"/>
          <w:smallCaps w:val="0"/>
          <w:color w:val="000000"/>
          <w:sz w:val="24"/>
          <w:szCs w:val="24"/>
        </w:rPr>
        <w:t>。</w:t>
      </w:r>
      <w:r>
        <w:rPr>
          <w:rFonts w:ascii="Times New Roman" w:hAnsi="Times New Roman" w:cs="Times New Roman" w:eastAsiaTheme="minorEastAsia"/>
          <w:caps w:val="0"/>
          <w:smallCaps w:val="0"/>
          <w:color w:val="000000"/>
        </w:rPr>
        <w:t>罐区所有储罐由</w:t>
      </w:r>
      <w:r>
        <w:rPr>
          <w:rFonts w:hint="eastAsia" w:ascii="Times New Roman" w:hAnsi="Times New Roman" w:cs="Times New Roman" w:eastAsiaTheme="minorEastAsia"/>
          <w:caps w:val="0"/>
          <w:smallCaps w:val="0"/>
          <w:color w:val="000000"/>
        </w:rPr>
        <w:t>湖南</w:t>
      </w:r>
      <w:r>
        <w:rPr>
          <w:rFonts w:hint="eastAsia" w:ascii="Times New Roman" w:hAnsi="Times New Roman" w:cs="Times New Roman" w:eastAsiaTheme="minorEastAsia"/>
          <w:caps w:val="0"/>
          <w:smallCaps w:val="0"/>
        </w:rPr>
        <w:t>海丰物流有限公司</w:t>
      </w:r>
      <w:r>
        <w:rPr>
          <w:rFonts w:ascii="Times New Roman" w:hAnsi="Times New Roman" w:cs="Times New Roman" w:eastAsiaTheme="minorEastAsia"/>
          <w:caps w:val="0"/>
          <w:smallCaps w:val="0"/>
          <w:color w:val="000000"/>
        </w:rPr>
        <w:t>经营并统一管理。</w:t>
      </w:r>
    </w:p>
    <w:p>
      <w:pPr>
        <w:pStyle w:val="109"/>
        <w:tabs>
          <w:tab w:val="left" w:pos="900"/>
        </w:tabs>
        <w:adjustRightInd w:val="0"/>
        <w:snapToGrid w:val="0"/>
        <w:spacing w:line="360" w:lineRule="auto"/>
        <w:ind w:firstLine="480"/>
        <w:rPr>
          <w:rFonts w:ascii="Times New Roman" w:hAnsi="Times New Roman" w:cs="Times New Roman" w:eastAsiaTheme="minorEastAsia"/>
          <w:caps w:val="0"/>
          <w:smallCaps w:val="0"/>
          <w:color w:val="000000"/>
        </w:rPr>
      </w:pPr>
      <w:r>
        <w:rPr>
          <w:rFonts w:ascii="Times New Roman" w:hAnsi="Times New Roman" w:cs="Times New Roman" w:eastAsiaTheme="minorEastAsia"/>
          <w:caps w:val="0"/>
          <w:smallCaps w:val="0"/>
          <w:kern w:val="0"/>
        </w:rPr>
        <w:t>本次环评</w:t>
      </w:r>
      <w:r>
        <w:rPr>
          <w:rFonts w:ascii="Times New Roman" w:hAnsi="Times New Roman" w:cs="Times New Roman" w:eastAsiaTheme="minorEastAsia"/>
          <w:caps w:val="0"/>
          <w:smallCaps w:val="0"/>
          <w:kern w:val="0"/>
          <w:szCs w:val="21"/>
        </w:rPr>
        <w:t>只包括码头工程、管线工程及环保工程等，不包括储罐区。</w:t>
      </w:r>
    </w:p>
    <w:p>
      <w:pPr>
        <w:pStyle w:val="109"/>
        <w:tabs>
          <w:tab w:val="left" w:pos="900"/>
        </w:tabs>
        <w:adjustRightInd w:val="0"/>
        <w:snapToGrid w:val="0"/>
        <w:spacing w:line="360" w:lineRule="auto"/>
        <w:ind w:firstLine="480"/>
        <w:rPr>
          <w:rFonts w:ascii="Times New Roman" w:hAnsi="Times New Roman" w:cs="Times New Roman" w:eastAsiaTheme="minorEastAsia"/>
          <w:caps w:val="0"/>
          <w:smallCaps w:val="0"/>
          <w:color w:val="000000"/>
        </w:rPr>
      </w:pPr>
      <w:r>
        <w:rPr>
          <w:rFonts w:ascii="Times New Roman" w:hAnsi="Times New Roman" w:cs="Times New Roman" w:eastAsiaTheme="minorEastAsia"/>
          <w:caps w:val="0"/>
          <w:smallCaps w:val="0"/>
          <w:color w:val="000000"/>
        </w:rPr>
        <w:t>罐区基本情况见下表3.</w:t>
      </w:r>
      <w:r>
        <w:rPr>
          <w:rFonts w:hint="eastAsia" w:cs="Times New Roman" w:eastAsiaTheme="minorEastAsia"/>
          <w:caps w:val="0"/>
          <w:smallCaps w:val="0"/>
          <w:color w:val="000000"/>
          <w:lang w:val="en-US" w:eastAsia="zh-CN"/>
        </w:rPr>
        <w:t>6</w:t>
      </w:r>
      <w:r>
        <w:rPr>
          <w:rFonts w:ascii="Times New Roman" w:hAnsi="Times New Roman" w:cs="Times New Roman" w:eastAsiaTheme="minorEastAsia"/>
          <w:caps w:val="0"/>
          <w:smallCaps w:val="0"/>
          <w:color w:val="000000"/>
        </w:rPr>
        <w:t>-</w:t>
      </w:r>
      <w:r>
        <w:rPr>
          <w:rFonts w:hint="eastAsia" w:cs="Times New Roman" w:eastAsiaTheme="minorEastAsia"/>
          <w:caps w:val="0"/>
          <w:smallCaps w:val="0"/>
          <w:color w:val="000000"/>
          <w:lang w:val="en-US" w:eastAsia="zh-CN"/>
        </w:rPr>
        <w:t>7</w:t>
      </w:r>
      <w:r>
        <w:rPr>
          <w:rFonts w:ascii="Times New Roman" w:hAnsi="Times New Roman" w:cs="Times New Roman" w:eastAsiaTheme="minorEastAsia"/>
          <w:caps w:val="0"/>
          <w:smallCaps w:val="0"/>
          <w:color w:val="000000"/>
        </w:rPr>
        <w:t>。</w:t>
      </w:r>
    </w:p>
    <w:p>
      <w:pPr>
        <w:pStyle w:val="109"/>
        <w:tabs>
          <w:tab w:val="left" w:pos="900"/>
        </w:tabs>
        <w:adjustRightInd w:val="0"/>
        <w:snapToGrid w:val="0"/>
        <w:spacing w:line="276" w:lineRule="auto"/>
        <w:ind w:firstLine="0" w:firstLineChars="0"/>
        <w:jc w:val="center"/>
        <w:rPr>
          <w:rFonts w:ascii="Times New Roman" w:hAnsi="Times New Roman" w:cs="Times New Roman" w:eastAsiaTheme="minorEastAsia"/>
          <w:b/>
          <w:caps w:val="0"/>
          <w:smallCaps w:val="0"/>
          <w:color w:val="000000"/>
        </w:rPr>
      </w:pPr>
      <w:r>
        <w:rPr>
          <w:rFonts w:ascii="Times New Roman" w:hAnsi="Times New Roman" w:cs="Times New Roman" w:eastAsiaTheme="minorEastAsia"/>
          <w:b/>
          <w:caps w:val="0"/>
          <w:smallCaps w:val="0"/>
          <w:color w:val="000000"/>
        </w:rPr>
        <w:t>表3.</w:t>
      </w:r>
      <w:r>
        <w:rPr>
          <w:rFonts w:hint="eastAsia" w:cs="Times New Roman" w:eastAsiaTheme="minorEastAsia"/>
          <w:b/>
          <w:caps w:val="0"/>
          <w:smallCaps w:val="0"/>
          <w:color w:val="000000"/>
          <w:lang w:val="en-US" w:eastAsia="zh-CN"/>
        </w:rPr>
        <w:t>6</w:t>
      </w:r>
      <w:r>
        <w:rPr>
          <w:rFonts w:ascii="Times New Roman" w:hAnsi="Times New Roman" w:cs="Times New Roman" w:eastAsiaTheme="minorEastAsia"/>
          <w:b/>
          <w:caps w:val="0"/>
          <w:smallCaps w:val="0"/>
          <w:color w:val="000000"/>
        </w:rPr>
        <w:t>-</w:t>
      </w:r>
      <w:r>
        <w:rPr>
          <w:rFonts w:hint="eastAsia" w:cs="Times New Roman" w:eastAsiaTheme="minorEastAsia"/>
          <w:b/>
          <w:caps w:val="0"/>
          <w:smallCaps w:val="0"/>
          <w:color w:val="000000"/>
          <w:lang w:val="en-US" w:eastAsia="zh-CN"/>
        </w:rPr>
        <w:t>7</w:t>
      </w:r>
      <w:r>
        <w:rPr>
          <w:rFonts w:ascii="Times New Roman" w:hAnsi="Times New Roman" w:cs="Times New Roman" w:eastAsiaTheme="minorEastAsia"/>
          <w:b/>
          <w:caps w:val="0"/>
          <w:smallCaps w:val="0"/>
          <w:color w:val="000000"/>
        </w:rPr>
        <w:t>储罐配置情况表</w:t>
      </w:r>
    </w:p>
    <w:tbl>
      <w:tblPr>
        <w:tblStyle w:val="71"/>
        <w:tblW w:w="5000" w:type="pct"/>
        <w:jc w:val="center"/>
        <w:tblBorders>
          <w:top w:val="single" w:color="auto" w:sz="4" w:space="0"/>
          <w:left w:val="single" w:color="auto" w:sz="4" w:space="0"/>
          <w:bottom w:val="single" w:color="auto" w:sz="4" w:space="0"/>
          <w:right w:val="single" w:color="auto" w:sz="4" w:space="0"/>
          <w:insideH w:val="none" w:color="auto" w:sz="0" w:space="0"/>
          <w:insideV w:val="single" w:color="auto" w:sz="6" w:space="0"/>
        </w:tblBorders>
        <w:tblLayout w:type="fixed"/>
        <w:tblCellMar>
          <w:top w:w="0" w:type="dxa"/>
          <w:left w:w="108" w:type="dxa"/>
          <w:bottom w:w="0" w:type="dxa"/>
          <w:right w:w="108" w:type="dxa"/>
        </w:tblCellMar>
      </w:tblPr>
      <w:tblGrid>
        <w:gridCol w:w="1758"/>
        <w:gridCol w:w="1157"/>
        <w:gridCol w:w="1333"/>
        <w:gridCol w:w="1116"/>
        <w:gridCol w:w="3062"/>
        <w:gridCol w:w="860"/>
      </w:tblGrid>
      <w:tr>
        <w:tblPrEx>
          <w:tblBorders>
            <w:top w:val="single" w:color="auto" w:sz="4" w:space="0"/>
            <w:left w:val="single" w:color="auto" w:sz="4" w:space="0"/>
            <w:bottom w:val="single" w:color="auto" w:sz="4" w:space="0"/>
            <w:right w:val="single" w:color="auto" w:sz="4" w:space="0"/>
            <w:insideH w:val="none" w:color="auto" w:sz="0" w:space="0"/>
            <w:insideV w:val="single" w:color="auto" w:sz="6" w:space="0"/>
          </w:tblBorders>
          <w:tblCellMar>
            <w:top w:w="0" w:type="dxa"/>
            <w:left w:w="108" w:type="dxa"/>
            <w:bottom w:w="0" w:type="dxa"/>
            <w:right w:w="108" w:type="dxa"/>
          </w:tblCellMar>
        </w:tblPrEx>
        <w:trPr>
          <w:trHeight w:val="340" w:hRule="atLeast"/>
          <w:tblHeader/>
          <w:jc w:val="center"/>
        </w:trPr>
        <w:tc>
          <w:tcPr>
            <w:tcW w:w="1758" w:type="dxa"/>
            <w:tcBorders>
              <w:bottom w:val="single" w:color="auto" w:sz="4" w:space="0"/>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建筑物名称</w:t>
            </w:r>
          </w:p>
        </w:tc>
        <w:tc>
          <w:tcPr>
            <w:tcW w:w="1157" w:type="dxa"/>
            <w:tcBorders>
              <w:bottom w:val="single" w:color="auto" w:sz="4" w:space="0"/>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规模</w:t>
            </w:r>
          </w:p>
        </w:tc>
        <w:tc>
          <w:tcPr>
            <w:tcW w:w="1333" w:type="dxa"/>
            <w:tcBorders>
              <w:bottom w:val="single" w:color="auto" w:sz="4" w:space="0"/>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现有运行状态</w:t>
            </w:r>
          </w:p>
        </w:tc>
        <w:tc>
          <w:tcPr>
            <w:tcW w:w="1116" w:type="dxa"/>
            <w:tcBorders>
              <w:bottom w:val="single" w:color="auto" w:sz="4" w:space="0"/>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结构形式</w:t>
            </w:r>
          </w:p>
        </w:tc>
        <w:tc>
          <w:tcPr>
            <w:tcW w:w="3062" w:type="dxa"/>
            <w:tcBorders>
              <w:bottom w:val="single" w:color="auto" w:sz="4" w:space="0"/>
              <w:tl2br w:val="nil"/>
              <w:tr2bl w:val="nil"/>
            </w:tcBorders>
            <w:noWrap/>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储罐数量</w:t>
            </w:r>
          </w:p>
        </w:tc>
        <w:tc>
          <w:tcPr>
            <w:tcW w:w="860" w:type="dxa"/>
            <w:tcBorders>
              <w:bottom w:val="single" w:color="auto" w:sz="4" w:space="0"/>
              <w:tl2br w:val="nil"/>
              <w:tr2bl w:val="nil"/>
            </w:tcBorders>
            <w:noWrap/>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备注</w:t>
            </w:r>
          </w:p>
        </w:tc>
      </w:tr>
      <w:tr>
        <w:tblPrEx>
          <w:tblBorders>
            <w:top w:val="single" w:color="auto" w:sz="4" w:space="0"/>
            <w:left w:val="single" w:color="auto" w:sz="4" w:space="0"/>
            <w:bottom w:val="single" w:color="auto" w:sz="4" w:space="0"/>
            <w:right w:val="single" w:color="auto" w:sz="4" w:space="0"/>
            <w:insideH w:val="none" w:color="auto" w:sz="0" w:space="0"/>
            <w:insideV w:val="single" w:color="auto" w:sz="6" w:space="0"/>
          </w:tblBorders>
          <w:tblCellMar>
            <w:top w:w="0" w:type="dxa"/>
            <w:left w:w="108" w:type="dxa"/>
            <w:bottom w:w="0" w:type="dxa"/>
            <w:right w:w="108" w:type="dxa"/>
          </w:tblCellMar>
        </w:tblPrEx>
        <w:trPr>
          <w:trHeight w:val="340" w:hRule="atLeast"/>
          <w:tblHeader/>
          <w:jc w:val="center"/>
        </w:trPr>
        <w:tc>
          <w:tcPr>
            <w:tcW w:w="1758" w:type="dxa"/>
            <w:tcBorders>
              <w:top w:val="single" w:color="auto" w:sz="4"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基质沥青储罐区</w:t>
            </w:r>
          </w:p>
        </w:tc>
        <w:tc>
          <w:tcPr>
            <w:tcW w:w="1157" w:type="dxa"/>
            <w:tcBorders>
              <w:top w:val="single" w:color="auto"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244</w:t>
            </w:r>
            <w:r>
              <w:rPr>
                <w:rFonts w:ascii="Times New Roman" w:hAnsi="Times New Roman" w:cs="Times New Roman"/>
                <w:caps w:val="0"/>
                <w:smallCaps w:val="0"/>
              </w:rPr>
              <w:t>00m</w:t>
            </w:r>
            <w:r>
              <w:rPr>
                <w:rFonts w:ascii="Times New Roman" w:hAnsi="Times New Roman" w:cs="Times New Roman"/>
                <w:caps w:val="0"/>
                <w:smallCaps w:val="0"/>
                <w:vertAlign w:val="superscript"/>
              </w:rPr>
              <w:t>3</w:t>
            </w:r>
          </w:p>
        </w:tc>
        <w:tc>
          <w:tcPr>
            <w:tcW w:w="1333" w:type="dxa"/>
            <w:tcBorders>
              <w:top w:val="single" w:color="auto" w:sz="4"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运行</w:t>
            </w:r>
          </w:p>
        </w:tc>
        <w:tc>
          <w:tcPr>
            <w:tcW w:w="1116" w:type="dxa"/>
            <w:tcBorders>
              <w:top w:val="single" w:color="auto" w:sz="4"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钢制</w:t>
            </w:r>
          </w:p>
        </w:tc>
        <w:tc>
          <w:tcPr>
            <w:tcW w:w="3062" w:type="dxa"/>
            <w:tcBorders>
              <w:top w:val="single" w:color="auto"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5</w:t>
            </w:r>
            <w:r>
              <w:rPr>
                <w:rFonts w:hint="eastAsia" w:ascii="Times New Roman" w:hAnsi="Times New Roman" w:cs="Times New Roman"/>
                <w:caps w:val="0"/>
                <w:smallCaps w:val="0"/>
                <w:lang w:val="en-US" w:eastAsia="zh-CN"/>
              </w:rPr>
              <w:t>5</w:t>
            </w:r>
            <w:r>
              <w:rPr>
                <w:rFonts w:hint="eastAsia" w:ascii="Times New Roman" w:hAnsi="Times New Roman" w:cs="Times New Roman"/>
                <w:caps w:val="0"/>
                <w:smallCaps w:val="0"/>
              </w:rPr>
              <w:t>00m</w:t>
            </w:r>
            <w:r>
              <w:rPr>
                <w:rFonts w:hint="eastAsia" w:ascii="Times New Roman" w:hAnsi="Times New Roman" w:cs="Times New Roman"/>
                <w:caps w:val="0"/>
                <w:smallCaps w:val="0"/>
                <w:vertAlign w:val="superscript"/>
              </w:rPr>
              <w:t>3</w:t>
            </w:r>
            <w:r>
              <w:rPr>
                <w:rFonts w:hint="eastAsia" w:ascii="Times New Roman" w:hAnsi="Times New Roman" w:cs="Times New Roman"/>
                <w:caps w:val="0"/>
                <w:smallCaps w:val="0"/>
              </w:rPr>
              <w:t>和500m</w:t>
            </w:r>
            <w:r>
              <w:rPr>
                <w:rFonts w:hint="eastAsia" w:ascii="Times New Roman" w:hAnsi="Times New Roman" w:cs="Times New Roman"/>
                <w:caps w:val="0"/>
                <w:smallCaps w:val="0"/>
                <w:vertAlign w:val="superscript"/>
              </w:rPr>
              <w:t>3</w:t>
            </w:r>
            <w:r>
              <w:rPr>
                <w:rFonts w:hint="eastAsia" w:ascii="Times New Roman" w:hAnsi="Times New Roman" w:cs="Times New Roman"/>
                <w:caps w:val="0"/>
                <w:smallCaps w:val="0"/>
              </w:rPr>
              <w:t>储罐各两个</w:t>
            </w:r>
            <w:r>
              <w:rPr>
                <w:rFonts w:hint="eastAsia" w:ascii="Times New Roman" w:hAnsi="Times New Roman" w:cs="Times New Roman"/>
                <w:caps w:val="0"/>
                <w:smallCaps w:val="0"/>
                <w:lang w:eastAsia="zh-CN"/>
              </w:rPr>
              <w:t>、</w:t>
            </w:r>
            <w:r>
              <w:rPr>
                <w:rFonts w:hint="eastAsia" w:ascii="Times New Roman" w:hAnsi="Times New Roman" w:cs="Times New Roman"/>
                <w:caps w:val="0"/>
                <w:smallCaps w:val="0"/>
                <w:lang w:val="en-US" w:eastAsia="zh-CN"/>
              </w:rPr>
              <w:t>1</w:t>
            </w:r>
            <w:r>
              <w:rPr>
                <w:rFonts w:hint="eastAsia" w:ascii="Times New Roman" w:hAnsi="Times New Roman" w:cs="Times New Roman"/>
                <w:caps w:val="0"/>
                <w:smallCaps w:val="0"/>
              </w:rPr>
              <w:t>个</w:t>
            </w:r>
            <w:r>
              <w:rPr>
                <w:rFonts w:hint="eastAsia" w:ascii="Times New Roman" w:hAnsi="Times New Roman" w:cs="Times New Roman"/>
                <w:caps w:val="0"/>
                <w:smallCaps w:val="0"/>
                <w:lang w:val="en-US" w:eastAsia="zh-CN"/>
              </w:rPr>
              <w:t>49</w:t>
            </w:r>
            <w:r>
              <w:rPr>
                <w:rFonts w:hint="eastAsia" w:ascii="Times New Roman" w:hAnsi="Times New Roman" w:cs="Times New Roman"/>
                <w:caps w:val="0"/>
                <w:smallCaps w:val="0"/>
              </w:rPr>
              <w:t>00m</w:t>
            </w:r>
            <w:r>
              <w:rPr>
                <w:rFonts w:hint="eastAsia" w:ascii="Times New Roman" w:hAnsi="Times New Roman" w:cs="Times New Roman"/>
                <w:caps w:val="0"/>
                <w:smallCaps w:val="0"/>
                <w:vertAlign w:val="superscript"/>
              </w:rPr>
              <w:t>3</w:t>
            </w:r>
            <w:r>
              <w:rPr>
                <w:rFonts w:hint="eastAsia" w:ascii="Times New Roman" w:hAnsi="Times New Roman" w:cs="Times New Roman"/>
                <w:caps w:val="0"/>
                <w:smallCaps w:val="0"/>
                <w:lang w:eastAsia="zh-CN"/>
              </w:rPr>
              <w:t>、</w:t>
            </w:r>
            <w:r>
              <w:rPr>
                <w:rFonts w:hint="eastAsia" w:ascii="Times New Roman" w:hAnsi="Times New Roman" w:cs="Times New Roman"/>
                <w:caps w:val="0"/>
                <w:smallCaps w:val="0"/>
                <w:lang w:val="en-US" w:eastAsia="zh-CN"/>
              </w:rPr>
              <w:t>3</w:t>
            </w:r>
            <w:r>
              <w:rPr>
                <w:rFonts w:hint="eastAsia" w:ascii="Times New Roman" w:hAnsi="Times New Roman" w:cs="Times New Roman"/>
                <w:caps w:val="0"/>
                <w:smallCaps w:val="0"/>
              </w:rPr>
              <w:t>个</w:t>
            </w:r>
            <w:r>
              <w:rPr>
                <w:rFonts w:hint="eastAsia" w:ascii="Times New Roman" w:hAnsi="Times New Roman" w:cs="Times New Roman"/>
                <w:caps w:val="0"/>
                <w:smallCaps w:val="0"/>
                <w:lang w:val="en-US" w:eastAsia="zh-CN"/>
              </w:rPr>
              <w:t>2</w:t>
            </w:r>
            <w:r>
              <w:rPr>
                <w:rFonts w:hint="eastAsia" w:ascii="Times New Roman" w:hAnsi="Times New Roman" w:cs="Times New Roman"/>
                <w:caps w:val="0"/>
                <w:smallCaps w:val="0"/>
              </w:rPr>
              <w:t>500m</w:t>
            </w:r>
            <w:r>
              <w:rPr>
                <w:rFonts w:hint="eastAsia" w:ascii="Times New Roman" w:hAnsi="Times New Roman" w:cs="Times New Roman"/>
                <w:caps w:val="0"/>
                <w:smallCaps w:val="0"/>
                <w:vertAlign w:val="superscript"/>
              </w:rPr>
              <w:t>3</w:t>
            </w:r>
          </w:p>
        </w:tc>
        <w:tc>
          <w:tcPr>
            <w:tcW w:w="860" w:type="dxa"/>
            <w:tcBorders>
              <w:top w:val="single" w:color="auto" w:sz="4" w:space="0"/>
            </w:tcBorders>
            <w:noWrap/>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本项目依托</w:t>
            </w:r>
          </w:p>
        </w:tc>
      </w:tr>
    </w:tbl>
    <w:p>
      <w:pPr>
        <w:pStyle w:val="109"/>
        <w:tabs>
          <w:tab w:val="left" w:pos="900"/>
        </w:tabs>
        <w:adjustRightInd w:val="0"/>
        <w:snapToGrid w:val="0"/>
        <w:spacing w:line="360" w:lineRule="auto"/>
        <w:ind w:firstLine="480"/>
        <w:rPr>
          <w:rFonts w:ascii="Times New Roman" w:hAnsi="Times New Roman" w:cs="Times New Roman" w:eastAsiaTheme="minorEastAsia"/>
          <w:caps w:val="0"/>
          <w:smallCaps w:val="0"/>
          <w:color w:val="000000"/>
        </w:rPr>
      </w:pPr>
    </w:p>
    <w:p>
      <w:pPr>
        <w:pStyle w:val="109"/>
        <w:tabs>
          <w:tab w:val="left" w:pos="900"/>
        </w:tabs>
        <w:adjustRightInd w:val="0"/>
        <w:snapToGrid w:val="0"/>
        <w:spacing w:line="360" w:lineRule="auto"/>
        <w:ind w:firstLine="480"/>
        <w:rPr>
          <w:rFonts w:hint="default" w:ascii="Times New Roman" w:hAnsi="Times New Roman" w:cs="Times New Roman" w:eastAsiaTheme="minorEastAsia"/>
          <w:caps w:val="0"/>
          <w:smallCaps w:val="0"/>
          <w:color w:val="000000"/>
          <w:lang w:val="en-US" w:eastAsia="zh-CN"/>
        </w:rPr>
      </w:pPr>
      <w:r>
        <w:rPr>
          <w:rFonts w:hint="eastAsia" w:cs="Times New Roman" w:eastAsiaTheme="minorEastAsia"/>
          <w:caps w:val="0"/>
          <w:smallCaps w:val="0"/>
          <w:color w:val="000000"/>
          <w:lang w:eastAsia="zh-CN"/>
        </w:rPr>
        <w:t>本码头装卸石油沥青，依托后方罐区基质沥青储罐储存。根据码头吞吐量设计能力，后方基质沥青储罐周转</w:t>
      </w:r>
      <w:r>
        <w:rPr>
          <w:rFonts w:hint="eastAsia" w:cs="Times New Roman" w:eastAsiaTheme="minorEastAsia"/>
          <w:caps w:val="0"/>
          <w:smallCaps w:val="0"/>
          <w:color w:val="000000"/>
          <w:lang w:val="en-US" w:eastAsia="zh-CN"/>
        </w:rPr>
        <w:t>10.3次/年可满足码头装卸25万吨基质沥青。因此，本码头依托后方罐区基质沥青储罐储存石油沥青是可行的。</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航道</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color w:val="000000"/>
          <w:kern w:val="2"/>
          <w:sz w:val="24"/>
          <w:szCs w:val="24"/>
        </w:rPr>
        <w:t>目前湘江（株洲航电枢纽-城陵矶）2000t级航道已于2015年建成投入使用，本码头前主航道现为Ⅱ级。本工程位于湘江干流右岸，面临湘江干流航道，码头前沿水域与湘江主航道直接相连，故无需新建进港航道。</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锚地</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color w:val="000000"/>
          <w:kern w:val="2"/>
          <w:sz w:val="24"/>
          <w:szCs w:val="24"/>
        </w:rPr>
      </w:pPr>
      <w:r>
        <w:rPr>
          <w:rFonts w:ascii="Times New Roman" w:hAnsi="Times New Roman" w:cs="Times New Roman" w:eastAsiaTheme="minorEastAsia"/>
          <w:caps w:val="0"/>
          <w:smallCaps w:val="0"/>
          <w:color w:val="000000"/>
          <w:kern w:val="2"/>
          <w:sz w:val="24"/>
          <w:szCs w:val="24"/>
        </w:rPr>
        <w:t>根据业主提供资料，本码头仅供船舶沥青卸货作业，且船舶停靠作业频率不高，基本不会发生船舶待港，无需设置专用锚地。</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装卸工艺</w:t>
      </w:r>
    </w:p>
    <w:p>
      <w:pPr>
        <w:pStyle w:val="7"/>
        <w:rPr>
          <w:rFonts w:ascii="Times New Roman" w:hAnsi="Times New Roman" w:cs="Times New Roman" w:eastAsiaTheme="minorEastAsia"/>
          <w:caps w:val="0"/>
          <w:smallCaps w:val="0"/>
        </w:rPr>
      </w:pPr>
      <w:bookmarkStart w:id="31" w:name="_Toc16689"/>
      <w:r>
        <w:rPr>
          <w:rFonts w:ascii="Times New Roman" w:hAnsi="Times New Roman" w:cs="Times New Roman" w:eastAsiaTheme="minorEastAsia"/>
          <w:caps w:val="0"/>
          <w:smallCaps w:val="0"/>
        </w:rPr>
        <w:t>主要设计参数</w:t>
      </w:r>
      <w:bookmarkEnd w:id="31"/>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⑴</w:t>
      </w:r>
      <w:r>
        <w:rPr>
          <w:rFonts w:ascii="Times New Roman" w:hAnsi="Times New Roman" w:cs="Times New Roman" w:eastAsiaTheme="minorEastAsia"/>
          <w:caps w:val="0"/>
          <w:smallCaps w:val="0"/>
          <w:sz w:val="24"/>
          <w:szCs w:val="24"/>
        </w:rPr>
        <w:t>各泊位承运货种及吞吐量：年吞吐量为</w:t>
      </w:r>
      <w:r>
        <w:rPr>
          <w:rFonts w:hint="eastAsia" w:ascii="Times New Roman" w:hAnsi="Times New Roman" w:cs="Times New Roman" w:eastAsiaTheme="minorEastAsia"/>
          <w:caps w:val="0"/>
          <w:smallCaps w:val="0"/>
          <w:sz w:val="24"/>
          <w:szCs w:val="24"/>
        </w:rPr>
        <w:t>25</w:t>
      </w:r>
      <w:r>
        <w:rPr>
          <w:rFonts w:ascii="Times New Roman" w:hAnsi="Times New Roman" w:cs="Times New Roman" w:eastAsiaTheme="minorEastAsia"/>
          <w:caps w:val="0"/>
          <w:smallCaps w:val="0"/>
          <w:sz w:val="24"/>
          <w:szCs w:val="24"/>
        </w:rPr>
        <w:t>万吨/年；</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⑵</w:t>
      </w:r>
      <w:r>
        <w:rPr>
          <w:rFonts w:ascii="Times New Roman" w:hAnsi="Times New Roman" w:cs="Times New Roman" w:eastAsiaTheme="minorEastAsia"/>
          <w:caps w:val="0"/>
          <w:smallCaps w:val="0"/>
          <w:sz w:val="24"/>
          <w:szCs w:val="24"/>
        </w:rPr>
        <w:t>设计代表船型：</w:t>
      </w:r>
      <w:r>
        <w:rPr>
          <w:rFonts w:hint="eastAsia" w:ascii="Times New Roman" w:hAnsi="Times New Roman" w:cs="Times New Roman" w:eastAsiaTheme="minorEastAsia"/>
          <w:caps w:val="0"/>
          <w:smallCaps w:val="0"/>
          <w:sz w:val="24"/>
          <w:szCs w:val="24"/>
        </w:rPr>
        <w:t>2</w:t>
      </w:r>
      <w:r>
        <w:rPr>
          <w:rFonts w:ascii="Times New Roman" w:hAnsi="Times New Roman" w:cs="Times New Roman" w:eastAsiaTheme="minorEastAsia"/>
          <w:caps w:val="0"/>
          <w:smallCaps w:val="0"/>
          <w:sz w:val="24"/>
          <w:szCs w:val="24"/>
        </w:rPr>
        <w:t>000吨级油船；</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⑶</w:t>
      </w:r>
      <w:r>
        <w:rPr>
          <w:rFonts w:ascii="Times New Roman" w:hAnsi="Times New Roman" w:cs="Times New Roman" w:eastAsiaTheme="minorEastAsia"/>
          <w:caps w:val="0"/>
          <w:smallCaps w:val="0"/>
          <w:sz w:val="24"/>
          <w:szCs w:val="24"/>
        </w:rPr>
        <w:t>码头作业天数：</w:t>
      </w:r>
      <w:r>
        <w:rPr>
          <w:rFonts w:hint="eastAsia" w:ascii="Times New Roman" w:hAnsi="Times New Roman" w:cs="Times New Roman" w:eastAsiaTheme="minorEastAsia"/>
          <w:caps w:val="0"/>
          <w:smallCaps w:val="0"/>
          <w:sz w:val="24"/>
          <w:szCs w:val="24"/>
        </w:rPr>
        <w:t>240</w:t>
      </w:r>
      <w:r>
        <w:rPr>
          <w:rFonts w:ascii="Times New Roman" w:hAnsi="Times New Roman" w:cs="Times New Roman" w:eastAsiaTheme="minorEastAsia"/>
          <w:caps w:val="0"/>
          <w:smallCaps w:val="0"/>
          <w:sz w:val="24"/>
          <w:szCs w:val="24"/>
        </w:rPr>
        <w:t>天；</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⑷</w:t>
      </w:r>
      <w:r>
        <w:rPr>
          <w:rFonts w:ascii="Times New Roman" w:hAnsi="Times New Roman" w:cs="Times New Roman" w:eastAsiaTheme="minorEastAsia"/>
          <w:caps w:val="0"/>
          <w:smallCaps w:val="0"/>
          <w:sz w:val="24"/>
          <w:szCs w:val="24"/>
        </w:rPr>
        <w:t>作业班制：三班制；</w:t>
      </w:r>
    </w:p>
    <w:p>
      <w:pPr>
        <w:pStyle w:val="315"/>
        <w:tabs>
          <w:tab w:val="right" w:leader="dot" w:pos="9070"/>
        </w:tabs>
        <w:adjustRightInd w:val="0"/>
        <w:snapToGrid w:val="0"/>
        <w:spacing w:line="360" w:lineRule="auto"/>
        <w:ind w:firstLine="480" w:firstLineChars="200"/>
        <w:jc w:val="both"/>
        <w:rPr>
          <w:rFonts w:hint="default" w:ascii="Times New Roman" w:hAnsi="Times New Roman" w:cs="Times New Roman" w:eastAsiaTheme="minorEastAsia"/>
          <w:caps w:val="0"/>
          <w:smallCaps w:val="0"/>
          <w:sz w:val="24"/>
          <w:szCs w:val="24"/>
          <w:lang w:val="en-US" w:eastAsia="zh-CN"/>
        </w:rPr>
      </w:pPr>
      <w:r>
        <w:rPr>
          <w:rFonts w:hint="eastAsia" w:ascii="Times New Roman" w:hAnsi="Times New Roman" w:cs="Times New Roman"/>
          <w:caps w:val="0"/>
          <w:smallCaps w:val="0"/>
          <w:sz w:val="24"/>
          <w:szCs w:val="24"/>
        </w:rPr>
        <w:t>⑸</w:t>
      </w:r>
      <w:r>
        <w:rPr>
          <w:rFonts w:ascii="Times New Roman" w:hAnsi="Times New Roman" w:cs="Times New Roman" w:eastAsiaTheme="minorEastAsia"/>
          <w:caps w:val="0"/>
          <w:smallCaps w:val="0"/>
          <w:sz w:val="24"/>
          <w:szCs w:val="24"/>
        </w:rPr>
        <w:t>生产定员：每班</w:t>
      </w:r>
      <w:r>
        <w:rPr>
          <w:rFonts w:hint="eastAsia" w:ascii="Times New Roman" w:hAnsi="Times New Roman" w:cs="Times New Roman" w:eastAsiaTheme="minorEastAsia"/>
          <w:caps w:val="0"/>
          <w:smallCaps w:val="0"/>
          <w:sz w:val="24"/>
          <w:szCs w:val="24"/>
        </w:rPr>
        <w:t>4</w:t>
      </w:r>
      <w:r>
        <w:rPr>
          <w:rFonts w:ascii="Times New Roman" w:hAnsi="Times New Roman" w:cs="Times New Roman" w:eastAsiaTheme="minorEastAsia"/>
          <w:caps w:val="0"/>
          <w:smallCaps w:val="0"/>
          <w:sz w:val="24"/>
          <w:szCs w:val="24"/>
        </w:rPr>
        <w:t>人/泊位，共计</w:t>
      </w:r>
      <w:r>
        <w:rPr>
          <w:rFonts w:hint="eastAsia" w:ascii="Times New Roman" w:hAnsi="Times New Roman" w:cs="Times New Roman" w:eastAsiaTheme="minorEastAsia"/>
          <w:caps w:val="0"/>
          <w:smallCaps w:val="0"/>
          <w:sz w:val="24"/>
          <w:szCs w:val="24"/>
        </w:rPr>
        <w:t>12</w:t>
      </w:r>
      <w:r>
        <w:rPr>
          <w:rFonts w:ascii="Times New Roman" w:hAnsi="Times New Roman" w:cs="Times New Roman" w:eastAsiaTheme="minorEastAsia"/>
          <w:caps w:val="0"/>
          <w:smallCaps w:val="0"/>
          <w:sz w:val="24"/>
          <w:szCs w:val="24"/>
        </w:rPr>
        <w:t>人；</w:t>
      </w:r>
      <w:r>
        <w:rPr>
          <w:rFonts w:hint="eastAsia" w:ascii="Times New Roman" w:hAnsi="Times New Roman" w:cs="Times New Roman" w:eastAsiaTheme="minorEastAsia"/>
          <w:caps w:val="0"/>
          <w:smallCaps w:val="0"/>
          <w:sz w:val="24"/>
          <w:szCs w:val="24"/>
          <w:lang w:eastAsia="zh-CN"/>
        </w:rPr>
        <w:t>另有管理人员</w:t>
      </w:r>
      <w:r>
        <w:rPr>
          <w:rFonts w:hint="eastAsia" w:ascii="Times New Roman" w:hAnsi="Times New Roman" w:cs="Times New Roman" w:eastAsiaTheme="minorEastAsia"/>
          <w:caps w:val="0"/>
          <w:smallCaps w:val="0"/>
          <w:sz w:val="24"/>
          <w:szCs w:val="24"/>
          <w:lang w:val="en-US" w:eastAsia="zh-CN"/>
        </w:rPr>
        <w:t>3人。</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⑹</w:t>
      </w:r>
      <w:r>
        <w:rPr>
          <w:rFonts w:ascii="Times New Roman" w:hAnsi="Times New Roman" w:cs="Times New Roman" w:eastAsiaTheme="minorEastAsia"/>
          <w:caps w:val="0"/>
          <w:smallCaps w:val="0"/>
          <w:sz w:val="24"/>
          <w:szCs w:val="24"/>
        </w:rPr>
        <w:t>泊位数：</w:t>
      </w:r>
      <w:r>
        <w:rPr>
          <w:rFonts w:hint="eastAsia" w:ascii="Times New Roman" w:hAnsi="Times New Roman" w:cs="Times New Roman" w:eastAsiaTheme="minorEastAsia"/>
          <w:caps w:val="0"/>
          <w:smallCaps w:val="0"/>
          <w:sz w:val="24"/>
          <w:szCs w:val="24"/>
        </w:rPr>
        <w:t>1</w:t>
      </w:r>
      <w:r>
        <w:rPr>
          <w:rFonts w:ascii="Times New Roman" w:hAnsi="Times New Roman" w:cs="Times New Roman" w:eastAsiaTheme="minorEastAsia"/>
          <w:caps w:val="0"/>
          <w:smallCaps w:val="0"/>
          <w:sz w:val="24"/>
          <w:szCs w:val="24"/>
        </w:rPr>
        <w:t>个。</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装卸工艺方案</w:t>
      </w:r>
    </w:p>
    <w:p>
      <w:pPr>
        <w:pStyle w:val="315"/>
        <w:tabs>
          <w:tab w:val="right" w:leader="dot" w:pos="9070"/>
        </w:tabs>
        <w:adjustRightInd w:val="0"/>
        <w:snapToGrid w:val="0"/>
        <w:spacing w:line="360" w:lineRule="auto"/>
        <w:ind w:firstLine="480" w:firstLineChars="200"/>
        <w:jc w:val="both"/>
        <w:rPr>
          <w:rFonts w:hint="eastAsia"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本方案采用浮码头结构形式，前沿设趸船，由活动钢引桥+固定引桥接岸。载船靠港后，通过船泵自</w:t>
      </w:r>
      <w:r>
        <w:rPr>
          <w:rFonts w:hint="eastAsia" w:cs="Times New Roman" w:eastAsiaTheme="minorEastAsia"/>
          <w:caps w:val="0"/>
          <w:smallCaps w:val="0"/>
          <w:sz w:val="24"/>
          <w:szCs w:val="24"/>
          <w:lang w:eastAsia="zh-CN"/>
        </w:rPr>
        <w:t>装</w:t>
      </w:r>
      <w:r>
        <w:rPr>
          <w:rFonts w:hint="eastAsia" w:ascii="Times New Roman" w:hAnsi="Times New Roman" w:cs="Times New Roman" w:eastAsiaTheme="minorEastAsia"/>
          <w:caps w:val="0"/>
          <w:smallCaps w:val="0"/>
          <w:sz w:val="24"/>
          <w:szCs w:val="24"/>
        </w:rPr>
        <w:t>卸，经由</w:t>
      </w:r>
      <w:r>
        <w:rPr>
          <w:rFonts w:hint="eastAsia" w:cs="Times New Roman" w:eastAsiaTheme="minorEastAsia"/>
          <w:caps w:val="0"/>
          <w:smallCaps w:val="0"/>
          <w:sz w:val="24"/>
          <w:szCs w:val="24"/>
          <w:lang w:eastAsia="zh-CN"/>
        </w:rPr>
        <w:t>装</w:t>
      </w:r>
      <w:r>
        <w:rPr>
          <w:rFonts w:hint="eastAsia" w:ascii="Times New Roman" w:hAnsi="Times New Roman" w:cs="Times New Roman" w:eastAsiaTheme="minorEastAsia"/>
          <w:caps w:val="0"/>
          <w:smallCaps w:val="0"/>
          <w:sz w:val="24"/>
          <w:szCs w:val="24"/>
        </w:rPr>
        <w:t>卸料软管、</w:t>
      </w:r>
      <w:r>
        <w:rPr>
          <w:rFonts w:hint="eastAsia" w:cs="Times New Roman" w:eastAsiaTheme="minorEastAsia"/>
          <w:caps w:val="0"/>
          <w:smallCaps w:val="0"/>
          <w:sz w:val="24"/>
          <w:szCs w:val="24"/>
          <w:lang w:eastAsia="zh-CN"/>
        </w:rPr>
        <w:t>装</w:t>
      </w:r>
      <w:r>
        <w:rPr>
          <w:rFonts w:hint="eastAsia" w:ascii="Times New Roman" w:hAnsi="Times New Roman" w:cs="Times New Roman" w:eastAsiaTheme="minorEastAsia"/>
          <w:caps w:val="0"/>
          <w:smallCaps w:val="0"/>
          <w:sz w:val="24"/>
          <w:szCs w:val="24"/>
        </w:rPr>
        <w:t>卸料固定管道系统输送至后方陆域接口。</w:t>
      </w:r>
      <w:r>
        <w:rPr>
          <w:rFonts w:hint="eastAsia" w:cs="Times New Roman" w:eastAsiaTheme="minorEastAsia"/>
          <w:caps w:val="0"/>
          <w:smallCaps w:val="0"/>
          <w:sz w:val="24"/>
          <w:szCs w:val="24"/>
          <w:lang w:eastAsia="zh-CN"/>
        </w:rPr>
        <w:t>装</w:t>
      </w:r>
      <w:r>
        <w:rPr>
          <w:rFonts w:hint="eastAsia" w:ascii="Times New Roman" w:hAnsi="Times New Roman" w:cs="Times New Roman" w:eastAsiaTheme="minorEastAsia"/>
          <w:caps w:val="0"/>
          <w:smallCaps w:val="0"/>
          <w:sz w:val="24"/>
          <w:szCs w:val="24"/>
        </w:rPr>
        <w:t>卸船完毕，用压缩空气将管线中的残余物料扫入后方罐区。扫线完毕，收起软管，船舶驶离码头。设置于码头前沿趸船的软管吊用于吊装工艺软管，辅助岸上与沥青船工艺管道的搭接。</w:t>
      </w:r>
    </w:p>
    <w:p>
      <w:pPr>
        <w:pStyle w:val="315"/>
        <w:tabs>
          <w:tab w:val="right" w:leader="dot" w:pos="9070"/>
        </w:tabs>
        <w:adjustRightInd w:val="0"/>
        <w:snapToGrid w:val="0"/>
        <w:spacing w:line="360" w:lineRule="auto"/>
        <w:ind w:firstLine="480" w:firstLineChars="200"/>
        <w:jc w:val="both"/>
        <w:rPr>
          <w:rFonts w:hint="eastAsia" w:ascii="Times New Roman" w:hAnsi="Times New Roman" w:cs="Times New Roman" w:eastAsiaTheme="minorEastAsia"/>
          <w:caps w:val="0"/>
          <w:smallCaps w:val="0"/>
          <w:sz w:val="24"/>
          <w:szCs w:val="24"/>
        </w:rPr>
      </w:pPr>
      <w:r>
        <w:rPr>
          <w:rFonts w:hint="eastAsia" w:cs="Times New Roman" w:eastAsiaTheme="minorEastAsia"/>
          <w:caps w:val="0"/>
          <w:smallCaps w:val="0"/>
          <w:sz w:val="24"/>
          <w:szCs w:val="24"/>
          <w:lang w:val="en-US" w:eastAsia="zh-CN"/>
        </w:rPr>
        <w:t>装</w:t>
      </w:r>
      <w:r>
        <w:rPr>
          <w:rFonts w:hint="eastAsia" w:ascii="Times New Roman" w:hAnsi="Times New Roman" w:cs="Times New Roman" w:eastAsiaTheme="minorEastAsia"/>
          <w:caps w:val="0"/>
          <w:smallCaps w:val="0"/>
          <w:sz w:val="24"/>
          <w:szCs w:val="24"/>
          <w:lang w:val="en-US" w:eastAsia="zh-CN"/>
        </w:rPr>
        <w:t>卸料管道系统采用伴热管道，在通径 150mm 装卸管外下部伴以两根通径 25 mm 热油管（由后方厂区供热），伴热管与主物料管之间填充导热胶泥，外再敷以保温材料，设计输送能力150m</w:t>
      </w:r>
      <w:r>
        <w:rPr>
          <w:rFonts w:hint="eastAsia" w:ascii="Times New Roman" w:hAnsi="Times New Roman" w:cs="Times New Roman" w:eastAsiaTheme="minorEastAsia"/>
          <w:caps w:val="0"/>
          <w:smallCaps w:val="0"/>
          <w:sz w:val="24"/>
          <w:szCs w:val="24"/>
          <w:vertAlign w:val="superscript"/>
          <w:lang w:val="en-US" w:eastAsia="zh-CN"/>
        </w:rPr>
        <w:t>3</w:t>
      </w:r>
      <w:r>
        <w:rPr>
          <w:rFonts w:hint="eastAsia" w:ascii="Times New Roman" w:hAnsi="Times New Roman" w:cs="Times New Roman" w:eastAsiaTheme="minorEastAsia"/>
          <w:caps w:val="0"/>
          <w:smallCaps w:val="0"/>
          <w:sz w:val="24"/>
          <w:szCs w:val="24"/>
          <w:lang w:val="en-US" w:eastAsia="zh-CN"/>
        </w:rPr>
        <w:t xml:space="preserve"> /h，趸船与活动钢引桥、活动钢引桥与桥台的连接均采用金属软管连接。</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本项目为浮式码头结构形式，布置</w:t>
      </w:r>
      <w:r>
        <w:rPr>
          <w:rFonts w:hint="eastAsia" w:ascii="Times New Roman" w:hAnsi="Times New Roman" w:cs="Times New Roman" w:eastAsiaTheme="minorEastAsia"/>
          <w:caps w:val="0"/>
          <w:smallCaps w:val="0"/>
          <w:sz w:val="24"/>
          <w:szCs w:val="24"/>
        </w:rPr>
        <w:t>1</w:t>
      </w:r>
      <w:r>
        <w:rPr>
          <w:rFonts w:ascii="Times New Roman" w:hAnsi="Times New Roman" w:cs="Times New Roman" w:eastAsiaTheme="minorEastAsia"/>
          <w:caps w:val="0"/>
          <w:smallCaps w:val="0"/>
          <w:sz w:val="24"/>
          <w:szCs w:val="24"/>
        </w:rPr>
        <w:t>个</w:t>
      </w:r>
      <w:r>
        <w:rPr>
          <w:rFonts w:hint="eastAsia" w:ascii="Times New Roman" w:hAnsi="Times New Roman" w:cs="Times New Roman" w:eastAsiaTheme="minorEastAsia"/>
          <w:caps w:val="0"/>
          <w:smallCaps w:val="0"/>
          <w:sz w:val="24"/>
          <w:szCs w:val="24"/>
        </w:rPr>
        <w:t>2</w:t>
      </w:r>
      <w:r>
        <w:rPr>
          <w:rFonts w:ascii="Times New Roman" w:hAnsi="Times New Roman" w:cs="Times New Roman" w:eastAsiaTheme="minorEastAsia"/>
          <w:caps w:val="0"/>
          <w:smallCaps w:val="0"/>
          <w:sz w:val="24"/>
          <w:szCs w:val="24"/>
        </w:rPr>
        <w:t>000吨级</w:t>
      </w:r>
      <w:r>
        <w:rPr>
          <w:rFonts w:hint="eastAsia" w:ascii="Times New Roman" w:hAnsi="Times New Roman" w:cs="Times New Roman" w:eastAsiaTheme="minorEastAsia"/>
          <w:caps w:val="0"/>
          <w:smallCaps w:val="0"/>
          <w:sz w:val="24"/>
          <w:szCs w:val="24"/>
        </w:rPr>
        <w:t>沥青</w:t>
      </w:r>
      <w:r>
        <w:rPr>
          <w:rFonts w:ascii="Times New Roman" w:hAnsi="Times New Roman" w:cs="Times New Roman" w:eastAsiaTheme="minorEastAsia"/>
          <w:caps w:val="0"/>
          <w:smallCaps w:val="0"/>
          <w:sz w:val="24"/>
          <w:szCs w:val="24"/>
        </w:rPr>
        <w:t>泊位。</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cs="Times New Roman" w:eastAsiaTheme="minorEastAsia"/>
          <w:caps w:val="0"/>
          <w:smallCaps w:val="0"/>
          <w:sz w:val="24"/>
          <w:szCs w:val="24"/>
          <w:lang w:eastAsia="zh-CN"/>
        </w:rPr>
        <w:t>（</w:t>
      </w:r>
      <w:r>
        <w:rPr>
          <w:rFonts w:hint="eastAsia" w:cs="Times New Roman" w:eastAsiaTheme="minorEastAsia"/>
          <w:caps w:val="0"/>
          <w:smallCaps w:val="0"/>
          <w:sz w:val="24"/>
          <w:szCs w:val="24"/>
          <w:lang w:val="en-US" w:eastAsia="zh-CN"/>
        </w:rPr>
        <w:t>1</w:t>
      </w:r>
      <w:r>
        <w:rPr>
          <w:rFonts w:hint="eastAsia" w:cs="Times New Roman" w:eastAsiaTheme="minorEastAsia"/>
          <w:caps w:val="0"/>
          <w:smallCaps w:val="0"/>
          <w:sz w:val="24"/>
          <w:szCs w:val="24"/>
          <w:lang w:eastAsia="zh-CN"/>
        </w:rPr>
        <w:t>）</w:t>
      </w:r>
      <w:r>
        <w:rPr>
          <w:rFonts w:ascii="Times New Roman" w:hAnsi="Times New Roman" w:cs="Times New Roman" w:eastAsiaTheme="minorEastAsia"/>
          <w:caps w:val="0"/>
          <w:smallCaps w:val="0"/>
          <w:sz w:val="24"/>
          <w:szCs w:val="24"/>
        </w:rPr>
        <w:t>卸船流程</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载船→</w:t>
      </w:r>
      <w:r>
        <w:rPr>
          <w:rFonts w:hint="eastAsia" w:cs="Times New Roman" w:eastAsiaTheme="minorEastAsia"/>
          <w:caps w:val="0"/>
          <w:smallCaps w:val="0"/>
          <w:sz w:val="24"/>
          <w:szCs w:val="24"/>
          <w:lang w:eastAsia="zh-CN"/>
        </w:rPr>
        <w:t>卸</w:t>
      </w:r>
      <w:r>
        <w:rPr>
          <w:rFonts w:ascii="Times New Roman" w:hAnsi="Times New Roman" w:cs="Times New Roman" w:eastAsiaTheme="minorEastAsia"/>
          <w:caps w:val="0"/>
          <w:smallCaps w:val="0"/>
          <w:sz w:val="24"/>
          <w:szCs w:val="24"/>
        </w:rPr>
        <w:t>船泵→卸料软管→</w:t>
      </w:r>
      <w:r>
        <w:rPr>
          <w:rFonts w:hint="eastAsia" w:cs="Times New Roman" w:eastAsiaTheme="minorEastAsia"/>
          <w:caps w:val="0"/>
          <w:smallCaps w:val="0"/>
          <w:sz w:val="24"/>
          <w:szCs w:val="24"/>
          <w:lang w:eastAsia="zh-CN"/>
        </w:rPr>
        <w:t>活动钢引桥</w:t>
      </w:r>
      <w:r>
        <w:rPr>
          <w:rFonts w:ascii="Times New Roman" w:hAnsi="Times New Roman" w:cs="Times New Roman" w:eastAsiaTheme="minorEastAsia"/>
          <w:caps w:val="0"/>
          <w:smallCaps w:val="0"/>
          <w:sz w:val="24"/>
          <w:szCs w:val="24"/>
        </w:rPr>
        <w:t>→卸料固定管道系统→后方陆域管线</w:t>
      </w:r>
    </w:p>
    <w:p>
      <w:pPr>
        <w:pStyle w:val="315"/>
        <w:tabs>
          <w:tab w:val="right" w:leader="dot" w:pos="9070"/>
        </w:tabs>
        <w:adjustRightInd w:val="0"/>
        <w:snapToGrid w:val="0"/>
        <w:spacing w:line="360" w:lineRule="auto"/>
        <w:ind w:firstLine="480" w:firstLineChars="200"/>
        <w:jc w:val="both"/>
        <w:rPr>
          <w:rFonts w:hint="eastAsia" w:cs="Times New Roman" w:eastAsiaTheme="minorEastAsia"/>
          <w:caps w:val="0"/>
          <w:smallCaps w:val="0"/>
          <w:sz w:val="24"/>
          <w:szCs w:val="24"/>
          <w:lang w:eastAsia="zh-CN"/>
        </w:rPr>
      </w:pPr>
      <w:r>
        <w:rPr>
          <w:rFonts w:hint="eastAsia" w:cs="Times New Roman" w:eastAsiaTheme="minorEastAsia"/>
          <w:caps w:val="0"/>
          <w:smallCaps w:val="0"/>
          <w:sz w:val="24"/>
          <w:szCs w:val="24"/>
          <w:lang w:eastAsia="zh-CN"/>
        </w:rPr>
        <w:t>（</w:t>
      </w:r>
      <w:r>
        <w:rPr>
          <w:rFonts w:hint="eastAsia" w:cs="Times New Roman" w:eastAsiaTheme="minorEastAsia"/>
          <w:caps w:val="0"/>
          <w:smallCaps w:val="0"/>
          <w:sz w:val="24"/>
          <w:szCs w:val="24"/>
          <w:lang w:val="en-US" w:eastAsia="zh-CN"/>
        </w:rPr>
        <w:t>2</w:t>
      </w:r>
      <w:r>
        <w:rPr>
          <w:rFonts w:hint="eastAsia" w:cs="Times New Roman" w:eastAsiaTheme="minorEastAsia"/>
          <w:caps w:val="0"/>
          <w:smallCaps w:val="0"/>
          <w:sz w:val="24"/>
          <w:szCs w:val="24"/>
          <w:lang w:eastAsia="zh-CN"/>
        </w:rPr>
        <w:t>）装船流程</w:t>
      </w:r>
    </w:p>
    <w:p>
      <w:pPr>
        <w:pStyle w:val="315"/>
        <w:tabs>
          <w:tab w:val="right" w:leader="dot" w:pos="9070"/>
        </w:tabs>
        <w:adjustRightInd w:val="0"/>
        <w:snapToGrid w:val="0"/>
        <w:spacing w:line="360" w:lineRule="auto"/>
        <w:ind w:firstLine="480" w:firstLineChars="200"/>
        <w:jc w:val="both"/>
        <w:rPr>
          <w:rFonts w:hint="eastAsia" w:cs="Times New Roman" w:eastAsiaTheme="minorEastAsia"/>
          <w:caps w:val="0"/>
          <w:smallCaps w:val="0"/>
          <w:sz w:val="24"/>
          <w:szCs w:val="24"/>
          <w:lang w:eastAsia="zh-CN"/>
        </w:rPr>
      </w:pPr>
      <w:r>
        <w:rPr>
          <w:rFonts w:hint="eastAsia" w:cs="Times New Roman" w:eastAsiaTheme="minorEastAsia"/>
          <w:caps w:val="0"/>
          <w:smallCaps w:val="0"/>
          <w:sz w:val="24"/>
          <w:szCs w:val="24"/>
          <w:lang w:eastAsia="zh-CN"/>
        </w:rPr>
        <w:t>储罐、罐区管线</w:t>
      </w:r>
      <w:r>
        <w:rPr>
          <w:rFonts w:ascii="Times New Roman" w:hAnsi="Times New Roman" w:cs="Times New Roman" w:eastAsiaTheme="minorEastAsia"/>
          <w:caps w:val="0"/>
          <w:smallCaps w:val="0"/>
          <w:sz w:val="24"/>
          <w:szCs w:val="24"/>
        </w:rPr>
        <w:t>→</w:t>
      </w:r>
      <w:r>
        <w:rPr>
          <w:rFonts w:hint="eastAsia" w:cs="Times New Roman" w:eastAsiaTheme="minorEastAsia"/>
          <w:caps w:val="0"/>
          <w:smallCaps w:val="0"/>
          <w:sz w:val="24"/>
          <w:szCs w:val="24"/>
          <w:lang w:eastAsia="zh-CN"/>
        </w:rPr>
        <w:t>装卸固定管道</w:t>
      </w:r>
      <w:r>
        <w:rPr>
          <w:rFonts w:ascii="Times New Roman" w:hAnsi="Times New Roman" w:cs="Times New Roman" w:eastAsiaTheme="minorEastAsia"/>
          <w:caps w:val="0"/>
          <w:smallCaps w:val="0"/>
          <w:sz w:val="24"/>
          <w:szCs w:val="24"/>
        </w:rPr>
        <w:t>→</w:t>
      </w:r>
      <w:r>
        <w:rPr>
          <w:rFonts w:hint="eastAsia" w:cs="Times New Roman" w:eastAsiaTheme="minorEastAsia"/>
          <w:caps w:val="0"/>
          <w:smallCaps w:val="0"/>
          <w:sz w:val="24"/>
          <w:szCs w:val="24"/>
          <w:lang w:eastAsia="zh-CN"/>
        </w:rPr>
        <w:t>装船泵</w:t>
      </w:r>
      <w:r>
        <w:rPr>
          <w:rFonts w:ascii="Times New Roman" w:hAnsi="Times New Roman" w:cs="Times New Roman" w:eastAsiaTheme="minorEastAsia"/>
          <w:caps w:val="0"/>
          <w:smallCaps w:val="0"/>
          <w:sz w:val="24"/>
          <w:szCs w:val="24"/>
        </w:rPr>
        <w:t>→</w:t>
      </w:r>
      <w:r>
        <w:rPr>
          <w:rFonts w:hint="eastAsia" w:cs="Times New Roman" w:eastAsiaTheme="minorEastAsia"/>
          <w:caps w:val="0"/>
          <w:smallCaps w:val="0"/>
          <w:sz w:val="24"/>
          <w:szCs w:val="24"/>
          <w:lang w:eastAsia="zh-CN"/>
        </w:rPr>
        <w:t>活动钢引桥</w:t>
      </w:r>
      <w:r>
        <w:rPr>
          <w:rFonts w:ascii="Times New Roman" w:hAnsi="Times New Roman" w:cs="Times New Roman" w:eastAsiaTheme="minorEastAsia"/>
          <w:caps w:val="0"/>
          <w:smallCaps w:val="0"/>
          <w:sz w:val="24"/>
          <w:szCs w:val="24"/>
        </w:rPr>
        <w:t>→</w:t>
      </w:r>
      <w:r>
        <w:rPr>
          <w:rFonts w:hint="eastAsia" w:cs="Times New Roman" w:eastAsiaTheme="minorEastAsia"/>
          <w:caps w:val="0"/>
          <w:smallCaps w:val="0"/>
          <w:sz w:val="24"/>
          <w:szCs w:val="24"/>
          <w:lang w:eastAsia="zh-CN"/>
        </w:rPr>
        <w:t>趸船工艺管线</w:t>
      </w:r>
      <w:r>
        <w:rPr>
          <w:rFonts w:ascii="Times New Roman" w:hAnsi="Times New Roman" w:cs="Times New Roman" w:eastAsiaTheme="minorEastAsia"/>
          <w:caps w:val="0"/>
          <w:smallCaps w:val="0"/>
          <w:sz w:val="24"/>
          <w:szCs w:val="24"/>
        </w:rPr>
        <w:t>→</w:t>
      </w:r>
      <w:r>
        <w:rPr>
          <w:rFonts w:hint="eastAsia" w:cs="Times New Roman" w:eastAsiaTheme="minorEastAsia"/>
          <w:caps w:val="0"/>
          <w:smallCaps w:val="0"/>
          <w:sz w:val="24"/>
          <w:szCs w:val="24"/>
          <w:lang w:eastAsia="zh-CN"/>
        </w:rPr>
        <w:t>运输船</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cs="Times New Roman" w:eastAsiaTheme="minorEastAsia"/>
          <w:caps w:val="0"/>
          <w:smallCaps w:val="0"/>
          <w:sz w:val="24"/>
          <w:szCs w:val="24"/>
          <w:lang w:eastAsia="zh-CN"/>
        </w:rPr>
        <w:t>（</w:t>
      </w:r>
      <w:r>
        <w:rPr>
          <w:rFonts w:hint="eastAsia" w:cs="Times New Roman" w:eastAsiaTheme="minorEastAsia"/>
          <w:caps w:val="0"/>
          <w:smallCaps w:val="0"/>
          <w:sz w:val="24"/>
          <w:szCs w:val="24"/>
          <w:lang w:val="en-US" w:eastAsia="zh-CN"/>
        </w:rPr>
        <w:t>3</w:t>
      </w:r>
      <w:r>
        <w:rPr>
          <w:rFonts w:hint="eastAsia"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rPr>
        <w:t>扫线</w:t>
      </w:r>
      <w:r>
        <w:rPr>
          <w:rFonts w:ascii="Times New Roman" w:hAnsi="Times New Roman" w:cs="Times New Roman" w:eastAsiaTheme="minorEastAsia"/>
          <w:caps w:val="0"/>
          <w:smallCaps w:val="0"/>
          <w:sz w:val="24"/>
          <w:szCs w:val="24"/>
        </w:rPr>
        <w:t>流程</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每次装卸作业完毕，</w:t>
      </w:r>
      <w:r>
        <w:rPr>
          <w:rFonts w:hint="eastAsia" w:ascii="Times New Roman" w:hAnsi="Times New Roman" w:cs="Times New Roman" w:eastAsiaTheme="minorEastAsia"/>
          <w:caps w:val="0"/>
          <w:smallCaps w:val="0"/>
          <w:sz w:val="24"/>
          <w:szCs w:val="24"/>
        </w:rPr>
        <w:t>用压缩空气将管线中的残余物料扫入后方罐区。</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装卸设备</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本项目设备均为新购置，主要装卸设备配置如下：</w:t>
      </w:r>
    </w:p>
    <w:p>
      <w:pPr>
        <w:pStyle w:val="315"/>
        <w:tabs>
          <w:tab w:val="right" w:leader="dot" w:pos="9070"/>
        </w:tabs>
        <w:adjustRightInd w:val="0"/>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 xml:space="preserve">6-8 </w:t>
      </w:r>
      <w:r>
        <w:rPr>
          <w:rFonts w:hint="eastAsia" w:ascii="Times New Roman" w:hAnsi="Times New Roman" w:cs="Times New Roman" w:eastAsiaTheme="minorEastAsia"/>
          <w:b/>
          <w:caps w:val="0"/>
          <w:smallCaps w:val="0"/>
          <w:color w:val="000000"/>
          <w:sz w:val="24"/>
          <w:szCs w:val="24"/>
        </w:rPr>
        <w:t>主要装卸设备配置一览表</w:t>
      </w:r>
    </w:p>
    <w:tbl>
      <w:tblPr>
        <w:tblStyle w:val="71"/>
        <w:tblW w:w="500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0" w:type="dxa"/>
        </w:tblCellMar>
      </w:tblPr>
      <w:tblGrid>
        <w:gridCol w:w="813"/>
        <w:gridCol w:w="2092"/>
        <w:gridCol w:w="1828"/>
        <w:gridCol w:w="1415"/>
        <w:gridCol w:w="1755"/>
        <w:gridCol w:w="130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0" w:type="dxa"/>
          </w:tblCellMar>
        </w:tblPrEx>
        <w:trPr>
          <w:trHeight w:val="340" w:hRule="atLeast"/>
          <w:tblHeader/>
          <w:jc w:val="center"/>
        </w:trPr>
        <w:tc>
          <w:tcPr>
            <w:tcW w:w="441"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1135"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名称</w:t>
            </w:r>
          </w:p>
        </w:tc>
        <w:tc>
          <w:tcPr>
            <w:tcW w:w="992"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规格及型号</w:t>
            </w:r>
          </w:p>
        </w:tc>
        <w:tc>
          <w:tcPr>
            <w:tcW w:w="768"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数量</w:t>
            </w:r>
          </w:p>
        </w:tc>
        <w:tc>
          <w:tcPr>
            <w:tcW w:w="952"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单台功率（KW）</w:t>
            </w:r>
          </w:p>
        </w:tc>
        <w:tc>
          <w:tcPr>
            <w:tcW w:w="708"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41"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135"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软管吊</w:t>
            </w:r>
          </w:p>
        </w:tc>
        <w:tc>
          <w:tcPr>
            <w:tcW w:w="992"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2t</w:t>
            </w:r>
          </w:p>
        </w:tc>
        <w:tc>
          <w:tcPr>
            <w:tcW w:w="768"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1台</w:t>
            </w:r>
          </w:p>
        </w:tc>
        <w:tc>
          <w:tcPr>
            <w:tcW w:w="952"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15</w:t>
            </w:r>
          </w:p>
        </w:tc>
        <w:tc>
          <w:tcPr>
            <w:tcW w:w="708" w:type="pct"/>
            <w:tcMar>
              <w:top w:w="0" w:type="dxa"/>
              <w:bottom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41"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w:t>
            </w:r>
          </w:p>
        </w:tc>
        <w:tc>
          <w:tcPr>
            <w:tcW w:w="1135"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eastAsia="zh-CN"/>
              </w:rPr>
              <w:t>装</w:t>
            </w:r>
            <w:r>
              <w:rPr>
                <w:rFonts w:hint="eastAsia" w:ascii="Times New Roman" w:hAnsi="Times New Roman" w:cs="Times New Roman"/>
                <w:caps w:val="0"/>
                <w:smallCaps w:val="0"/>
              </w:rPr>
              <w:t>卸料软管</w:t>
            </w:r>
          </w:p>
        </w:tc>
        <w:tc>
          <w:tcPr>
            <w:tcW w:w="992"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D150，35m</w:t>
            </w:r>
          </w:p>
        </w:tc>
        <w:tc>
          <w:tcPr>
            <w:tcW w:w="768" w:type="pct"/>
            <w:tcMar>
              <w:top w:w="0" w:type="dxa"/>
              <w:bottom w:w="0" w:type="dxa"/>
              <w:right w:w="0" w:type="dxa"/>
            </w:tcMar>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rPr>
              <w:t>1</w:t>
            </w:r>
            <w:r>
              <w:rPr>
                <w:rFonts w:hint="eastAsia" w:ascii="Times New Roman" w:hAnsi="Times New Roman" w:cs="Times New Roman"/>
                <w:caps w:val="0"/>
                <w:smallCaps w:val="0"/>
                <w:lang w:eastAsia="zh-CN"/>
              </w:rPr>
              <w:t>套</w:t>
            </w:r>
          </w:p>
        </w:tc>
        <w:tc>
          <w:tcPr>
            <w:tcW w:w="952" w:type="pct"/>
            <w:noWrap/>
            <w:tcMar>
              <w:top w:w="0" w:type="dxa"/>
              <w:bottom w:w="0" w:type="dxa"/>
              <w:right w:w="0" w:type="dxa"/>
            </w:tcMar>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w:t>
            </w:r>
          </w:p>
        </w:tc>
        <w:tc>
          <w:tcPr>
            <w:tcW w:w="708" w:type="pct"/>
            <w:tcMar>
              <w:top w:w="0" w:type="dxa"/>
              <w:bottom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41"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w:t>
            </w:r>
          </w:p>
        </w:tc>
        <w:tc>
          <w:tcPr>
            <w:tcW w:w="1135"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eastAsia="zh-CN"/>
              </w:rPr>
              <w:t>装</w:t>
            </w:r>
            <w:r>
              <w:rPr>
                <w:rFonts w:hint="eastAsia" w:ascii="Times New Roman" w:hAnsi="Times New Roman" w:cs="Times New Roman"/>
                <w:caps w:val="0"/>
                <w:smallCaps w:val="0"/>
              </w:rPr>
              <w:t>卸料固定管道系统</w:t>
            </w:r>
          </w:p>
        </w:tc>
        <w:tc>
          <w:tcPr>
            <w:tcW w:w="992"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D150，168m</w:t>
            </w:r>
          </w:p>
        </w:tc>
        <w:tc>
          <w:tcPr>
            <w:tcW w:w="768" w:type="pct"/>
            <w:tcMar>
              <w:top w:w="0" w:type="dxa"/>
              <w:bottom w:w="0" w:type="dxa"/>
              <w:right w:w="0" w:type="dxa"/>
            </w:tcMar>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rPr>
              <w:t>2</w:t>
            </w:r>
            <w:r>
              <w:rPr>
                <w:rFonts w:hint="eastAsia" w:ascii="Times New Roman" w:hAnsi="Times New Roman" w:cs="Times New Roman"/>
                <w:caps w:val="0"/>
                <w:smallCaps w:val="0"/>
                <w:lang w:eastAsia="zh-CN"/>
              </w:rPr>
              <w:t>套</w:t>
            </w:r>
          </w:p>
        </w:tc>
        <w:tc>
          <w:tcPr>
            <w:tcW w:w="952" w:type="pct"/>
            <w:noWrap/>
            <w:tcMar>
              <w:top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w:t>
            </w:r>
          </w:p>
        </w:tc>
        <w:tc>
          <w:tcPr>
            <w:tcW w:w="708"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一备一用</w:t>
            </w:r>
          </w:p>
        </w:tc>
      </w:tr>
    </w:tbl>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水工建筑物</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本项目码头结构型式为浮码头，水工建筑物主要包括</w:t>
      </w:r>
      <w:r>
        <w:rPr>
          <w:rFonts w:hint="eastAsia" w:ascii="Times New Roman" w:hAnsi="Times New Roman" w:cs="Times New Roman" w:eastAsiaTheme="minorEastAsia"/>
          <w:caps w:val="0"/>
          <w:smallCaps w:val="0"/>
          <w:sz w:val="24"/>
          <w:szCs w:val="24"/>
        </w:rPr>
        <w:t>括码头平台、引桥等，水工建筑物等级为Ⅱ级，设计使用年限50年。</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拆除原斜坡码头并进行复绿，新建码头采用浮码头结构方案。码头主要由钢质趸船、42m活动钢引桥、搭接平台、固定引桥等组成。</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码头前沿设60.0m钢质趸船一艘，由两侧定位桩进行固定，每侧定位桩由三根直径为1.5m的钻孔灌注桩（带永久钢护筒）组成，上部设直径1.2m钢管桩，钢管桩之间由直径0.8m的钢管进行连接。</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趸船通过活动钢引桥与后方搭接平台连接，活动钢引桥长42m，宽3m，搭接平台平面尺寸6×6m，搭接平台通过固定引桥与后方陆域连接。固定引桥长119.2m，宽3.75m，共6跨，单跨20m，上部结构由三块预应力空心板及上部现浇的面板结构组成。预应力空心板下设C</w:t>
      </w:r>
      <w:r>
        <w:rPr>
          <w:rFonts w:hint="eastAsia" w:ascii="Times New Roman" w:hAnsi="Times New Roman" w:cs="Times New Roman" w:eastAsiaTheme="minorEastAsia"/>
          <w:caps w:val="0"/>
          <w:smallCaps w:val="0"/>
          <w:sz w:val="24"/>
          <w:szCs w:val="24"/>
          <w:vertAlign w:val="subscript"/>
        </w:rPr>
        <w:t>35</w:t>
      </w:r>
      <w:r>
        <w:rPr>
          <w:rFonts w:hint="eastAsia" w:ascii="Times New Roman" w:hAnsi="Times New Roman" w:cs="Times New Roman" w:eastAsiaTheme="minorEastAsia"/>
          <w:caps w:val="0"/>
          <w:smallCaps w:val="0"/>
          <w:sz w:val="24"/>
          <w:szCs w:val="24"/>
        </w:rPr>
        <w:t>钢筋砼盖梁，盖梁尺寸为4.35×2.0×1.2m。基础由立柱和钻孔灌注桩组成，钻孔灌注桩与立柱直径均为1.2m。引桥两侧设护轮坎和栏杆。</w:t>
      </w:r>
    </w:p>
    <w:p>
      <w:pPr>
        <w:pStyle w:val="6"/>
        <w:rPr>
          <w:rFonts w:ascii="Times New Roman" w:hAnsi="Times New Roman" w:cs="Times New Roman" w:eastAsiaTheme="minorEastAsia"/>
          <w:caps w:val="0"/>
          <w:smallCaps w:val="0"/>
        </w:rPr>
      </w:pPr>
      <w:bookmarkStart w:id="32" w:name="_Toc14611"/>
      <w:r>
        <w:rPr>
          <w:rFonts w:ascii="Times New Roman" w:hAnsi="Times New Roman" w:cs="Times New Roman" w:eastAsiaTheme="minorEastAsia"/>
          <w:caps w:val="0"/>
          <w:smallCaps w:val="0"/>
        </w:rPr>
        <w:t>建设用地方案</w:t>
      </w:r>
      <w:bookmarkEnd w:id="32"/>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w:t>
      </w:r>
      <w:r>
        <w:rPr>
          <w:rFonts w:hint="eastAsia" w:ascii="Times New Roman" w:hAnsi="Times New Roman" w:cs="Times New Roman" w:eastAsiaTheme="minorEastAsia"/>
          <w:caps w:val="0"/>
          <w:smallCaps w:val="0"/>
          <w:sz w:val="24"/>
          <w:szCs w:val="24"/>
        </w:rPr>
        <w:t>项目</w:t>
      </w:r>
      <w:r>
        <w:rPr>
          <w:rFonts w:ascii="Times New Roman" w:hAnsi="Times New Roman" w:cs="Times New Roman" w:eastAsiaTheme="minorEastAsia"/>
          <w:caps w:val="0"/>
          <w:smallCaps w:val="0"/>
          <w:sz w:val="24"/>
          <w:szCs w:val="24"/>
        </w:rPr>
        <w:t>提质改造陆域工程依托后方已建罐区，水域码头部分与后方陆域配套设施的设计分界点在码头引桥与</w:t>
      </w:r>
      <w:r>
        <w:rPr>
          <w:rFonts w:hint="eastAsia" w:ascii="Times New Roman" w:hAnsi="Times New Roman" w:cs="Times New Roman" w:eastAsiaTheme="minorEastAsia"/>
          <w:caps w:val="0"/>
          <w:smallCaps w:val="0"/>
          <w:sz w:val="24"/>
          <w:szCs w:val="24"/>
        </w:rPr>
        <w:t>湘</w:t>
      </w:r>
      <w:r>
        <w:rPr>
          <w:rFonts w:ascii="Times New Roman" w:hAnsi="Times New Roman" w:cs="Times New Roman" w:eastAsiaTheme="minorEastAsia"/>
          <w:caps w:val="0"/>
          <w:smallCaps w:val="0"/>
          <w:sz w:val="24"/>
          <w:szCs w:val="24"/>
        </w:rPr>
        <w:t>江大堤外坡顶交汇处（含跨堤桁架）。本项目不涉及新增占地。</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配套工程</w:t>
      </w:r>
    </w:p>
    <w:p>
      <w:pPr>
        <w:pStyle w:val="7"/>
        <w:rPr>
          <w:rFonts w:ascii="Times New Roman" w:hAnsi="Times New Roman" w:cs="Times New Roman" w:eastAsiaTheme="minorEastAsia"/>
          <w:caps w:val="0"/>
          <w:smallCaps w:val="0"/>
        </w:rPr>
      </w:pPr>
      <w:bookmarkStart w:id="33" w:name="_Toc5221"/>
      <w:r>
        <w:rPr>
          <w:rFonts w:ascii="Times New Roman" w:hAnsi="Times New Roman" w:cs="Times New Roman" w:eastAsiaTheme="minorEastAsia"/>
          <w:caps w:val="0"/>
          <w:smallCaps w:val="0"/>
        </w:rPr>
        <w:t>供电及照明</w:t>
      </w:r>
      <w:bookmarkEnd w:id="33"/>
      <w:r>
        <w:rPr>
          <w:rFonts w:ascii="Times New Roman" w:hAnsi="Times New Roman" w:cs="Times New Roman" w:eastAsiaTheme="minorEastAsia"/>
          <w:caps w:val="0"/>
          <w:smallCaps w:val="0"/>
        </w:rPr>
        <w:t>系统</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1、供电电源</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w:t>
      </w:r>
      <w:r>
        <w:rPr>
          <w:rFonts w:hint="eastAsia" w:ascii="Times New Roman" w:hAnsi="Times New Roman" w:cs="Times New Roman" w:eastAsiaTheme="minorEastAsia"/>
          <w:caps w:val="0"/>
          <w:smallCaps w:val="0"/>
          <w:sz w:val="24"/>
          <w:szCs w:val="24"/>
        </w:rPr>
        <w:t>引自就近电网10kV供电电源</w:t>
      </w:r>
      <w:r>
        <w:rPr>
          <w:rFonts w:ascii="Times New Roman" w:hAnsi="Times New Roman" w:cs="Times New Roman" w:eastAsiaTheme="minorEastAsia"/>
          <w:caps w:val="0"/>
          <w:smallCaps w:val="0"/>
          <w:sz w:val="24"/>
          <w:szCs w:val="24"/>
        </w:rPr>
        <w:t>。</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2、供电方案</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本项目不设总降压站。</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本项目拟设</w:t>
      </w:r>
      <w:r>
        <w:rPr>
          <w:rFonts w:hint="eastAsia" w:ascii="Times New Roman" w:hAnsi="Times New Roman" w:cs="Times New Roman" w:eastAsiaTheme="minorEastAsia"/>
          <w:caps w:val="0"/>
          <w:smallCaps w:val="0"/>
          <w:sz w:val="24"/>
          <w:szCs w:val="24"/>
        </w:rPr>
        <w:t>箱式</w:t>
      </w:r>
      <w:r>
        <w:rPr>
          <w:rFonts w:ascii="Times New Roman" w:hAnsi="Times New Roman" w:cs="Times New Roman" w:eastAsiaTheme="minorEastAsia"/>
          <w:caps w:val="0"/>
          <w:smallCaps w:val="0"/>
          <w:sz w:val="24"/>
          <w:szCs w:val="24"/>
        </w:rPr>
        <w:t>变电所一座，</w:t>
      </w:r>
      <w:r>
        <w:rPr>
          <w:rFonts w:hint="eastAsia" w:ascii="Times New Roman" w:hAnsi="Times New Roman" w:cs="Times New Roman" w:eastAsiaTheme="minorEastAsia"/>
          <w:caps w:val="0"/>
          <w:smallCaps w:val="0"/>
          <w:sz w:val="24"/>
          <w:szCs w:val="24"/>
        </w:rPr>
        <w:t>设置于引桥接岸墩台附近，为趸船、停靠船舶岸电、软管吊、路灯等提供电源。由一台200kVA干式变压器变配电，计量为高供高计，每个低压配电回路另设电度表，作为内部核算控制用。</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3、用电负荷及设备选择</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（1）本工程设备安装容量200kVA，计算负荷为155.9kVA，计算电流为236.9A。选用一台200kVA干式变压器。</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（2）在变电所低压侧，设功率因数集中自动补偿装置，电容器采用自动循环投切方式，要求补偿后的功率因数大于0.93，电容补偿容量分别为60kVar。</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（3）低压配电系统采用放射式，对于单台容量较大的负荷或重要负荷采用放射式供电；对于照明采用树干式供电方式。</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（4）根据设计界面划分，本设计仅包含船舶停靠墩台及引桥部分，爆炸危险场所区域等级按工艺划分为2级区域，电气设备和灯具采用与该区域级别相适应的防爆电气设备和灯具。电气连接处做好密封防爆处理。</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（5）电缆敷设</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①电缆л接或分支处，采用PC绝缘穿刺线夹，以达到良好的电气接触及绝缘、防水、防腐蚀的要求。</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②至趸船的动力线路采用阻燃电缆沿引桥外侧电缆桥架敷设。照明线路采用阻燃电缆穿热镀锌钢管敷设。</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（6）在码头前沿设置船用岸电箱，在船舶进入港口停泊期间使用岸上电源进行供电,使船舶的照明、通风、通讯以及泵组等用电需求得到有效满足。</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4、照明方案</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（1）墩台、引桥等处平均照度不小于20lx。</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（2）路灯采用防爆LED灯照明。照明回路由照明配电箱集中控制。</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（3）照明为单相三线制。</w:t>
      </w:r>
    </w:p>
    <w:p>
      <w:pPr>
        <w:pStyle w:val="7"/>
        <w:rPr>
          <w:rFonts w:ascii="Times New Roman" w:hAnsi="Times New Roman" w:cs="Times New Roman" w:eastAsiaTheme="minorEastAsia"/>
          <w:caps w:val="0"/>
          <w:smallCaps w:val="0"/>
        </w:rPr>
      </w:pPr>
      <w:bookmarkStart w:id="34" w:name="_Toc6005"/>
      <w:r>
        <w:rPr>
          <w:rFonts w:ascii="Times New Roman" w:hAnsi="Times New Roman" w:cs="Times New Roman" w:eastAsiaTheme="minorEastAsia"/>
          <w:caps w:val="0"/>
          <w:smallCaps w:val="0"/>
        </w:rPr>
        <w:t>给排水</w:t>
      </w:r>
      <w:bookmarkEnd w:id="34"/>
      <w:r>
        <w:rPr>
          <w:rFonts w:ascii="Times New Roman" w:hAnsi="Times New Roman" w:cs="Times New Roman" w:eastAsiaTheme="minorEastAsia"/>
          <w:caps w:val="0"/>
          <w:smallCaps w:val="0"/>
        </w:rPr>
        <w:t>系统</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bookmarkStart w:id="35" w:name="_Toc174179704"/>
      <w:bookmarkStart w:id="36" w:name="_Toc174523578"/>
      <w:r>
        <w:rPr>
          <w:rFonts w:ascii="Times New Roman" w:hAnsi="Times New Roman" w:cs="Times New Roman" w:eastAsiaTheme="minorEastAsia"/>
          <w:b/>
          <w:caps w:val="0"/>
          <w:smallCaps w:val="0"/>
          <w:sz w:val="24"/>
          <w:szCs w:val="24"/>
        </w:rPr>
        <w:t>1、供水</w:t>
      </w:r>
      <w:bookmarkEnd w:id="35"/>
      <w:bookmarkEnd w:id="36"/>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本项目给水由后方厂区供水管线供给，管径为DN</w:t>
      </w:r>
      <w:r>
        <w:rPr>
          <w:rFonts w:hint="eastAsia" w:ascii="Times New Roman" w:hAnsi="Times New Roman" w:cs="Times New Roman" w:eastAsiaTheme="minorEastAsia"/>
          <w:caps w:val="0"/>
          <w:smallCaps w:val="0"/>
          <w:sz w:val="24"/>
          <w:szCs w:val="24"/>
        </w:rPr>
        <w:t>65</w:t>
      </w:r>
      <w:r>
        <w:rPr>
          <w:rFonts w:ascii="Times New Roman" w:hAnsi="Times New Roman" w:cs="Times New Roman" w:eastAsiaTheme="minorEastAsia"/>
          <w:caps w:val="0"/>
          <w:smallCaps w:val="0"/>
          <w:sz w:val="24"/>
          <w:szCs w:val="24"/>
        </w:rPr>
        <w:t>，压力</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sz w:val="24"/>
          <w:szCs w:val="24"/>
        </w:rPr>
        <w:t>0.</w:t>
      </w:r>
      <w:r>
        <w:rPr>
          <w:rFonts w:hint="eastAsia" w:ascii="Times New Roman" w:hAnsi="Times New Roman" w:cs="Times New Roman" w:eastAsiaTheme="minorEastAsia"/>
          <w:caps w:val="0"/>
          <w:smallCaps w:val="0"/>
          <w:sz w:val="24"/>
          <w:szCs w:val="24"/>
        </w:rPr>
        <w:t>35</w:t>
      </w:r>
      <w:r>
        <w:rPr>
          <w:rFonts w:ascii="Times New Roman" w:hAnsi="Times New Roman" w:cs="Times New Roman" w:eastAsiaTheme="minorEastAsia"/>
          <w:caps w:val="0"/>
          <w:smallCaps w:val="0"/>
          <w:sz w:val="24"/>
          <w:szCs w:val="24"/>
        </w:rPr>
        <w:t>Mpa；</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港区给水系统拟采用：</w:t>
      </w:r>
      <w:r>
        <w:rPr>
          <w:rFonts w:ascii="Times New Roman" w:hAnsi="Times New Roman" w:cs="Times New Roman" w:eastAsiaTheme="minorEastAsia"/>
          <w:caps w:val="0"/>
          <w:smallCaps w:val="0"/>
          <w:sz w:val="24"/>
          <w:szCs w:val="24"/>
        </w:rPr>
        <w:fldChar w:fldCharType="begin"/>
      </w:r>
      <w:r>
        <w:rPr>
          <w:rFonts w:ascii="Times New Roman" w:hAnsi="Times New Roman" w:cs="Times New Roman" w:eastAsiaTheme="minorEastAsia"/>
          <w:caps w:val="0"/>
          <w:smallCaps w:val="0"/>
          <w:sz w:val="24"/>
          <w:szCs w:val="24"/>
        </w:rPr>
        <w:instrText xml:space="preserve">=1\*GB3</w:instrText>
      </w:r>
      <w:r>
        <w:rPr>
          <w:rFonts w:ascii="Times New Roman" w:hAnsi="Times New Roman" w:cs="Times New Roman" w:eastAsiaTheme="minorEastAsia"/>
          <w:caps w:val="0"/>
          <w:smallCaps w:val="0"/>
          <w:sz w:val="24"/>
          <w:szCs w:val="24"/>
        </w:rPr>
        <w:fldChar w:fldCharType="separate"/>
      </w:r>
      <w:r>
        <w:rPr>
          <w:rFonts w:hint="eastAsia" w:ascii="Times New Roman" w:hAnsi="Times New Roman" w:cs="Times New Roman"/>
          <w:caps w:val="0"/>
          <w:smallCaps w:val="0"/>
          <w:sz w:val="24"/>
          <w:szCs w:val="24"/>
        </w:rPr>
        <w:t>①</w:t>
      </w:r>
      <w:r>
        <w:rPr>
          <w:rFonts w:ascii="Times New Roman" w:hAnsi="Times New Roman" w:cs="Times New Roman" w:eastAsiaTheme="minorEastAsia"/>
          <w:caps w:val="0"/>
          <w:smallCaps w:val="0"/>
          <w:sz w:val="24"/>
          <w:szCs w:val="24"/>
        </w:rPr>
        <w:fldChar w:fldCharType="end"/>
      </w:r>
      <w:r>
        <w:rPr>
          <w:rFonts w:ascii="Times New Roman" w:hAnsi="Times New Roman" w:cs="Times New Roman" w:eastAsiaTheme="minorEastAsia"/>
          <w:caps w:val="0"/>
          <w:smallCaps w:val="0"/>
          <w:sz w:val="24"/>
          <w:szCs w:val="24"/>
        </w:rPr>
        <w:t>船舶+生活+环保用水系统；</w:t>
      </w:r>
      <w:r>
        <w:rPr>
          <w:rFonts w:ascii="Times New Roman" w:hAnsi="Times New Roman" w:cs="Times New Roman" w:eastAsiaTheme="minorEastAsia"/>
          <w:caps w:val="0"/>
          <w:smallCaps w:val="0"/>
          <w:sz w:val="24"/>
          <w:szCs w:val="24"/>
        </w:rPr>
        <w:fldChar w:fldCharType="begin"/>
      </w:r>
      <w:r>
        <w:rPr>
          <w:rFonts w:ascii="Times New Roman" w:hAnsi="Times New Roman" w:cs="Times New Roman" w:eastAsiaTheme="minorEastAsia"/>
          <w:caps w:val="0"/>
          <w:smallCaps w:val="0"/>
          <w:sz w:val="24"/>
          <w:szCs w:val="24"/>
        </w:rPr>
        <w:instrText xml:space="preserve">=2\*GB3</w:instrText>
      </w:r>
      <w:r>
        <w:rPr>
          <w:rFonts w:ascii="Times New Roman" w:hAnsi="Times New Roman" w:cs="Times New Roman" w:eastAsiaTheme="minorEastAsia"/>
          <w:caps w:val="0"/>
          <w:smallCaps w:val="0"/>
          <w:sz w:val="24"/>
          <w:szCs w:val="24"/>
        </w:rPr>
        <w:fldChar w:fldCharType="separate"/>
      </w:r>
      <w:r>
        <w:rPr>
          <w:rFonts w:hint="eastAsia" w:ascii="Times New Roman" w:hAnsi="Times New Roman" w:cs="Times New Roman"/>
          <w:caps w:val="0"/>
          <w:smallCaps w:val="0"/>
          <w:sz w:val="24"/>
          <w:szCs w:val="24"/>
        </w:rPr>
        <w:t>②</w:t>
      </w:r>
      <w:r>
        <w:rPr>
          <w:rFonts w:ascii="Times New Roman" w:hAnsi="Times New Roman" w:cs="Times New Roman" w:eastAsiaTheme="minorEastAsia"/>
          <w:caps w:val="0"/>
          <w:smallCaps w:val="0"/>
          <w:sz w:val="24"/>
          <w:szCs w:val="24"/>
        </w:rPr>
        <w:fldChar w:fldCharType="end"/>
      </w:r>
      <w:r>
        <w:rPr>
          <w:rFonts w:ascii="Times New Roman" w:hAnsi="Times New Roman" w:cs="Times New Roman" w:eastAsiaTheme="minorEastAsia"/>
          <w:caps w:val="0"/>
          <w:smallCaps w:val="0"/>
          <w:sz w:val="24"/>
          <w:szCs w:val="24"/>
        </w:rPr>
        <w:t>消防用水系统。给水管和冲洗管道采用内外涂塑钢管，卡箍或法兰连接。</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给水管呈枝状布置。</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2、排水</w:t>
      </w:r>
    </w:p>
    <w:p>
      <w:pPr>
        <w:pStyle w:val="137"/>
        <w:keepNext w:val="0"/>
        <w:keepLines w:val="0"/>
        <w:pageBreakBefore w:val="0"/>
        <w:widowControl/>
        <w:kinsoku/>
        <w:wordWrap/>
        <w:overflowPunct/>
        <w:topLinePunct w:val="0"/>
        <w:autoSpaceDE/>
        <w:autoSpaceDN/>
        <w:bidi w:val="0"/>
        <w:adjustRightInd/>
        <w:snapToGrid/>
        <w:spacing w:line="360" w:lineRule="auto"/>
        <w:ind w:firstLine="482"/>
        <w:textAlignment w:val="auto"/>
        <w:rPr>
          <w:rFonts w:ascii="Times New Roman" w:hAnsi="Times New Roman" w:cs="Times New Roman"/>
          <w:caps w:val="0"/>
          <w:smallCaps w:val="0"/>
          <w:sz w:val="24"/>
          <w:szCs w:val="24"/>
        </w:rPr>
      </w:pPr>
      <w:r>
        <w:rPr>
          <w:rFonts w:ascii="Times New Roman" w:hAnsi="Times New Roman" w:cs="Times New Roman" w:eastAsiaTheme="minorEastAsia"/>
          <w:caps w:val="0"/>
          <w:smallCaps w:val="0"/>
          <w:kern w:val="0"/>
          <w:sz w:val="24"/>
          <w:szCs w:val="24"/>
          <w:lang w:val="en-US" w:eastAsia="zh-CN" w:bidi="ar-SA"/>
        </w:rPr>
        <w:t>本项目码头前沿无固</w:t>
      </w:r>
      <w:r>
        <w:rPr>
          <w:rFonts w:ascii="Times New Roman" w:hAnsi="Times New Roman" w:cs="Times New Roman"/>
          <w:caps w:val="0"/>
          <w:smallCaps w:val="0"/>
          <w:sz w:val="24"/>
          <w:szCs w:val="24"/>
        </w:rPr>
        <w:t>定办公员工，不设置排水</w:t>
      </w:r>
      <w:r>
        <w:rPr>
          <w:rFonts w:ascii="Times New Roman" w:hAnsi="Times New Roman" w:cs="Times New Roman"/>
          <w:caps w:val="0"/>
          <w:smallCaps w:val="0"/>
          <w:sz w:val="24"/>
          <w:szCs w:val="24"/>
          <w:lang w:eastAsia="zh-CN"/>
        </w:rPr>
        <w:t>设施，现有硬化场地和设施均拆除复绿。趸船设生活污水收集储罐和含油废水收集储罐，收集到港船舶生活污水、含油废水和趸船</w:t>
      </w:r>
      <w:r>
        <w:rPr>
          <w:rFonts w:hint="eastAsia" w:ascii="Times New Roman" w:hAnsi="Times New Roman" w:cs="Times New Roman"/>
          <w:caps w:val="0"/>
          <w:smallCaps w:val="0"/>
          <w:sz w:val="24"/>
          <w:szCs w:val="24"/>
          <w:lang w:eastAsia="zh-CN"/>
        </w:rPr>
        <w:t>冲洗废水、初期雨水</w:t>
      </w:r>
      <w:r>
        <w:rPr>
          <w:rFonts w:ascii="Times New Roman" w:hAnsi="Times New Roman" w:cs="Times New Roman"/>
          <w:caps w:val="0"/>
          <w:smallCaps w:val="0"/>
          <w:sz w:val="24"/>
          <w:szCs w:val="24"/>
          <w:lang w:eastAsia="zh-CN"/>
        </w:rPr>
        <w:t>。营运期</w:t>
      </w:r>
      <w:r>
        <w:rPr>
          <w:rFonts w:ascii="Times New Roman" w:hAnsi="Times New Roman" w:cs="Times New Roman"/>
          <w:caps w:val="0"/>
          <w:smallCaps w:val="0"/>
          <w:sz w:val="24"/>
          <w:szCs w:val="24"/>
        </w:rPr>
        <w:t>废水为营运期码头</w:t>
      </w:r>
      <w:r>
        <w:rPr>
          <w:rFonts w:ascii="Times New Roman" w:hAnsi="Times New Roman" w:cs="Times New Roman"/>
          <w:caps w:val="0"/>
          <w:smallCaps w:val="0"/>
          <w:sz w:val="24"/>
          <w:szCs w:val="24"/>
          <w:lang w:eastAsia="zh-CN"/>
        </w:rPr>
        <w:t>员工</w:t>
      </w:r>
      <w:r>
        <w:rPr>
          <w:rFonts w:ascii="Times New Roman" w:hAnsi="Times New Roman" w:cs="Times New Roman"/>
          <w:caps w:val="0"/>
          <w:smallCaps w:val="0"/>
          <w:sz w:val="24"/>
          <w:szCs w:val="24"/>
        </w:rPr>
        <w:t>产生的生活污水、趸船废水</w:t>
      </w:r>
      <w:r>
        <w:rPr>
          <w:rFonts w:hint="eastAsia" w:ascii="Times New Roman" w:hAnsi="Times New Roman" w:cs="Times New Roman"/>
          <w:caps w:val="0"/>
          <w:smallCaps w:val="0"/>
          <w:sz w:val="24"/>
          <w:szCs w:val="24"/>
          <w:lang w:eastAsia="zh-CN"/>
        </w:rPr>
        <w:t>（冲洗废水、初期雨水）</w:t>
      </w:r>
      <w:r>
        <w:rPr>
          <w:rFonts w:ascii="Times New Roman" w:hAnsi="Times New Roman" w:cs="Times New Roman"/>
          <w:caps w:val="0"/>
          <w:smallCaps w:val="0"/>
          <w:sz w:val="24"/>
          <w:szCs w:val="24"/>
        </w:rPr>
        <w:t>、船舶废水（舱底油污水、生活污水）。</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消防系统</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hint="eastAsia" w:ascii="Times New Roman" w:hAnsi="Times New Roman" w:cs="Times New Roman" w:eastAsiaTheme="minorEastAsia"/>
          <w:b/>
          <w:caps w:val="0"/>
          <w:smallCaps w:val="0"/>
          <w:sz w:val="24"/>
          <w:szCs w:val="24"/>
        </w:rPr>
        <w:t>1</w:t>
      </w:r>
      <w:r>
        <w:rPr>
          <w:rFonts w:ascii="Times New Roman" w:hAnsi="Times New Roman" w:cs="Times New Roman" w:eastAsiaTheme="minorEastAsia"/>
          <w:b/>
          <w:caps w:val="0"/>
          <w:smallCaps w:val="0"/>
          <w:sz w:val="24"/>
          <w:szCs w:val="24"/>
        </w:rPr>
        <w:t>、火灾危险性分析</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装卸作业中所涉及到的液体沥青属于丙B类可燃液体，闪点大于120℃。在生产经营活动中要严格掌握物质的火灾、爆炸特性指标，严格执行危险物料的管理规定。生产过程各环节产生的火灾可能主要为装卸设备电器起火、货物的失火等。</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hint="eastAsia" w:ascii="Times New Roman" w:hAnsi="Times New Roman" w:cs="Times New Roman" w:eastAsiaTheme="minorEastAsia"/>
          <w:b/>
          <w:caps w:val="0"/>
          <w:smallCaps w:val="0"/>
          <w:sz w:val="24"/>
          <w:szCs w:val="24"/>
        </w:rPr>
        <w:t>2</w:t>
      </w:r>
      <w:r>
        <w:rPr>
          <w:rFonts w:ascii="Times New Roman" w:hAnsi="Times New Roman" w:cs="Times New Roman" w:eastAsiaTheme="minorEastAsia"/>
          <w:b/>
          <w:caps w:val="0"/>
          <w:smallCaps w:val="0"/>
          <w:sz w:val="24"/>
          <w:szCs w:val="24"/>
        </w:rPr>
        <w:t>、消防设计</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（1）消防设施及措施</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本工程消防设置半固定式泡沫灭火系统、半固定式冷却水系统、隔离水幕系统、消火栓系统以及灭火器系统。</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①码头趸船上布置2台半固定式消防水炮用于消防冷却。</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②码头趸船上布置2台半固定式泡沫炮灭火。</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③码头趸船装卸设备两端沿码头前沿各延伸5m范围内设置水幕系统，水幕喷水强度取2L/(min.m</w:t>
      </w:r>
      <w:r>
        <w:rPr>
          <w:rFonts w:hint="eastAsia" w:ascii="Times New Roman" w:hAnsi="Times New Roman" w:cs="Times New Roman" w:eastAsiaTheme="minorEastAsia"/>
          <w:caps w:val="0"/>
          <w:smallCaps w:val="0"/>
          <w:sz w:val="24"/>
          <w:szCs w:val="24"/>
          <w:vertAlign w:val="superscript"/>
        </w:rPr>
        <w:t>2</w:t>
      </w:r>
      <w:r>
        <w:rPr>
          <w:rFonts w:hint="eastAsia" w:ascii="Times New Roman" w:hAnsi="Times New Roman" w:cs="Times New Roman" w:eastAsiaTheme="minorEastAsia"/>
          <w:caps w:val="0"/>
          <w:smallCaps w:val="0"/>
          <w:sz w:val="24"/>
          <w:szCs w:val="24"/>
        </w:rPr>
        <w:t>)，工作时间取1h，配置扇形水幕喷头。水幕供水管上设电动阀，电动遥控和现场手动启停装置。</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④码头趸船及引桥设置消火栓接口，并在消火栓处配备水带和直流喷雾水枪。消火栓系统设计流量30L/s，火灾延续时间取4h。</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⑤码头趸船及引桥设置手提式干粉灭火器，装卸接口15m范围内设置推车式干粉灭火器。</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⑥装卸工艺系统设计的装卸船工艺、管道、管道吹扫和放空设备均采取了防火措施。</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⑦码头设置超限保护报警、紧急制动和防止误操作功能。装卸工艺控制室设接收火灾报警、发出火灾声光报警信号装置。油品码头装卸设备、取样口和输油管道阀门等部位设置可燃汽体检测报警仪。</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⑧码头消防采用手动加远程遥控消防控制方式，在码头前沿及引桥上设手动报警设施，报警信号传至中心控制室和消防控制室报警器上声光报警显示。并设火灾报警电话。</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⑨趸船上设置应急储存池。</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（2）消防用水量</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根据《消防给水及消火栓系统技术规范》GB50974-2014相关规定，装卸油品码头的消防给水设计流量应按着火油船泡沫灭火设计流量、冷却水系统设计流量、隔离水幕系统设计流量和码头室外消火栓设计流量之和确定。根据业主提供的船型资料，2000吨级液体沥青货船最大储存舱面积约为220m</w:t>
      </w:r>
      <w:r>
        <w:rPr>
          <w:rFonts w:hint="eastAsia" w:ascii="Times New Roman" w:hAnsi="Times New Roman" w:cs="Times New Roman" w:eastAsiaTheme="minorEastAsia"/>
          <w:caps w:val="0"/>
          <w:smallCaps w:val="0"/>
          <w:sz w:val="24"/>
          <w:szCs w:val="24"/>
          <w:vertAlign w:val="superscript"/>
        </w:rPr>
        <w:t>2</w:t>
      </w:r>
      <w:r>
        <w:rPr>
          <w:rFonts w:hint="eastAsia" w:ascii="Times New Roman" w:hAnsi="Times New Roman" w:cs="Times New Roman" w:eastAsiaTheme="minorEastAsia"/>
          <w:caps w:val="0"/>
          <w:smallCaps w:val="0"/>
          <w:sz w:val="24"/>
          <w:szCs w:val="24"/>
        </w:rPr>
        <w:t>。隔离水幕沿趸船前沿布置，布置长度15m。</w:t>
      </w:r>
    </w:p>
    <w:p>
      <w:pPr>
        <w:pStyle w:val="315"/>
        <w:tabs>
          <w:tab w:val="right" w:leader="dot" w:pos="9070"/>
        </w:tabs>
        <w:adjustRightInd w:val="0"/>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6-9</w:t>
      </w:r>
      <w:r>
        <w:rPr>
          <w:rFonts w:hint="eastAsia" w:ascii="Times New Roman" w:hAnsi="Times New Roman" w:cs="Times New Roman" w:eastAsiaTheme="minorEastAsia"/>
          <w:b/>
          <w:caps w:val="0"/>
          <w:smallCaps w:val="0"/>
          <w:color w:val="000000"/>
          <w:sz w:val="24"/>
          <w:szCs w:val="24"/>
        </w:rPr>
        <w:t>主消防系统设计用水量一览表</w:t>
      </w:r>
    </w:p>
    <w:tbl>
      <w:tblPr>
        <w:tblStyle w:val="71"/>
        <w:tblW w:w="50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0" w:type="dxa"/>
        </w:tblCellMar>
      </w:tblPr>
      <w:tblGrid>
        <w:gridCol w:w="560"/>
        <w:gridCol w:w="1892"/>
        <w:gridCol w:w="1573"/>
        <w:gridCol w:w="1325"/>
        <w:gridCol w:w="1783"/>
        <w:gridCol w:w="223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0" w:type="dxa"/>
          </w:tblCellMar>
        </w:tblPrEx>
        <w:trPr>
          <w:trHeight w:val="340" w:hRule="atLeast"/>
          <w:tblHeader/>
          <w:jc w:val="center"/>
        </w:trPr>
        <w:tc>
          <w:tcPr>
            <w:tcW w:w="299"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1009"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消防给水系统</w:t>
            </w:r>
          </w:p>
        </w:tc>
        <w:tc>
          <w:tcPr>
            <w:tcW w:w="839"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供给强度</w:t>
            </w:r>
          </w:p>
        </w:tc>
        <w:tc>
          <w:tcPr>
            <w:tcW w:w="707"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供给时间</w:t>
            </w:r>
          </w:p>
        </w:tc>
        <w:tc>
          <w:tcPr>
            <w:tcW w:w="951"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设计流量（L/S）</w:t>
            </w:r>
          </w:p>
        </w:tc>
        <w:tc>
          <w:tcPr>
            <w:tcW w:w="1192"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一次灭火用量（m</w:t>
            </w:r>
            <w:r>
              <w:rPr>
                <w:rFonts w:hint="eastAsia" w:ascii="Times New Roman" w:hAnsi="Times New Roman" w:cs="Times New Roman"/>
                <w:caps w:val="0"/>
                <w:smallCaps w:val="0"/>
                <w:vertAlign w:val="superscript"/>
              </w:rPr>
              <w:t>3</w:t>
            </w:r>
            <w:r>
              <w:rPr>
                <w:rFonts w:hint="eastAsia"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9"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00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泡沫灭火系统</w:t>
            </w:r>
          </w:p>
        </w:tc>
        <w:tc>
          <w:tcPr>
            <w:tcW w:w="83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8L/（min*m2）</w:t>
            </w:r>
          </w:p>
        </w:tc>
        <w:tc>
          <w:tcPr>
            <w:tcW w:w="707"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45min</w:t>
            </w:r>
          </w:p>
        </w:tc>
        <w:tc>
          <w:tcPr>
            <w:tcW w:w="951"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29.33</w:t>
            </w:r>
          </w:p>
        </w:tc>
        <w:tc>
          <w:tcPr>
            <w:tcW w:w="1192"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79.2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9"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w:t>
            </w:r>
          </w:p>
        </w:tc>
        <w:tc>
          <w:tcPr>
            <w:tcW w:w="100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冷却水系统</w:t>
            </w:r>
          </w:p>
        </w:tc>
        <w:tc>
          <w:tcPr>
            <w:tcW w:w="83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2.5L/（min*m2）</w:t>
            </w:r>
          </w:p>
        </w:tc>
        <w:tc>
          <w:tcPr>
            <w:tcW w:w="707"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4h</w:t>
            </w:r>
          </w:p>
        </w:tc>
        <w:tc>
          <w:tcPr>
            <w:tcW w:w="951"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18.33</w:t>
            </w:r>
          </w:p>
        </w:tc>
        <w:tc>
          <w:tcPr>
            <w:tcW w:w="1192"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264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9"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w:t>
            </w:r>
          </w:p>
        </w:tc>
        <w:tc>
          <w:tcPr>
            <w:tcW w:w="100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隔离水幕系统</w:t>
            </w:r>
          </w:p>
        </w:tc>
        <w:tc>
          <w:tcPr>
            <w:tcW w:w="83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2L/（s*m）</w:t>
            </w:r>
          </w:p>
        </w:tc>
        <w:tc>
          <w:tcPr>
            <w:tcW w:w="707"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1h</w:t>
            </w:r>
          </w:p>
        </w:tc>
        <w:tc>
          <w:tcPr>
            <w:tcW w:w="951"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120</w:t>
            </w:r>
          </w:p>
        </w:tc>
        <w:tc>
          <w:tcPr>
            <w:tcW w:w="1192"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9"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w:t>
            </w:r>
          </w:p>
        </w:tc>
        <w:tc>
          <w:tcPr>
            <w:tcW w:w="100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室外消火栓系统</w:t>
            </w:r>
          </w:p>
        </w:tc>
        <w:tc>
          <w:tcPr>
            <w:tcW w:w="83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707"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4h</w:t>
            </w:r>
          </w:p>
        </w:tc>
        <w:tc>
          <w:tcPr>
            <w:tcW w:w="951"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30</w:t>
            </w:r>
          </w:p>
        </w:tc>
        <w:tc>
          <w:tcPr>
            <w:tcW w:w="1192"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99" w:type="pct"/>
            <w:noWrap/>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5</w:t>
            </w:r>
          </w:p>
        </w:tc>
        <w:tc>
          <w:tcPr>
            <w:tcW w:w="100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一次消防用水量</w:t>
            </w:r>
          </w:p>
        </w:tc>
        <w:tc>
          <w:tcPr>
            <w:tcW w:w="839"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707" w:type="pct"/>
            <w:tcMar>
              <w:top w:w="0" w:type="dxa"/>
              <w:bottom w:w="0" w:type="dxa"/>
              <w:right w:w="0" w:type="dxa"/>
            </w:tcMar>
            <w:vAlign w:val="center"/>
          </w:tcPr>
          <w:p>
            <w:pPr>
              <w:bidi w:val="0"/>
              <w:ind w:firstLine="480" w:firstLineChars="200"/>
              <w:rPr>
                <w:rFonts w:ascii="Times New Roman" w:hAnsi="Times New Roman" w:cs="Times New Roman"/>
                <w:caps w:val="0"/>
                <w:smallCaps w:val="0"/>
              </w:rPr>
            </w:pPr>
            <w:r>
              <w:rPr>
                <w:rFonts w:hint="eastAsia" w:ascii="Times New Roman" w:hAnsi="Times New Roman" w:cs="Times New Roman"/>
                <w:caps w:val="0"/>
                <w:smallCaps w:val="0"/>
              </w:rPr>
              <w:t>/</w:t>
            </w:r>
          </w:p>
        </w:tc>
        <w:tc>
          <w:tcPr>
            <w:tcW w:w="951" w:type="pct"/>
            <w:noWrap/>
            <w:tcMar>
              <w:top w:w="0" w:type="dxa"/>
              <w:bottom w:w="0" w:type="dxa"/>
              <w:right w:w="0" w:type="dxa"/>
            </w:tcMar>
            <w:vAlign w:val="center"/>
          </w:tcPr>
          <w:p>
            <w:pPr>
              <w:bidi w:val="0"/>
              <w:ind w:firstLine="480" w:firstLineChars="200"/>
              <w:rPr>
                <w:rFonts w:ascii="Times New Roman" w:hAnsi="Times New Roman" w:cs="Times New Roman"/>
                <w:caps w:val="0"/>
                <w:smallCaps w:val="0"/>
              </w:rPr>
            </w:pPr>
            <w:r>
              <w:rPr>
                <w:rFonts w:hint="eastAsia" w:ascii="Times New Roman" w:hAnsi="Times New Roman" w:cs="Times New Roman"/>
                <w:caps w:val="0"/>
                <w:smallCaps w:val="0"/>
              </w:rPr>
              <w:t>/</w:t>
            </w:r>
          </w:p>
        </w:tc>
        <w:tc>
          <w:tcPr>
            <w:tcW w:w="1192" w:type="pct"/>
            <w:tcMar>
              <w:top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1207.2</w:t>
            </w:r>
          </w:p>
        </w:tc>
      </w:tr>
    </w:tbl>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（3）</w:t>
      </w:r>
      <w:r>
        <w:rPr>
          <w:rFonts w:ascii="Times New Roman" w:hAnsi="Times New Roman" w:cs="Times New Roman" w:eastAsiaTheme="minorEastAsia"/>
          <w:caps w:val="0"/>
          <w:smallCaps w:val="0"/>
          <w:sz w:val="24"/>
          <w:szCs w:val="24"/>
        </w:rPr>
        <w:t>泡沫混合液用量</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码头消防泡沫灭火采用低倍数泡沫灭火系统，泡沫混合液中泡沫原液含量为3%，一次消防泡沫原液用量为2.5m</w:t>
      </w:r>
      <w:r>
        <w:rPr>
          <w:rFonts w:hint="eastAsia" w:ascii="Times New Roman" w:hAnsi="Times New Roman" w:cs="Times New Roman" w:eastAsiaTheme="minorEastAsia"/>
          <w:caps w:val="0"/>
          <w:smallCaps w:val="0"/>
          <w:sz w:val="24"/>
          <w:szCs w:val="24"/>
          <w:vertAlign w:val="superscript"/>
        </w:rPr>
        <w:t>3</w:t>
      </w:r>
      <w:r>
        <w:rPr>
          <w:rFonts w:hint="eastAsia" w:ascii="Times New Roman" w:hAnsi="Times New Roman" w:cs="Times New Roman" w:eastAsiaTheme="minorEastAsia"/>
          <w:caps w:val="0"/>
          <w:smallCaps w:val="0"/>
          <w:sz w:val="24"/>
          <w:szCs w:val="24"/>
        </w:rPr>
        <w:t>，泡沫比例混合液选用囊式压力比例混合装置。</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（4）消防水源</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码头消防用水均取自后方园区消防系统，后方库区设有消防水储水罐及水泵房，要求后方库区消防系统的水质、水压、水量均需满足码头消防的要求。</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（5）管材、管道</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消防水管道采用焊接钢管，泡沫混合液管道采用不锈钢管，焊接连接，与闸阀采用法兰连接。所有管道外做普通级除锈剂防腐涂层处理。管道最高处设排气阀，最低处设泄水阀。</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（6）其它消防措施</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码头引桥设置消火栓管牙接口，并在消火栓处配备水带和直流喷雾水枪，其间距不大于60m。引桥内设置手提式磷酸铵盐干粉灭火器，墩台装卸区设置推车式磷酸铵盐干粉灭火器。</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通信系统</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bCs/>
          <w:caps w:val="0"/>
          <w:smallCaps w:val="0"/>
          <w:sz w:val="24"/>
          <w:szCs w:val="24"/>
        </w:rPr>
      </w:pPr>
      <w:r>
        <w:rPr>
          <w:rFonts w:hint="eastAsia" w:ascii="Times New Roman" w:hAnsi="Times New Roman" w:cs="Times New Roman" w:eastAsiaTheme="minorEastAsia"/>
          <w:bCs/>
          <w:caps w:val="0"/>
          <w:smallCaps w:val="0"/>
          <w:sz w:val="24"/>
          <w:szCs w:val="24"/>
        </w:rPr>
        <w:t>本项目所在地公用通信网的建设较为完备，能够提供有线／无线通信，包括语音、数据、传真、图像、窄带、宽带等多种业务的通信网络，完全能够满足本工程的通信需求。</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1、港区通信</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本项目直接利用公网运营商设置电话系统，不独立设置程控交换机。为码头工休间、门卫提供内网的电话业务，同时实现码头与市话网的通信互联。</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在工休间、门卫设置综合布线系统。</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码头外接至电信局的线缆及有关通信设备的供货与安装由当地电信公司负责。</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工业电视</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根据管理调度及安防需要，本工程考虑设置视频监控系统，依托陆域现有视频监控系统，在码头平台设置摄像采集及输送设施。</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现场摄像机采集的监视图像通过光端机和光纤传输到监控中心，再经视频控制矩阵处理后显示在监控显示器上，使管理人员实时直观地了解各监视区域的情况，同时管理人员也可通过图形计算机遥控操作摄像机的旋转、移动及焦距调整。视频控制矩阵输出监视图像到硬盘录像机进行存储备份，需要时可回放用于管理和事故分析。</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监控设备布置于港区门卫内，配置矩阵控制器及视频流媒体服务器。监控系统另配置1台专用的为生产过程监控提供数据存储和数据共享的文件服务器，通过以太网接口与现有区计算机局域网互联，实现对外的信息交换</w:t>
      </w:r>
      <w:r>
        <w:rPr>
          <w:rFonts w:ascii="Times New Roman" w:hAnsi="Times New Roman" w:cs="Times New Roman" w:eastAsiaTheme="minorEastAsia"/>
          <w:caps w:val="0"/>
          <w:smallCaps w:val="0"/>
          <w:sz w:val="24"/>
          <w:szCs w:val="24"/>
        </w:rPr>
        <w:t>。</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控制系统</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本次设计不设集中控制系统，所有设备均采用单机机旁控制方式，控制设备由生产厂家配套。</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本系统使用计算机实时管理港口业务，克服传统人工操作的诸多不足，使港口的管理更为有效。本系统科学、合理的调配各类装卸机械，在加快码头和堆场周转速度的同时，为港区各类业务系统提供统一的管理平台，提高港口经济效益及社会效益。本系统包括以下内容：堆场管理、装卸机具管理、泊位管理、船期管理、统计计费等。</w:t>
      </w:r>
    </w:p>
    <w:p>
      <w:pPr>
        <w:pStyle w:val="7"/>
        <w:rPr>
          <w:rFonts w:ascii="Times New Roman" w:hAnsi="Times New Roman" w:cs="Times New Roman" w:eastAsiaTheme="minorEastAsia"/>
          <w:caps w:val="0"/>
          <w:smallCaps w:val="0"/>
        </w:rPr>
      </w:pPr>
      <w:bookmarkStart w:id="37" w:name="_Toc25936"/>
      <w:r>
        <w:rPr>
          <w:rFonts w:ascii="Times New Roman" w:hAnsi="Times New Roman" w:cs="Times New Roman" w:eastAsiaTheme="minorEastAsia"/>
          <w:caps w:val="0"/>
          <w:smallCaps w:val="0"/>
        </w:rPr>
        <w:t>生产及辅助建筑物</w:t>
      </w:r>
      <w:bookmarkEnd w:id="37"/>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本项目不涉及生产及辅助建筑物建设。</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劳动定员及工作制度</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本项目年工作时间</w:t>
      </w:r>
      <w:r>
        <w:rPr>
          <w:rFonts w:hint="eastAsia" w:ascii="Times New Roman" w:hAnsi="Times New Roman" w:cs="Times New Roman" w:eastAsiaTheme="minorEastAsia"/>
          <w:caps w:val="0"/>
          <w:smallCaps w:val="0"/>
          <w:sz w:val="24"/>
          <w:szCs w:val="24"/>
          <w:lang w:val="en-US" w:eastAsia="zh-CN"/>
        </w:rPr>
        <w:t>24</w:t>
      </w:r>
      <w:r>
        <w:rPr>
          <w:rFonts w:ascii="Times New Roman" w:hAnsi="Times New Roman" w:cs="Times New Roman" w:eastAsiaTheme="minorEastAsia"/>
          <w:caps w:val="0"/>
          <w:smallCaps w:val="0"/>
          <w:sz w:val="24"/>
          <w:szCs w:val="24"/>
        </w:rPr>
        <w:t>0天。</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码头区各岗位人员编制以在满足生产需要的前提下尽可能精减为原则，港区定员按生产人员、管理及服务人员定编，实际运作中可酌情调整。码头生产作业按</w:t>
      </w:r>
      <w:r>
        <w:rPr>
          <w:rFonts w:hint="eastAsia" w:ascii="Times New Roman" w:hAnsi="Times New Roman" w:cs="Times New Roman" w:eastAsiaTheme="minorEastAsia"/>
          <w:caps w:val="0"/>
          <w:smallCaps w:val="0"/>
          <w:sz w:val="24"/>
          <w:szCs w:val="24"/>
        </w:rPr>
        <w:t>3</w:t>
      </w:r>
      <w:r>
        <w:rPr>
          <w:rFonts w:ascii="Times New Roman" w:hAnsi="Times New Roman" w:cs="Times New Roman" w:eastAsiaTheme="minorEastAsia"/>
          <w:caps w:val="0"/>
          <w:smallCaps w:val="0"/>
          <w:sz w:val="24"/>
          <w:szCs w:val="24"/>
        </w:rPr>
        <w:t>班制考虑，工程定员</w:t>
      </w:r>
      <w:r>
        <w:rPr>
          <w:rFonts w:hint="eastAsia" w:ascii="Times New Roman" w:hAnsi="Times New Roman" w:cs="Times New Roman" w:eastAsiaTheme="minorEastAsia"/>
          <w:caps w:val="0"/>
          <w:smallCaps w:val="0"/>
          <w:sz w:val="24"/>
          <w:szCs w:val="24"/>
        </w:rPr>
        <w:t>15</w:t>
      </w:r>
      <w:r>
        <w:rPr>
          <w:rFonts w:ascii="Times New Roman" w:hAnsi="Times New Roman" w:cs="Times New Roman" w:eastAsiaTheme="minorEastAsia"/>
          <w:caps w:val="0"/>
          <w:smallCaps w:val="0"/>
          <w:sz w:val="24"/>
          <w:szCs w:val="24"/>
        </w:rPr>
        <w:t>人，其中装卸工人</w:t>
      </w:r>
      <w:r>
        <w:rPr>
          <w:rFonts w:hint="eastAsia" w:ascii="Times New Roman" w:hAnsi="Times New Roman" w:cs="Times New Roman" w:eastAsiaTheme="minorEastAsia"/>
          <w:caps w:val="0"/>
          <w:smallCaps w:val="0"/>
          <w:sz w:val="24"/>
          <w:szCs w:val="24"/>
        </w:rPr>
        <w:t>12</w:t>
      </w:r>
      <w:r>
        <w:rPr>
          <w:rFonts w:ascii="Times New Roman" w:hAnsi="Times New Roman" w:cs="Times New Roman" w:eastAsiaTheme="minorEastAsia"/>
          <w:caps w:val="0"/>
          <w:smallCaps w:val="0"/>
          <w:sz w:val="24"/>
          <w:szCs w:val="24"/>
        </w:rPr>
        <w:t>人，管理人员和其它人员</w:t>
      </w:r>
      <w:r>
        <w:rPr>
          <w:rFonts w:hint="eastAsia" w:ascii="Times New Roman" w:hAnsi="Times New Roman" w:cs="Times New Roman" w:eastAsiaTheme="minorEastAsia"/>
          <w:caps w:val="0"/>
          <w:smallCaps w:val="0"/>
          <w:sz w:val="24"/>
          <w:szCs w:val="24"/>
        </w:rPr>
        <w:t>3</w:t>
      </w:r>
      <w:r>
        <w:rPr>
          <w:rFonts w:ascii="Times New Roman" w:hAnsi="Times New Roman" w:cs="Times New Roman" w:eastAsiaTheme="minorEastAsia"/>
          <w:caps w:val="0"/>
          <w:smallCaps w:val="0"/>
          <w:sz w:val="24"/>
          <w:szCs w:val="24"/>
        </w:rPr>
        <w:t>人。</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工程投资及施工进度</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本项目总投资约</w:t>
      </w:r>
      <w:r>
        <w:rPr>
          <w:rFonts w:hint="eastAsia" w:ascii="Times New Roman" w:hAnsi="Times New Roman" w:cs="Times New Roman" w:eastAsiaTheme="minorEastAsia"/>
          <w:caps w:val="0"/>
          <w:smallCaps w:val="0"/>
          <w:color w:val="000000"/>
          <w:sz w:val="24"/>
          <w:szCs w:val="24"/>
        </w:rPr>
        <w:t>2679.77</w:t>
      </w:r>
      <w:r>
        <w:rPr>
          <w:rFonts w:ascii="Times New Roman" w:hAnsi="Times New Roman" w:cs="Times New Roman" w:eastAsiaTheme="minorEastAsia"/>
          <w:caps w:val="0"/>
          <w:smallCaps w:val="0"/>
          <w:color w:val="000000"/>
          <w:sz w:val="24"/>
          <w:szCs w:val="24"/>
        </w:rPr>
        <w:t>万元</w:t>
      </w:r>
      <w:r>
        <w:rPr>
          <w:rFonts w:hint="eastAsia" w:ascii="Times New Roman" w:hAnsi="Times New Roman" w:cs="Times New Roman" w:eastAsiaTheme="minorEastAsia"/>
          <w:caps w:val="0"/>
          <w:smallCaps w:val="0"/>
          <w:color w:val="000000"/>
          <w:sz w:val="24"/>
          <w:szCs w:val="24"/>
        </w:rPr>
        <w:t>，全部为企业自筹</w:t>
      </w:r>
      <w:r>
        <w:rPr>
          <w:rFonts w:ascii="Times New Roman" w:hAnsi="Times New Roman" w:cs="Times New Roman" w:eastAsiaTheme="minorEastAsia"/>
          <w:caps w:val="0"/>
          <w:smallCaps w:val="0"/>
          <w:sz w:val="24"/>
          <w:szCs w:val="24"/>
        </w:rPr>
        <w:t>。</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本项目建设工期</w:t>
      </w:r>
      <w:r>
        <w:rPr>
          <w:rFonts w:hint="eastAsia" w:ascii="Times New Roman" w:hAnsi="Times New Roman" w:cs="Times New Roman" w:eastAsiaTheme="minorEastAsia"/>
          <w:caps w:val="0"/>
          <w:smallCaps w:val="0"/>
          <w:sz w:val="24"/>
          <w:szCs w:val="24"/>
        </w:rPr>
        <w:t>3</w:t>
      </w:r>
      <w:r>
        <w:rPr>
          <w:rFonts w:ascii="Times New Roman" w:hAnsi="Times New Roman" w:cs="Times New Roman" w:eastAsiaTheme="minorEastAsia"/>
          <w:caps w:val="0"/>
          <w:smallCaps w:val="0"/>
          <w:sz w:val="24"/>
          <w:szCs w:val="24"/>
        </w:rPr>
        <w:t>个月，工程施工拟于202</w:t>
      </w:r>
      <w:r>
        <w:rPr>
          <w:rFonts w:hint="eastAsia" w:ascii="Times New Roman" w:hAnsi="Times New Roman" w:cs="Times New Roman" w:eastAsiaTheme="minorEastAsia"/>
          <w:caps w:val="0"/>
          <w:smallCaps w:val="0"/>
          <w:sz w:val="24"/>
          <w:szCs w:val="24"/>
          <w:lang w:val="en-US" w:eastAsia="zh-CN"/>
        </w:rPr>
        <w:t>2</w:t>
      </w:r>
      <w:r>
        <w:rPr>
          <w:rFonts w:ascii="Times New Roman" w:hAnsi="Times New Roman" w:cs="Times New Roman" w:eastAsiaTheme="minorEastAsia"/>
          <w:caps w:val="0"/>
          <w:smallCaps w:val="0"/>
          <w:sz w:val="24"/>
          <w:szCs w:val="24"/>
        </w:rPr>
        <w:t>年</w:t>
      </w:r>
      <w:r>
        <w:rPr>
          <w:rFonts w:hint="eastAsia" w:ascii="Times New Roman" w:hAnsi="Times New Roman" w:cs="Times New Roman" w:eastAsiaTheme="minorEastAsia"/>
          <w:caps w:val="0"/>
          <w:smallCaps w:val="0"/>
          <w:sz w:val="24"/>
          <w:szCs w:val="24"/>
          <w:lang w:val="en-US" w:eastAsia="zh-CN"/>
        </w:rPr>
        <w:t>1</w:t>
      </w:r>
      <w:r>
        <w:rPr>
          <w:rFonts w:ascii="Times New Roman" w:hAnsi="Times New Roman" w:cs="Times New Roman" w:eastAsiaTheme="minorEastAsia"/>
          <w:caps w:val="0"/>
          <w:smallCaps w:val="0"/>
          <w:sz w:val="24"/>
          <w:szCs w:val="24"/>
        </w:rPr>
        <w:t>月开工，202</w:t>
      </w:r>
      <w:r>
        <w:rPr>
          <w:rFonts w:hint="eastAsia" w:ascii="Times New Roman" w:hAnsi="Times New Roman" w:cs="Times New Roman" w:eastAsiaTheme="minorEastAsia"/>
          <w:caps w:val="0"/>
          <w:smallCaps w:val="0"/>
          <w:sz w:val="24"/>
          <w:szCs w:val="24"/>
          <w:lang w:val="en-US" w:eastAsia="zh-CN"/>
        </w:rPr>
        <w:t>2</w:t>
      </w:r>
      <w:r>
        <w:rPr>
          <w:rFonts w:ascii="Times New Roman" w:hAnsi="Times New Roman" w:cs="Times New Roman" w:eastAsiaTheme="minorEastAsia"/>
          <w:caps w:val="0"/>
          <w:smallCaps w:val="0"/>
          <w:sz w:val="24"/>
          <w:szCs w:val="24"/>
        </w:rPr>
        <w:t>年</w:t>
      </w:r>
      <w:r>
        <w:rPr>
          <w:rFonts w:hint="eastAsia" w:ascii="Times New Roman" w:hAnsi="Times New Roman" w:cs="Times New Roman" w:eastAsiaTheme="minorEastAsia"/>
          <w:caps w:val="0"/>
          <w:smallCaps w:val="0"/>
          <w:sz w:val="24"/>
          <w:szCs w:val="24"/>
          <w:lang w:val="en-US" w:eastAsia="zh-CN"/>
        </w:rPr>
        <w:t>4</w:t>
      </w:r>
      <w:r>
        <w:rPr>
          <w:rFonts w:ascii="Times New Roman" w:hAnsi="Times New Roman" w:cs="Times New Roman" w:eastAsiaTheme="minorEastAsia"/>
          <w:caps w:val="0"/>
          <w:smallCaps w:val="0"/>
          <w:sz w:val="24"/>
          <w:szCs w:val="24"/>
        </w:rPr>
        <w:t>月竣工投产。</w:t>
      </w:r>
    </w:p>
    <w:p>
      <w:pPr>
        <w:pStyle w:val="6"/>
        <w:rPr>
          <w:rFonts w:ascii="Times New Roman" w:hAnsi="Times New Roman" w:cs="Times New Roman" w:eastAsiaTheme="minorEastAsia"/>
          <w:caps w:val="0"/>
          <w:smallCaps w:val="0"/>
        </w:rPr>
      </w:pPr>
      <w:r>
        <w:rPr>
          <w:rFonts w:hint="eastAsia" w:ascii="Times New Roman" w:hAnsi="Times New Roman" w:cs="Times New Roman" w:eastAsiaTheme="minorEastAsia"/>
          <w:caps w:val="0"/>
          <w:smallCaps w:val="0"/>
        </w:rPr>
        <w:t>施工土石方</w:t>
      </w:r>
      <w:r>
        <w:rPr>
          <w:rFonts w:ascii="Times New Roman" w:hAnsi="Times New Roman" w:cs="Times New Roman" w:eastAsiaTheme="minorEastAsia"/>
          <w:caps w:val="0"/>
          <w:smallCaps w:val="0"/>
        </w:rPr>
        <w:t>平衡及取弃土方案</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根据</w:t>
      </w:r>
      <w:r>
        <w:rPr>
          <w:rFonts w:ascii="Times New Roman" w:hAnsi="Times New Roman" w:cs="Times New Roman" w:eastAsiaTheme="minorEastAsia"/>
          <w:caps w:val="0"/>
          <w:smallCaps w:val="0"/>
          <w:sz w:val="24"/>
          <w:szCs w:val="24"/>
        </w:rPr>
        <w:t>工可方案，本项目</w:t>
      </w:r>
      <w:r>
        <w:rPr>
          <w:rFonts w:hint="eastAsia" w:ascii="Times New Roman" w:hAnsi="Times New Roman" w:cs="Times New Roman" w:eastAsiaTheme="minorEastAsia"/>
          <w:caps w:val="0"/>
          <w:smallCaps w:val="0"/>
          <w:sz w:val="24"/>
          <w:szCs w:val="24"/>
        </w:rPr>
        <w:t>不涉及</w:t>
      </w:r>
      <w:r>
        <w:rPr>
          <w:rFonts w:ascii="Times New Roman" w:hAnsi="Times New Roman" w:cs="Times New Roman" w:eastAsiaTheme="minorEastAsia"/>
          <w:caps w:val="0"/>
          <w:smallCaps w:val="0"/>
          <w:sz w:val="24"/>
          <w:szCs w:val="24"/>
        </w:rPr>
        <w:t>新增占地，</w:t>
      </w:r>
      <w:r>
        <w:rPr>
          <w:rFonts w:hint="eastAsia" w:ascii="Times New Roman" w:hAnsi="Times New Roman" w:cs="Times New Roman" w:eastAsiaTheme="minorEastAsia"/>
          <w:caps w:val="0"/>
          <w:smallCaps w:val="0"/>
          <w:sz w:val="24"/>
          <w:szCs w:val="24"/>
        </w:rPr>
        <w:t>拟对</w:t>
      </w:r>
      <w:r>
        <w:rPr>
          <w:rFonts w:ascii="Times New Roman" w:hAnsi="Times New Roman" w:cs="Times New Roman" w:eastAsiaTheme="minorEastAsia"/>
          <w:caps w:val="0"/>
          <w:smallCaps w:val="0"/>
          <w:sz w:val="24"/>
          <w:szCs w:val="24"/>
        </w:rPr>
        <w:t>原有码头工程进行</w:t>
      </w:r>
      <w:r>
        <w:rPr>
          <w:rFonts w:hint="eastAsia" w:ascii="Times New Roman" w:hAnsi="Times New Roman" w:cs="Times New Roman" w:eastAsiaTheme="minorEastAsia"/>
          <w:caps w:val="0"/>
          <w:smallCaps w:val="0"/>
          <w:sz w:val="24"/>
          <w:szCs w:val="24"/>
        </w:rPr>
        <w:t>提质</w:t>
      </w:r>
      <w:r>
        <w:rPr>
          <w:rFonts w:ascii="Times New Roman" w:hAnsi="Times New Roman" w:cs="Times New Roman" w:eastAsiaTheme="minorEastAsia"/>
          <w:caps w:val="0"/>
          <w:smallCaps w:val="0"/>
          <w:sz w:val="24"/>
          <w:szCs w:val="24"/>
        </w:rPr>
        <w:t>改造，项目挖方来源于</w:t>
      </w:r>
      <w:r>
        <w:rPr>
          <w:rFonts w:hint="eastAsia" w:ascii="Times New Roman" w:hAnsi="Times New Roman" w:cs="Times New Roman" w:eastAsiaTheme="minorEastAsia"/>
          <w:caps w:val="0"/>
          <w:smallCaps w:val="0"/>
          <w:sz w:val="24"/>
          <w:szCs w:val="24"/>
          <w:lang w:val="en-US" w:eastAsia="zh-CN"/>
        </w:rPr>
        <w:t>护坡</w:t>
      </w:r>
      <w:r>
        <w:rPr>
          <w:rFonts w:ascii="Times New Roman" w:hAnsi="Times New Roman" w:cs="Times New Roman" w:eastAsiaTheme="minorEastAsia"/>
          <w:caps w:val="0"/>
          <w:smallCaps w:val="0"/>
          <w:sz w:val="24"/>
          <w:szCs w:val="24"/>
        </w:rPr>
        <w:t>开挖土方</w:t>
      </w:r>
      <w:r>
        <w:rPr>
          <w:rFonts w:hint="eastAsia" w:ascii="Times New Roman" w:hAnsi="Times New Roman" w:cs="Times New Roman" w:eastAsiaTheme="minorEastAsia"/>
          <w:caps w:val="0"/>
          <w:smallCaps w:val="0"/>
          <w:sz w:val="24"/>
          <w:szCs w:val="24"/>
        </w:rPr>
        <w:t>和</w:t>
      </w:r>
      <w:r>
        <w:rPr>
          <w:rFonts w:ascii="Times New Roman" w:hAnsi="Times New Roman" w:cs="Times New Roman" w:eastAsiaTheme="minorEastAsia"/>
          <w:caps w:val="0"/>
          <w:smallCaps w:val="0"/>
          <w:sz w:val="24"/>
          <w:szCs w:val="24"/>
        </w:rPr>
        <w:t>码头前沿疏浚土方，挖方量为</w:t>
      </w:r>
      <w:r>
        <w:rPr>
          <w:rFonts w:hint="eastAsia" w:ascii="Times New Roman" w:hAnsi="Times New Roman" w:cs="Times New Roman" w:eastAsiaTheme="minorEastAsia"/>
          <w:caps w:val="0"/>
          <w:smallCaps w:val="0"/>
          <w:sz w:val="24"/>
          <w:szCs w:val="24"/>
          <w:lang w:val="en-US" w:eastAsia="zh-CN"/>
        </w:rPr>
        <w:t>2.3772</w:t>
      </w:r>
      <w:r>
        <w:rPr>
          <w:rFonts w:hint="eastAsia" w:ascii="Times New Roman" w:hAnsi="Times New Roman" w:cs="Times New Roman" w:eastAsiaTheme="minorEastAsia"/>
          <w:caps w:val="0"/>
          <w:smallCaps w:val="0"/>
          <w:sz w:val="24"/>
          <w:szCs w:val="24"/>
        </w:rPr>
        <w:t>万</w:t>
      </w:r>
      <w:r>
        <w:rPr>
          <w:rFonts w:ascii="Times New Roman" w:hAnsi="Times New Roman" w:cs="Times New Roman" w:eastAsiaTheme="minorEastAsia"/>
          <w:caps w:val="0"/>
          <w:smallCaps w:val="0"/>
          <w:sz w:val="24"/>
          <w:szCs w:val="24"/>
        </w:rPr>
        <w:t>m</w:t>
      </w:r>
      <w:r>
        <w:rPr>
          <w:rFonts w:ascii="Times New Roman" w:hAnsi="Times New Roman" w:cs="Times New Roman" w:eastAsiaTheme="minorEastAsia"/>
          <w:caps w:val="0"/>
          <w:smallCaps w:val="0"/>
          <w:sz w:val="24"/>
          <w:szCs w:val="24"/>
          <w:vertAlign w:val="superscript"/>
        </w:rPr>
        <w:t>3</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color w:val="auto"/>
          <w:sz w:val="24"/>
          <w:szCs w:val="24"/>
          <w:highlight w:val="none"/>
        </w:rPr>
        <w:t>由屈原咀山运输公司运</w:t>
      </w:r>
      <w:r>
        <w:rPr>
          <w:rFonts w:hint="eastAsia" w:cs="Times New Roman" w:eastAsiaTheme="minorEastAsia"/>
          <w:caps w:val="0"/>
          <w:smallCaps w:val="0"/>
          <w:color w:val="auto"/>
          <w:sz w:val="24"/>
          <w:szCs w:val="24"/>
          <w:highlight w:val="none"/>
          <w:lang w:eastAsia="zh-CN"/>
        </w:rPr>
        <w:t>拟</w:t>
      </w:r>
      <w:r>
        <w:rPr>
          <w:rFonts w:ascii="Times New Roman" w:hAnsi="Times New Roman" w:cs="Times New Roman" w:eastAsiaTheme="minorEastAsia"/>
          <w:caps w:val="0"/>
          <w:smallCaps w:val="0"/>
          <w:color w:val="auto"/>
          <w:sz w:val="24"/>
          <w:szCs w:val="24"/>
          <w:highlight w:val="none"/>
        </w:rPr>
        <w:t>送至</w:t>
      </w:r>
      <w:r>
        <w:rPr>
          <w:rFonts w:hint="eastAsia" w:cs="Times New Roman" w:eastAsiaTheme="minorEastAsia"/>
          <w:caps w:val="0"/>
          <w:smallCaps w:val="0"/>
          <w:color w:val="auto"/>
          <w:sz w:val="24"/>
          <w:szCs w:val="24"/>
          <w:highlight w:val="none"/>
          <w:lang w:eastAsia="zh-CN"/>
        </w:rPr>
        <w:t>砖厂综合利用</w:t>
      </w:r>
      <w:r>
        <w:rPr>
          <w:rFonts w:ascii="Times New Roman" w:hAnsi="Times New Roman" w:cs="Times New Roman" w:eastAsiaTheme="minorEastAsia"/>
          <w:caps w:val="0"/>
          <w:smallCaps w:val="0"/>
          <w:sz w:val="24"/>
          <w:szCs w:val="24"/>
        </w:rPr>
        <w:t>。本项目</w:t>
      </w:r>
      <w:r>
        <w:rPr>
          <w:rFonts w:hint="eastAsia" w:ascii="Times New Roman" w:hAnsi="Times New Roman" w:cs="Times New Roman" w:eastAsiaTheme="minorEastAsia"/>
          <w:caps w:val="0"/>
          <w:smallCaps w:val="0"/>
          <w:sz w:val="24"/>
          <w:szCs w:val="24"/>
        </w:rPr>
        <w:t>土石方</w:t>
      </w:r>
      <w:r>
        <w:rPr>
          <w:rFonts w:ascii="Times New Roman" w:hAnsi="Times New Roman" w:cs="Times New Roman" w:eastAsiaTheme="minorEastAsia"/>
          <w:caps w:val="0"/>
          <w:smallCaps w:val="0"/>
          <w:sz w:val="24"/>
          <w:szCs w:val="24"/>
        </w:rPr>
        <w:t>平衡见</w:t>
      </w:r>
      <w:r>
        <w:rPr>
          <w:rFonts w:hint="eastAsia" w:ascii="Times New Roman" w:hAnsi="Times New Roman" w:cs="Times New Roman" w:eastAsiaTheme="minorEastAsia"/>
          <w:caps w:val="0"/>
          <w:smallCaps w:val="0"/>
          <w:sz w:val="24"/>
          <w:szCs w:val="24"/>
        </w:rPr>
        <w:t>表</w:t>
      </w:r>
      <w:r>
        <w:rPr>
          <w:rFonts w:ascii="Times New Roman" w:hAnsi="Times New Roman" w:cs="Times New Roman" w:eastAsiaTheme="minorEastAsia"/>
          <w:caps w:val="0"/>
          <w:smallCaps w:val="0"/>
          <w:sz w:val="24"/>
          <w:szCs w:val="24"/>
        </w:rPr>
        <w:t>3.</w:t>
      </w:r>
      <w:r>
        <w:rPr>
          <w:rFonts w:hint="eastAsia" w:cs="Times New Roman" w:eastAsiaTheme="minorEastAsia"/>
          <w:caps w:val="0"/>
          <w:smallCaps w:val="0"/>
          <w:sz w:val="24"/>
          <w:szCs w:val="24"/>
          <w:lang w:val="en-US" w:eastAsia="zh-CN"/>
        </w:rPr>
        <w:t>6</w:t>
      </w:r>
      <w:r>
        <w:rPr>
          <w:rFonts w:ascii="Times New Roman" w:hAnsi="Times New Roman" w:cs="Times New Roman" w:eastAsiaTheme="minorEastAsia"/>
          <w:caps w:val="0"/>
          <w:smallCaps w:val="0"/>
          <w:sz w:val="24"/>
          <w:szCs w:val="24"/>
        </w:rPr>
        <w:t>-1</w:t>
      </w:r>
      <w:r>
        <w:rPr>
          <w:rFonts w:hint="eastAsia" w:cs="Times New Roman" w:eastAsiaTheme="minorEastAsia"/>
          <w:caps w:val="0"/>
          <w:smallCaps w:val="0"/>
          <w:sz w:val="24"/>
          <w:szCs w:val="24"/>
          <w:lang w:val="en-US" w:eastAsia="zh-CN"/>
        </w:rPr>
        <w:t>0</w:t>
      </w:r>
      <w:r>
        <w:rPr>
          <w:rFonts w:hint="eastAsia" w:ascii="Times New Roman" w:hAnsi="Times New Roman" w:cs="Times New Roman" w:eastAsiaTheme="minorEastAsia"/>
          <w:caps w:val="0"/>
          <w:smallCaps w:val="0"/>
          <w:sz w:val="24"/>
          <w:szCs w:val="24"/>
        </w:rPr>
        <w:t>。</w:t>
      </w:r>
    </w:p>
    <w:p>
      <w:pPr>
        <w:pStyle w:val="315"/>
        <w:tabs>
          <w:tab w:val="right" w:leader="dot" w:pos="9070"/>
        </w:tabs>
        <w:adjustRightInd w:val="0"/>
        <w:snapToGrid w:val="0"/>
        <w:spacing w:line="276" w:lineRule="auto"/>
        <w:jc w:val="center"/>
        <w:rPr>
          <w:rFonts w:ascii="Times New Roman" w:hAnsi="Times New Roman" w:cs="Times New Roman" w:eastAsiaTheme="minorEastAsia"/>
          <w:b/>
          <w:caps w:val="0"/>
          <w:smallCaps w:val="0"/>
          <w:sz w:val="24"/>
          <w:szCs w:val="24"/>
          <w:u w:val="single"/>
        </w:rPr>
      </w:pPr>
      <w:r>
        <w:rPr>
          <w:rFonts w:hint="eastAsia" w:ascii="Times New Roman" w:hAnsi="Times New Roman" w:cs="Times New Roman" w:eastAsiaTheme="minorEastAsia"/>
          <w:b/>
          <w:caps w:val="0"/>
          <w:smallCaps w:val="0"/>
          <w:sz w:val="24"/>
          <w:szCs w:val="24"/>
          <w:u w:val="single"/>
        </w:rPr>
        <w:t>表3.</w:t>
      </w:r>
      <w:r>
        <w:rPr>
          <w:rFonts w:hint="eastAsia" w:cs="Times New Roman" w:eastAsiaTheme="minorEastAsia"/>
          <w:b/>
          <w:caps w:val="0"/>
          <w:smallCaps w:val="0"/>
          <w:sz w:val="24"/>
          <w:szCs w:val="24"/>
          <w:u w:val="single"/>
          <w:lang w:val="en-US" w:eastAsia="zh-CN"/>
        </w:rPr>
        <w:t>6</w:t>
      </w:r>
      <w:r>
        <w:rPr>
          <w:rFonts w:ascii="Times New Roman" w:hAnsi="Times New Roman" w:cs="Times New Roman" w:eastAsiaTheme="minorEastAsia"/>
          <w:b/>
          <w:caps w:val="0"/>
          <w:smallCaps w:val="0"/>
          <w:sz w:val="24"/>
          <w:szCs w:val="24"/>
          <w:u w:val="single"/>
        </w:rPr>
        <w:t>-1</w:t>
      </w:r>
      <w:r>
        <w:rPr>
          <w:rFonts w:hint="eastAsia" w:cs="Times New Roman" w:eastAsiaTheme="minorEastAsia"/>
          <w:b/>
          <w:caps w:val="0"/>
          <w:smallCaps w:val="0"/>
          <w:sz w:val="24"/>
          <w:szCs w:val="24"/>
          <w:u w:val="single"/>
          <w:lang w:val="en-US" w:eastAsia="zh-CN"/>
        </w:rPr>
        <w:t>0</w:t>
      </w:r>
      <w:r>
        <w:rPr>
          <w:rFonts w:hint="eastAsia" w:ascii="Times New Roman" w:hAnsi="Times New Roman" w:cs="Times New Roman" w:eastAsiaTheme="minorEastAsia"/>
          <w:b/>
          <w:caps w:val="0"/>
          <w:smallCaps w:val="0"/>
          <w:sz w:val="24"/>
          <w:szCs w:val="24"/>
          <w:u w:val="single"/>
        </w:rPr>
        <w:t>工程</w:t>
      </w:r>
      <w:r>
        <w:rPr>
          <w:rFonts w:ascii="Times New Roman" w:hAnsi="Times New Roman" w:cs="Times New Roman" w:eastAsiaTheme="minorEastAsia"/>
          <w:b/>
          <w:caps w:val="0"/>
          <w:smallCaps w:val="0"/>
          <w:sz w:val="24"/>
          <w:szCs w:val="24"/>
          <w:u w:val="single"/>
        </w:rPr>
        <w:t>土方</w:t>
      </w:r>
      <w:r>
        <w:rPr>
          <w:rFonts w:hint="eastAsia" w:ascii="Times New Roman" w:hAnsi="Times New Roman" w:cs="Times New Roman" w:eastAsiaTheme="minorEastAsia"/>
          <w:b/>
          <w:caps w:val="0"/>
          <w:smallCaps w:val="0"/>
          <w:sz w:val="24"/>
          <w:szCs w:val="24"/>
          <w:u w:val="single"/>
        </w:rPr>
        <w:t>平衡表</w:t>
      </w:r>
    </w:p>
    <w:tbl>
      <w:tblPr>
        <w:tblStyle w:val="7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265"/>
        <w:gridCol w:w="1983"/>
        <w:gridCol w:w="1276"/>
        <w:gridCol w:w="353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4248" w:type="dxa"/>
            <w:gridSpan w:val="2"/>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b/>
                <w:caps w:val="0"/>
                <w:smallCaps w:val="0"/>
                <w:sz w:val="21"/>
                <w:szCs w:val="21"/>
                <w:u w:val="single"/>
              </w:rPr>
            </w:pPr>
            <w:r>
              <w:rPr>
                <w:rFonts w:hint="eastAsia" w:ascii="Times New Roman" w:hAnsi="Times New Roman" w:cs="Times New Roman" w:eastAsiaTheme="minorEastAsia"/>
                <w:b/>
                <w:caps w:val="0"/>
                <w:smallCaps w:val="0"/>
                <w:sz w:val="21"/>
                <w:szCs w:val="21"/>
                <w:u w:val="single"/>
              </w:rPr>
              <w:t>类别</w:t>
            </w:r>
          </w:p>
        </w:tc>
        <w:tc>
          <w:tcPr>
            <w:tcW w:w="1276"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b/>
                <w:caps w:val="0"/>
                <w:smallCaps w:val="0"/>
                <w:sz w:val="21"/>
                <w:szCs w:val="21"/>
                <w:u w:val="single"/>
              </w:rPr>
            </w:pPr>
            <w:r>
              <w:rPr>
                <w:rFonts w:hint="eastAsia" w:ascii="Times New Roman" w:hAnsi="Times New Roman" w:cs="Times New Roman" w:eastAsiaTheme="minorEastAsia"/>
                <w:b/>
                <w:caps w:val="0"/>
                <w:smallCaps w:val="0"/>
                <w:sz w:val="21"/>
                <w:szCs w:val="21"/>
                <w:u w:val="single"/>
              </w:rPr>
              <w:t>数量</w:t>
            </w:r>
          </w:p>
        </w:tc>
        <w:tc>
          <w:tcPr>
            <w:tcW w:w="3536"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b/>
                <w:caps w:val="0"/>
                <w:smallCaps w:val="0"/>
                <w:sz w:val="21"/>
                <w:szCs w:val="21"/>
                <w:u w:val="single"/>
              </w:rPr>
            </w:pPr>
            <w:r>
              <w:rPr>
                <w:rFonts w:hint="eastAsia" w:ascii="Times New Roman" w:hAnsi="Times New Roman" w:cs="Times New Roman" w:eastAsiaTheme="minorEastAsia"/>
                <w:b/>
                <w:caps w:val="0"/>
                <w:smallCaps w:val="0"/>
                <w:sz w:val="21"/>
                <w:szCs w:val="21"/>
                <w:u w:val="single"/>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5" w:type="dxa"/>
            <w:vMerge w:val="restart"/>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土方</w:t>
            </w:r>
            <w:r>
              <w:rPr>
                <w:rFonts w:ascii="Times New Roman" w:hAnsi="Times New Roman" w:cs="Times New Roman" w:eastAsiaTheme="minorEastAsia"/>
                <w:caps w:val="0"/>
                <w:smallCaps w:val="0"/>
                <w:sz w:val="21"/>
                <w:szCs w:val="21"/>
                <w:u w:val="single"/>
              </w:rPr>
              <w:t>来源</w:t>
            </w:r>
          </w:p>
        </w:tc>
        <w:tc>
          <w:tcPr>
            <w:tcW w:w="1983"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lang w:eastAsia="zh-CN"/>
              </w:rPr>
              <w:t>护坡</w:t>
            </w:r>
            <w:r>
              <w:rPr>
                <w:rFonts w:hint="eastAsia" w:ascii="Times New Roman" w:hAnsi="Times New Roman" w:cs="Times New Roman" w:eastAsiaTheme="minorEastAsia"/>
                <w:caps w:val="0"/>
                <w:smallCaps w:val="0"/>
                <w:sz w:val="21"/>
                <w:szCs w:val="21"/>
                <w:u w:val="single"/>
              </w:rPr>
              <w:t>开挖土方</w:t>
            </w:r>
          </w:p>
        </w:tc>
        <w:tc>
          <w:tcPr>
            <w:tcW w:w="1276"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0.</w:t>
            </w:r>
            <w:r>
              <w:rPr>
                <w:rFonts w:hint="eastAsia" w:ascii="Times New Roman" w:hAnsi="Times New Roman" w:cs="Times New Roman" w:eastAsiaTheme="minorEastAsia"/>
                <w:caps w:val="0"/>
                <w:smallCaps w:val="0"/>
                <w:sz w:val="21"/>
                <w:szCs w:val="21"/>
                <w:u w:val="single"/>
                <w:lang w:val="en-US" w:eastAsia="zh-CN"/>
              </w:rPr>
              <w:t>2625</w:t>
            </w:r>
            <w:r>
              <w:rPr>
                <w:rFonts w:hint="eastAsia" w:ascii="Times New Roman" w:hAnsi="Times New Roman" w:cs="Times New Roman" w:eastAsiaTheme="minorEastAsia"/>
                <w:caps w:val="0"/>
                <w:smallCaps w:val="0"/>
                <w:sz w:val="21"/>
                <w:szCs w:val="21"/>
                <w:u w:val="single"/>
              </w:rPr>
              <w:t>万</w:t>
            </w:r>
            <w:r>
              <w:rPr>
                <w:rFonts w:ascii="Times New Roman" w:hAnsi="Times New Roman" w:cs="Times New Roman" w:eastAsiaTheme="minorEastAsia"/>
                <w:caps w:val="0"/>
                <w:smallCaps w:val="0"/>
                <w:sz w:val="21"/>
                <w:szCs w:val="21"/>
                <w:u w:val="single"/>
              </w:rPr>
              <w:t>m</w:t>
            </w:r>
            <w:r>
              <w:rPr>
                <w:rFonts w:ascii="Times New Roman" w:hAnsi="Times New Roman" w:cs="Times New Roman" w:eastAsiaTheme="minorEastAsia"/>
                <w:caps w:val="0"/>
                <w:smallCaps w:val="0"/>
                <w:sz w:val="21"/>
                <w:szCs w:val="21"/>
                <w:u w:val="single"/>
                <w:vertAlign w:val="superscript"/>
              </w:rPr>
              <w:t>3</w:t>
            </w:r>
          </w:p>
        </w:tc>
        <w:tc>
          <w:tcPr>
            <w:tcW w:w="3536"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水上</w:t>
            </w:r>
            <w:r>
              <w:rPr>
                <w:rFonts w:ascii="Times New Roman" w:hAnsi="Times New Roman" w:cs="Times New Roman" w:eastAsiaTheme="minorEastAsia"/>
                <w:caps w:val="0"/>
                <w:smallCaps w:val="0"/>
                <w:sz w:val="21"/>
                <w:szCs w:val="21"/>
                <w:u w:val="single"/>
              </w:rPr>
              <w:t>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5" w:type="dxa"/>
            <w:vMerge w:val="continue"/>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p>
        </w:tc>
        <w:tc>
          <w:tcPr>
            <w:tcW w:w="1983"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码头</w:t>
            </w:r>
            <w:r>
              <w:rPr>
                <w:rFonts w:ascii="Times New Roman" w:hAnsi="Times New Roman" w:cs="Times New Roman" w:eastAsiaTheme="minorEastAsia"/>
                <w:caps w:val="0"/>
                <w:smallCaps w:val="0"/>
                <w:sz w:val="21"/>
                <w:szCs w:val="21"/>
                <w:u w:val="single"/>
              </w:rPr>
              <w:t>前沿</w:t>
            </w:r>
            <w:r>
              <w:rPr>
                <w:rFonts w:hint="eastAsia" w:ascii="Times New Roman" w:hAnsi="Times New Roman" w:cs="Times New Roman" w:eastAsiaTheme="minorEastAsia"/>
                <w:caps w:val="0"/>
                <w:smallCaps w:val="0"/>
                <w:sz w:val="21"/>
                <w:szCs w:val="21"/>
                <w:u w:val="single"/>
              </w:rPr>
              <w:t>疏浚</w:t>
            </w:r>
            <w:r>
              <w:rPr>
                <w:rFonts w:ascii="Times New Roman" w:hAnsi="Times New Roman" w:cs="Times New Roman" w:eastAsiaTheme="minorEastAsia"/>
                <w:caps w:val="0"/>
                <w:smallCaps w:val="0"/>
                <w:sz w:val="21"/>
                <w:szCs w:val="21"/>
                <w:u w:val="single"/>
              </w:rPr>
              <w:t>土方</w:t>
            </w:r>
          </w:p>
        </w:tc>
        <w:tc>
          <w:tcPr>
            <w:tcW w:w="1276"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lang w:val="en-US" w:eastAsia="zh-CN"/>
              </w:rPr>
              <w:t>2.1147</w:t>
            </w:r>
            <w:r>
              <w:rPr>
                <w:rFonts w:hint="eastAsia" w:ascii="Times New Roman" w:hAnsi="Times New Roman" w:cs="Times New Roman" w:eastAsiaTheme="minorEastAsia"/>
                <w:caps w:val="0"/>
                <w:smallCaps w:val="0"/>
                <w:sz w:val="21"/>
                <w:szCs w:val="21"/>
                <w:u w:val="single"/>
              </w:rPr>
              <w:t>万</w:t>
            </w:r>
            <w:r>
              <w:rPr>
                <w:rFonts w:ascii="Times New Roman" w:hAnsi="Times New Roman" w:cs="Times New Roman" w:eastAsiaTheme="minorEastAsia"/>
                <w:caps w:val="0"/>
                <w:smallCaps w:val="0"/>
                <w:sz w:val="21"/>
                <w:szCs w:val="21"/>
                <w:u w:val="single"/>
              </w:rPr>
              <w:t>m</w:t>
            </w:r>
            <w:r>
              <w:rPr>
                <w:rFonts w:ascii="Times New Roman" w:hAnsi="Times New Roman" w:cs="Times New Roman" w:eastAsiaTheme="minorEastAsia"/>
                <w:caps w:val="0"/>
                <w:smallCaps w:val="0"/>
                <w:sz w:val="21"/>
                <w:szCs w:val="21"/>
                <w:u w:val="single"/>
                <w:vertAlign w:val="superscript"/>
              </w:rPr>
              <w:t>3</w:t>
            </w:r>
          </w:p>
        </w:tc>
        <w:tc>
          <w:tcPr>
            <w:tcW w:w="3536" w:type="dxa"/>
            <w:tcMar>
              <w:top w:w="0" w:type="dxa"/>
              <w:left w:w="0" w:type="dxa"/>
              <w:bottom w:w="0" w:type="dxa"/>
              <w:right w:w="0" w:type="dxa"/>
            </w:tcMar>
            <w:vAlign w:val="center"/>
          </w:tcPr>
          <w:p>
            <w:pPr>
              <w:pStyle w:val="315"/>
              <w:tabs>
                <w:tab w:val="right" w:leader="dot" w:pos="9070"/>
              </w:tabs>
              <w:adjustRightInd w:val="0"/>
              <w:snapToGrid w:val="0"/>
              <w:jc w:val="center"/>
              <w:rPr>
                <w:rFonts w:hint="eastAsia"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水下方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5" w:type="dxa"/>
            <w:vMerge w:val="restart"/>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土方去向</w:t>
            </w:r>
          </w:p>
        </w:tc>
        <w:tc>
          <w:tcPr>
            <w:tcW w:w="1983"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利用方</w:t>
            </w:r>
          </w:p>
        </w:tc>
        <w:tc>
          <w:tcPr>
            <w:tcW w:w="1276"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lang w:val="en-US" w:eastAsia="zh-CN"/>
              </w:rPr>
              <w:t>2.3772</w:t>
            </w:r>
            <w:r>
              <w:rPr>
                <w:rFonts w:hint="eastAsia" w:ascii="Times New Roman" w:hAnsi="Times New Roman" w:cs="Times New Roman" w:eastAsiaTheme="minorEastAsia"/>
                <w:caps w:val="0"/>
                <w:smallCaps w:val="0"/>
                <w:sz w:val="21"/>
                <w:szCs w:val="21"/>
                <w:u w:val="single"/>
              </w:rPr>
              <w:t>万</w:t>
            </w:r>
            <w:r>
              <w:rPr>
                <w:rFonts w:ascii="Times New Roman" w:hAnsi="Times New Roman" w:cs="Times New Roman" w:eastAsiaTheme="minorEastAsia"/>
                <w:caps w:val="0"/>
                <w:smallCaps w:val="0"/>
                <w:sz w:val="21"/>
                <w:szCs w:val="21"/>
                <w:u w:val="single"/>
              </w:rPr>
              <w:t>m</w:t>
            </w:r>
            <w:r>
              <w:rPr>
                <w:rFonts w:ascii="Times New Roman" w:hAnsi="Times New Roman" w:cs="Times New Roman" w:eastAsiaTheme="minorEastAsia"/>
                <w:caps w:val="0"/>
                <w:smallCaps w:val="0"/>
                <w:sz w:val="21"/>
                <w:szCs w:val="21"/>
                <w:u w:val="single"/>
                <w:vertAlign w:val="superscript"/>
              </w:rPr>
              <w:t>3</w:t>
            </w:r>
          </w:p>
        </w:tc>
        <w:tc>
          <w:tcPr>
            <w:tcW w:w="3536" w:type="dxa"/>
            <w:tcMar>
              <w:top w:w="0" w:type="dxa"/>
              <w:left w:w="0" w:type="dxa"/>
              <w:bottom w:w="0" w:type="dxa"/>
              <w:right w:w="0" w:type="dxa"/>
            </w:tcMar>
            <w:vAlign w:val="center"/>
          </w:tcPr>
          <w:p>
            <w:pPr>
              <w:pStyle w:val="315"/>
              <w:tabs>
                <w:tab w:val="right" w:leader="dot" w:pos="9070"/>
              </w:tabs>
              <w:adjustRightInd w:val="0"/>
              <w:snapToGrid w:val="0"/>
              <w:jc w:val="center"/>
              <w:rPr>
                <w:rFonts w:hint="eastAsia" w:ascii="Times New Roman" w:hAnsi="Times New Roman" w:cs="Times New Roman" w:eastAsiaTheme="minorEastAsia"/>
                <w:caps w:val="0"/>
                <w:smallCaps w:val="0"/>
                <w:sz w:val="21"/>
                <w:szCs w:val="21"/>
                <w:u w:val="single"/>
                <w:lang w:eastAsia="zh-CN"/>
              </w:rPr>
            </w:pPr>
            <w:r>
              <w:rPr>
                <w:rFonts w:hint="eastAsia" w:ascii="Times New Roman" w:hAnsi="Times New Roman" w:cs="Times New Roman" w:eastAsiaTheme="minorEastAsia"/>
                <w:caps w:val="0"/>
                <w:smallCaps w:val="0"/>
                <w:sz w:val="21"/>
                <w:szCs w:val="21"/>
                <w:u w:val="single"/>
              </w:rPr>
              <w:t>基坑开挖土方和码头前沿疏浚土方</w:t>
            </w:r>
            <w:r>
              <w:rPr>
                <w:rFonts w:hint="eastAsia" w:ascii="Times New Roman" w:hAnsi="Times New Roman" w:cs="Times New Roman" w:eastAsiaTheme="minorEastAsia"/>
                <w:caps w:val="0"/>
                <w:smallCaps w:val="0"/>
                <w:sz w:val="21"/>
                <w:szCs w:val="21"/>
                <w:u w:val="single"/>
                <w:lang w:eastAsia="zh-CN"/>
              </w:rPr>
              <w:t>交</w:t>
            </w:r>
            <w:r>
              <w:rPr>
                <w:rFonts w:hint="eastAsia" w:ascii="Times New Roman" w:hAnsi="Times New Roman" w:cs="Times New Roman" w:eastAsiaTheme="minorEastAsia"/>
                <w:caps w:val="0"/>
                <w:smallCaps w:val="0"/>
                <w:sz w:val="21"/>
                <w:szCs w:val="21"/>
                <w:u w:val="single"/>
              </w:rPr>
              <w:t>屈原咀山运输公司</w:t>
            </w:r>
            <w:r>
              <w:rPr>
                <w:rFonts w:hint="eastAsia" w:cs="Times New Roman" w:eastAsiaTheme="minorEastAsia"/>
                <w:caps w:val="0"/>
                <w:smallCaps w:val="0"/>
                <w:sz w:val="21"/>
                <w:szCs w:val="21"/>
                <w:u w:val="single"/>
                <w:lang w:eastAsia="zh-CN"/>
              </w:rPr>
              <w:t>拟</w:t>
            </w:r>
            <w:r>
              <w:rPr>
                <w:rFonts w:hint="eastAsia" w:ascii="Times New Roman" w:hAnsi="Times New Roman" w:cs="Times New Roman" w:eastAsiaTheme="minorEastAsia"/>
                <w:caps w:val="0"/>
                <w:smallCaps w:val="0"/>
                <w:sz w:val="21"/>
                <w:szCs w:val="21"/>
                <w:u w:val="single"/>
              </w:rPr>
              <w:t>运送至</w:t>
            </w:r>
            <w:r>
              <w:rPr>
                <w:rFonts w:hint="eastAsia" w:cs="Times New Roman" w:eastAsiaTheme="minorEastAsia"/>
                <w:caps w:val="0"/>
                <w:smallCaps w:val="0"/>
                <w:sz w:val="21"/>
                <w:szCs w:val="21"/>
                <w:u w:val="single"/>
                <w:lang w:eastAsia="zh-CN"/>
              </w:rPr>
              <w:t>砖厂综合利用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265" w:type="dxa"/>
            <w:vMerge w:val="continue"/>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p>
        </w:tc>
        <w:tc>
          <w:tcPr>
            <w:tcW w:w="1983"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多余</w:t>
            </w:r>
            <w:r>
              <w:rPr>
                <w:rFonts w:ascii="Times New Roman" w:hAnsi="Times New Roman" w:cs="Times New Roman" w:eastAsiaTheme="minorEastAsia"/>
                <w:caps w:val="0"/>
                <w:smallCaps w:val="0"/>
                <w:sz w:val="21"/>
                <w:szCs w:val="21"/>
                <w:u w:val="single"/>
              </w:rPr>
              <w:t>方</w:t>
            </w:r>
          </w:p>
        </w:tc>
        <w:tc>
          <w:tcPr>
            <w:tcW w:w="1276"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0</w:t>
            </w:r>
          </w:p>
        </w:tc>
        <w:tc>
          <w:tcPr>
            <w:tcW w:w="3536" w:type="dxa"/>
            <w:tcMar>
              <w:top w:w="0" w:type="dxa"/>
              <w:left w:w="0" w:type="dxa"/>
              <w:bottom w:w="0" w:type="dxa"/>
              <w:right w:w="0" w:type="dxa"/>
            </w:tcMar>
            <w:vAlign w:val="center"/>
          </w:tcPr>
          <w:p>
            <w:pPr>
              <w:pStyle w:val="315"/>
              <w:tabs>
                <w:tab w:val="right" w:leader="dot" w:pos="9070"/>
              </w:tabs>
              <w:adjustRightInd w:val="0"/>
              <w:snapToGrid w:val="0"/>
              <w:jc w:val="center"/>
              <w:rPr>
                <w:rFonts w:ascii="Times New Roman" w:hAnsi="Times New Roman" w:cs="Times New Roman" w:eastAsiaTheme="minorEastAsia"/>
                <w:caps w:val="0"/>
                <w:smallCaps w:val="0"/>
                <w:sz w:val="21"/>
                <w:szCs w:val="21"/>
                <w:u w:val="single"/>
              </w:rPr>
            </w:pPr>
            <w:r>
              <w:rPr>
                <w:rFonts w:hint="eastAsia" w:ascii="Times New Roman" w:hAnsi="Times New Roman" w:cs="Times New Roman" w:eastAsiaTheme="minorEastAsia"/>
                <w:caps w:val="0"/>
                <w:smallCaps w:val="0"/>
                <w:sz w:val="21"/>
                <w:szCs w:val="21"/>
                <w:u w:val="single"/>
              </w:rPr>
              <w:t>/</w:t>
            </w:r>
          </w:p>
        </w:tc>
      </w:tr>
    </w:tbl>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p>
    <w:p>
      <w:pPr>
        <w:pStyle w:val="6"/>
        <w:rPr>
          <w:rFonts w:ascii="Times New Roman" w:hAnsi="Times New Roman" w:cs="Times New Roman" w:eastAsiaTheme="minorEastAsia"/>
          <w:caps w:val="0"/>
          <w:smallCaps w:val="0"/>
        </w:rPr>
      </w:pPr>
      <w:bookmarkStart w:id="38" w:name="_Toc7064"/>
      <w:bookmarkStart w:id="39" w:name="_Toc21161"/>
      <w:r>
        <w:rPr>
          <w:rFonts w:ascii="Times New Roman" w:hAnsi="Times New Roman" w:cs="Times New Roman" w:eastAsiaTheme="minorEastAsia"/>
          <w:bCs w:val="0"/>
          <w:caps w:val="0"/>
          <w:smallCaps w:val="0"/>
          <w:lang w:val="zh-CN"/>
        </w:rPr>
        <w:t>施工工艺流程及施工方法</w:t>
      </w:r>
      <w:bookmarkEnd w:id="38"/>
      <w:bookmarkEnd w:id="39"/>
    </w:p>
    <w:p>
      <w:pPr>
        <w:pStyle w:val="7"/>
        <w:rPr>
          <w:rFonts w:ascii="Times New Roman" w:hAnsi="Times New Roman" w:cs="Times New Roman" w:eastAsiaTheme="minorEastAsia"/>
          <w:caps w:val="0"/>
          <w:smallCaps w:val="0"/>
          <w:color w:val="auto"/>
        </w:rPr>
      </w:pPr>
      <w:r>
        <w:rPr>
          <w:rFonts w:hint="eastAsia" w:ascii="Times New Roman" w:hAnsi="Times New Roman" w:cs="Times New Roman" w:eastAsiaTheme="minorEastAsia"/>
          <w:caps w:val="0"/>
          <w:smallCaps w:val="0"/>
          <w:color w:val="auto"/>
        </w:rPr>
        <w:t>施工方案</w: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71552" behindDoc="0" locked="0" layoutInCell="1" allowOverlap="1">
                <wp:simplePos x="0" y="0"/>
                <wp:positionH relativeFrom="column">
                  <wp:posOffset>1107440</wp:posOffset>
                </wp:positionH>
                <wp:positionV relativeFrom="paragraph">
                  <wp:posOffset>291465</wp:posOffset>
                </wp:positionV>
                <wp:extent cx="1180465" cy="0"/>
                <wp:effectExtent l="0" t="0" r="0" b="0"/>
                <wp:wrapNone/>
                <wp:docPr id="38" name="直接箭头连接符 38"/>
                <wp:cNvGraphicFramePr/>
                <a:graphic xmlns:a="http://schemas.openxmlformats.org/drawingml/2006/main">
                  <a:graphicData uri="http://schemas.microsoft.com/office/word/2010/wordprocessingShape">
                    <wps:wsp>
                      <wps:cNvCnPr/>
                      <wps:spPr>
                        <a:xfrm flipH="1">
                          <a:off x="0" y="0"/>
                          <a:ext cx="1180465"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margin-left:87.2pt;margin-top:22.95pt;height:0pt;width:92.95pt;z-index:251671552;mso-width-relative:page;mso-height-relative:page;" filled="f" stroked="t" coordsize="21600,21600" o:gfxdata="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vbXe51gAAAAkBAAAPAAAAAAAAAAEAIAAAACIAAABkcnMv&#10;ZG93bnJldi54bWxQSwECFAAUAAAACACHTuJA8GSMjQUCAAD4AwAADgAAAAAAAAABACAAAAAlAQAA&#10;ZHJzL2Uyb0RvYy54bWxQSwUGAAAAAAYABgBZAQAAnAUAAAAA&#10;">
                <v:fill on="f" focussize="0,0"/>
                <v:stroke color="#000000" joinstyle="round"/>
                <v:imagedata o:title=""/>
                <o:lock v:ext="edit" aspectratio="f"/>
              </v:shape>
            </w:pict>
          </mc:Fallback>
        </mc:AlternateContent>
      </w:r>
      <w:r>
        <w:rPr>
          <w:rFonts w:ascii="Times New Roman" w:hAnsi="Times New Roman" w:cs="Times New Roman"/>
          <w:caps w:val="0"/>
          <w:smallCaps w:val="0"/>
        </w:rPr>
        <mc:AlternateContent>
          <mc:Choice Requires="wps">
            <w:drawing>
              <wp:anchor distT="0" distB="0" distL="114300" distR="114300" simplePos="0" relativeHeight="251672576" behindDoc="0" locked="0" layoutInCell="1" allowOverlap="1">
                <wp:simplePos x="0" y="0"/>
                <wp:positionH relativeFrom="column">
                  <wp:posOffset>1098550</wp:posOffset>
                </wp:positionH>
                <wp:positionV relativeFrom="paragraph">
                  <wp:posOffset>291465</wp:posOffset>
                </wp:positionV>
                <wp:extent cx="0" cy="588010"/>
                <wp:effectExtent l="38100" t="0" r="38100" b="2540"/>
                <wp:wrapNone/>
                <wp:docPr id="39" name="直接箭头连接符 39"/>
                <wp:cNvGraphicFramePr/>
                <a:graphic xmlns:a="http://schemas.openxmlformats.org/drawingml/2006/main">
                  <a:graphicData uri="http://schemas.microsoft.com/office/word/2010/wordprocessingShape">
                    <wps:wsp>
                      <wps:cNvCnPr/>
                      <wps:spPr>
                        <a:xfrm>
                          <a:off x="0" y="0"/>
                          <a:ext cx="0" cy="5880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86.5pt;margin-top:22.95pt;height:46.3pt;width:0pt;z-index:251672576;mso-width-relative:page;mso-height-relative:page;" filled="f" stroked="t" coordsize="21600,21600" o:gfxdata="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yPoFDZAAAACgEAAA8AAAAAAAAAAQAgAAAAIgAAAGRycy9k&#10;b3ducmV2LnhtbFBLAQIUABQAAAAIAIdO4kDUbuwDAQIAAPEDAAAOAAAAAAAAAAEAIAAAACgBAABk&#10;cnMvZTJvRG9jLnhtbFBLBQYAAAAABgAGAFkBAACbBQAAAAA=&#10;">
                <v:fill on="f" focussize="0,0"/>
                <v:stroke color="#000000" joinstyle="round" endarrow="block"/>
                <v:imagedata o:title=""/>
                <o:lock v:ext="edit" aspectratio="f"/>
              </v:shape>
            </w:pict>
          </mc:Fallback>
        </mc:AlternateContent>
      </w:r>
      <w:r>
        <w:rPr>
          <w:rFonts w:ascii="Times New Roman" w:hAnsi="Times New Roman" w:cs="Times New Roman"/>
          <w:caps w:val="0"/>
          <w:smallCaps w:val="0"/>
        </w:rPr>
        <mc:AlternateContent>
          <mc:Choice Requires="wps">
            <w:drawing>
              <wp:anchor distT="0" distB="0" distL="114300" distR="114300" simplePos="0" relativeHeight="251673600" behindDoc="0" locked="0" layoutInCell="1" allowOverlap="1">
                <wp:simplePos x="0" y="0"/>
                <wp:positionH relativeFrom="column">
                  <wp:posOffset>497205</wp:posOffset>
                </wp:positionH>
                <wp:positionV relativeFrom="paragraph">
                  <wp:posOffset>879475</wp:posOffset>
                </wp:positionV>
                <wp:extent cx="1237615" cy="288290"/>
                <wp:effectExtent l="4445" t="4445" r="15240" b="12065"/>
                <wp:wrapNone/>
                <wp:docPr id="40" name="文本框 40"/>
                <wp:cNvGraphicFramePr/>
                <a:graphic xmlns:a="http://schemas.openxmlformats.org/drawingml/2006/main">
                  <a:graphicData uri="http://schemas.microsoft.com/office/word/2010/wordprocessingShape">
                    <wps:wsp>
                      <wps:cNvSpPr txBox="1"/>
                      <wps:spPr>
                        <a:xfrm>
                          <a:off x="0" y="0"/>
                          <a:ext cx="1237615" cy="2882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0" w:firstLineChars="0"/>
                              <w:jc w:val="center"/>
                              <w:rPr>
                                <w:rFonts w:hint="eastAsia"/>
                                <w:sz w:val="21"/>
                                <w:szCs w:val="21"/>
                              </w:rPr>
                            </w:pPr>
                            <w:r>
                              <w:rPr>
                                <w:rFonts w:hint="eastAsia"/>
                                <w:sz w:val="21"/>
                                <w:szCs w:val="21"/>
                              </w:rPr>
                              <w:t>港池疏挖</w:t>
                            </w:r>
                          </w:p>
                        </w:txbxContent>
                      </wps:txbx>
                      <wps:bodyPr upright="1"/>
                    </wps:wsp>
                  </a:graphicData>
                </a:graphic>
              </wp:anchor>
            </w:drawing>
          </mc:Choice>
          <mc:Fallback>
            <w:pict>
              <v:shape id="_x0000_s1026" o:spid="_x0000_s1026" o:spt="202" type="#_x0000_t202" style="position:absolute;left:0pt;margin-left:39.15pt;margin-top:69.25pt;height:22.7pt;width:97.45pt;z-index:251673600;mso-width-relative:page;mso-height-relative:page;" fillcolor="#FFFFFF" filled="t" stroked="t" coordsize="21600,21600" o:gfxdata="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5IPbLNkAAAAKAQAADwAAAAAAAAABACAA&#10;AAAiAAAAZHJzL2Rvd25yZXYueG1sUEsBAhQAFAAAAAgAh07iQCfwnKoMAgAAOAQAAA4AAAAAAAAA&#10;AQAgAAAAKAEAAGRycy9lMm9Eb2MueG1sUEsFBgAAAAAGAAYAWQEAAKYFAAAAAA==&#10;">
                <v:fill on="t" focussize="0,0"/>
                <v:stroke color="#000000" joinstyle="miter"/>
                <v:imagedata o:title=""/>
                <o:lock v:ext="edit" aspectratio="f"/>
                <v:textbox>
                  <w:txbxContent>
                    <w:p>
                      <w:pPr>
                        <w:spacing w:line="240" w:lineRule="auto"/>
                        <w:ind w:firstLine="0" w:firstLineChars="0"/>
                        <w:jc w:val="center"/>
                        <w:rPr>
                          <w:rFonts w:hint="eastAsia"/>
                          <w:sz w:val="21"/>
                          <w:szCs w:val="21"/>
                        </w:rPr>
                      </w:pPr>
                      <w:r>
                        <w:rPr>
                          <w:rFonts w:hint="eastAsia"/>
                          <w:sz w:val="21"/>
                          <w:szCs w:val="21"/>
                        </w:rPr>
                        <w:t>港池疏挖</w:t>
                      </w:r>
                    </w:p>
                  </w:txbxContent>
                </v:textbox>
              </v:shape>
            </w:pict>
          </mc:Fallback>
        </mc:AlternateContent>
      </w:r>
      <w:r>
        <w:rPr>
          <w:rFonts w:ascii="Times New Roman" w:hAnsi="Times New Roman" w:cs="Times New Roman"/>
          <w:caps w:val="0"/>
          <w:smallCaps w:val="0"/>
        </w:rPr>
        <mc:AlternateContent>
          <mc:Choice Requires="wps">
            <w:drawing>
              <wp:anchor distT="0" distB="0" distL="114300" distR="114300" simplePos="0" relativeHeight="251662336" behindDoc="0" locked="0" layoutInCell="1" allowOverlap="1">
                <wp:simplePos x="0" y="0"/>
                <wp:positionH relativeFrom="column">
                  <wp:posOffset>2297430</wp:posOffset>
                </wp:positionH>
                <wp:positionV relativeFrom="paragraph">
                  <wp:posOffset>139065</wp:posOffset>
                </wp:positionV>
                <wp:extent cx="1237615" cy="288290"/>
                <wp:effectExtent l="4445" t="4445" r="15240" b="12065"/>
                <wp:wrapNone/>
                <wp:docPr id="42" name="文本框 42"/>
                <wp:cNvGraphicFramePr/>
                <a:graphic xmlns:a="http://schemas.openxmlformats.org/drawingml/2006/main">
                  <a:graphicData uri="http://schemas.microsoft.com/office/word/2010/wordprocessingShape">
                    <wps:wsp>
                      <wps:cNvSpPr txBox="1"/>
                      <wps:spPr>
                        <a:xfrm>
                          <a:off x="0" y="0"/>
                          <a:ext cx="1237615" cy="2882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0" w:firstLineChars="0"/>
                              <w:jc w:val="center"/>
                              <w:rPr>
                                <w:rFonts w:hint="eastAsia"/>
                                <w:sz w:val="21"/>
                                <w:szCs w:val="21"/>
                              </w:rPr>
                            </w:pPr>
                            <w:r>
                              <w:rPr>
                                <w:rFonts w:hint="eastAsia"/>
                                <w:sz w:val="21"/>
                                <w:szCs w:val="21"/>
                              </w:rPr>
                              <w:t>施工准备</w:t>
                            </w:r>
                          </w:p>
                        </w:txbxContent>
                      </wps:txbx>
                      <wps:bodyPr upright="1"/>
                    </wps:wsp>
                  </a:graphicData>
                </a:graphic>
              </wp:anchor>
            </w:drawing>
          </mc:Choice>
          <mc:Fallback>
            <w:pict>
              <v:shape id="_x0000_s1026" o:spid="_x0000_s1026" o:spt="202" type="#_x0000_t202" style="position:absolute;left:0pt;margin-left:180.9pt;margin-top:10.95pt;height:22.7pt;width:97.45pt;z-index:251662336;mso-width-relative:page;mso-height-relative:page;" fillcolor="#FFFFFF" filled="t" stroked="t" coordsize="21600,21600" o:gfxdata="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P1jTlzZAAAACQEAAA8AAAAAAAAAAQAg&#10;AAAAIgAAAGRycy9kb3ducmV2LnhtbFBLAQIUABQAAAAIAIdO4kBwHshSDQIAADgEAAAOAAAAAAAA&#10;AAEAIAAAACgBAABkcnMvZTJvRG9jLnhtbFBLBQYAAAAABgAGAFkBAACnBQAAAAA=&#10;">
                <v:fill on="t" focussize="0,0"/>
                <v:stroke color="#000000" joinstyle="miter"/>
                <v:imagedata o:title=""/>
                <o:lock v:ext="edit" aspectratio="f"/>
                <v:textbox>
                  <w:txbxContent>
                    <w:p>
                      <w:pPr>
                        <w:spacing w:line="240" w:lineRule="auto"/>
                        <w:ind w:firstLine="0" w:firstLineChars="0"/>
                        <w:jc w:val="center"/>
                        <w:rPr>
                          <w:rFonts w:hint="eastAsia"/>
                          <w:sz w:val="21"/>
                          <w:szCs w:val="21"/>
                        </w:rPr>
                      </w:pPr>
                      <w:r>
                        <w:rPr>
                          <w:rFonts w:hint="eastAsia"/>
                          <w:sz w:val="21"/>
                          <w:szCs w:val="21"/>
                        </w:rPr>
                        <w:t>施工准备</w:t>
                      </w:r>
                    </w:p>
                  </w:txbxContent>
                </v:textbox>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63360" behindDoc="0" locked="0" layoutInCell="1" allowOverlap="1">
                <wp:simplePos x="0" y="0"/>
                <wp:positionH relativeFrom="column">
                  <wp:posOffset>2916555</wp:posOffset>
                </wp:positionH>
                <wp:positionV relativeFrom="paragraph">
                  <wp:posOffset>164465</wp:posOffset>
                </wp:positionV>
                <wp:extent cx="0" cy="247650"/>
                <wp:effectExtent l="38100" t="0" r="38100" b="0"/>
                <wp:wrapNone/>
                <wp:docPr id="44" name="直接箭头连接符 44"/>
                <wp:cNvGraphicFramePr/>
                <a:graphic xmlns:a="http://schemas.openxmlformats.org/drawingml/2006/main">
                  <a:graphicData uri="http://schemas.microsoft.com/office/word/2010/wordprocessingShape">
                    <wps:wsp>
                      <wps:cNvCnPr>
                        <a:stCxn id="42" idx="2"/>
                        <a:endCxn id="46" idx="0"/>
                      </wps:cNvCnPr>
                      <wps:spPr>
                        <a:xfrm>
                          <a:off x="0" y="0"/>
                          <a:ext cx="0" cy="2476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9.65pt;margin-top:12.95pt;height:19.5pt;width:0pt;z-index:251663360;mso-width-relative:page;mso-height-relative:page;" filled="f" stroked="t" coordsize="21600,21600" o:gfxdata="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Ig4gzdkA&#10;AAAJAQAADwAAAAAAAAABACAAAAAiAAAAZHJzL2Rvd25yZXYueG1sUEsBAhQAFAAAAAgAh07iQOmx&#10;aj0eAgAAMwQAAA4AAAAAAAAAAQAgAAAAKAEAAGRycy9lMm9Eb2MueG1sUEsFBgAAAAAGAAYAWQEA&#10;ALgFAAAAAA==&#10;">
                <v:fill on="f" focussize="0,0"/>
                <v:stroke color="#000000" joinstyle="round" endarrow="block"/>
                <v:imagedata o:title=""/>
                <o:lock v:ext="edit" aspectratio="f"/>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64384" behindDoc="0" locked="0" layoutInCell="1" allowOverlap="1">
                <wp:simplePos x="0" y="0"/>
                <wp:positionH relativeFrom="column">
                  <wp:posOffset>2297430</wp:posOffset>
                </wp:positionH>
                <wp:positionV relativeFrom="paragraph">
                  <wp:posOffset>149225</wp:posOffset>
                </wp:positionV>
                <wp:extent cx="1237615" cy="455930"/>
                <wp:effectExtent l="4445" t="4445" r="15240" b="15875"/>
                <wp:wrapNone/>
                <wp:docPr id="46" name="文本框 46"/>
                <wp:cNvGraphicFramePr/>
                <a:graphic xmlns:a="http://schemas.openxmlformats.org/drawingml/2006/main">
                  <a:graphicData uri="http://schemas.microsoft.com/office/word/2010/wordprocessingShape">
                    <wps:wsp>
                      <wps:cNvSpPr txBox="1"/>
                      <wps:spPr>
                        <a:xfrm>
                          <a:off x="0" y="0"/>
                          <a:ext cx="1237615" cy="45593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hint="eastAsia"/>
                                <w:sz w:val="21"/>
                                <w:szCs w:val="21"/>
                              </w:rPr>
                            </w:pPr>
                            <w:r>
                              <w:rPr>
                                <w:rFonts w:hint="eastAsia"/>
                                <w:sz w:val="21"/>
                                <w:szCs w:val="21"/>
                              </w:rPr>
                              <w:t>滩地清表、土方开挖、碾压密实</w:t>
                            </w:r>
                          </w:p>
                        </w:txbxContent>
                      </wps:txbx>
                      <wps:bodyPr upright="1"/>
                    </wps:wsp>
                  </a:graphicData>
                </a:graphic>
              </wp:anchor>
            </w:drawing>
          </mc:Choice>
          <mc:Fallback>
            <w:pict>
              <v:shape id="_x0000_s1026" o:spid="_x0000_s1026" o:spt="202" type="#_x0000_t202" style="position:absolute;left:0pt;margin-left:180.9pt;margin-top:11.75pt;height:35.9pt;width:97.45pt;z-index:251664384;mso-width-relative:page;mso-height-relative:page;" fillcolor="#FFFFFF" filled="t" stroked="t" coordsize="21600,21600" o:gfxdata="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ZW/RI2QAAAAkBAAAPAAAAAAAAAAEA&#10;IAAAACIAAABkcnMvZG93bnJldi54bWxQSwECFAAUAAAACACHTuJAhgKCjg4CAAA4BAAADgAAAAAA&#10;AAABACAAAAAoAQAAZHJzL2Uyb0RvYy54bWxQSwUGAAAAAAYABgBZAQAAqAUAAAAA&#10;">
                <v:fill on="t" focussize="0,0"/>
                <v:stroke color="#000000"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hint="eastAsia"/>
                          <w:sz w:val="21"/>
                          <w:szCs w:val="21"/>
                        </w:rPr>
                      </w:pPr>
                      <w:r>
                        <w:rPr>
                          <w:rFonts w:hint="eastAsia"/>
                          <w:sz w:val="21"/>
                          <w:szCs w:val="21"/>
                        </w:rPr>
                        <w:t>滩地清表、土方开挖、碾压密实</w:t>
                      </w:r>
                    </w:p>
                  </w:txbxContent>
                </v:textbox>
              </v:shape>
            </w:pict>
          </mc:Fallback>
        </mc:AlternateContent>
      </w:r>
    </w:p>
    <w:p>
      <w:pPr>
        <w:pStyle w:val="69"/>
        <w:rPr>
          <w:rFonts w:ascii="Times New Roman" w:hAnsi="Times New Roman" w:cs="Times New Roman"/>
          <w:caps w:val="0"/>
          <w:smallCaps w:val="0"/>
        </w:rPr>
      </w:pP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81792" behindDoc="0" locked="0" layoutInCell="1" allowOverlap="1">
                <wp:simplePos x="0" y="0"/>
                <wp:positionH relativeFrom="column">
                  <wp:posOffset>1076960</wp:posOffset>
                </wp:positionH>
                <wp:positionV relativeFrom="paragraph">
                  <wp:posOffset>118110</wp:posOffset>
                </wp:positionV>
                <wp:extent cx="14605" cy="1065530"/>
                <wp:effectExtent l="36830" t="0" r="24765" b="1270"/>
                <wp:wrapNone/>
                <wp:docPr id="74" name="直接箭头连接符 74"/>
                <wp:cNvGraphicFramePr/>
                <a:graphic xmlns:a="http://schemas.openxmlformats.org/drawingml/2006/main">
                  <a:graphicData uri="http://schemas.microsoft.com/office/word/2010/wordprocessingShape">
                    <wps:wsp>
                      <wps:cNvCnPr/>
                      <wps:spPr>
                        <a:xfrm flipH="1">
                          <a:off x="0" y="0"/>
                          <a:ext cx="14605" cy="106553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84.8pt;margin-top:9.3pt;height:83.9pt;width:1.15pt;z-index:251681792;mso-width-relative:page;mso-height-relative:page;" filled="f" stroked="t" coordsize="21600,21600" o:gfxdata="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LDB1VzXAAAACgEAAA8AAAAAAAAA&#10;AQAgAAAAIgAAAGRycy9kb3ducmV2LnhtbFBLAQIUABQAAAAIAIdO4kBKwwMNEgIAAAAEAAAOAAAA&#10;AAAAAAEAIAAAACYBAABkcnMvZTJvRG9jLnhtbFBLBQYAAAAABgAGAFkBAACqBQAAAAA=&#10;">
                <v:fill on="f" focussize="0,0"/>
                <v:stroke color="#000000" joinstyle="round" endarrow="block"/>
                <v:imagedata o:title=""/>
                <o:lock v:ext="edit" aspectratio="f"/>
              </v:shape>
            </w:pict>
          </mc:Fallback>
        </mc:AlternateContent>
      </w:r>
      <w:r>
        <w:rPr>
          <w:rFonts w:ascii="Times New Roman" w:hAnsi="Times New Roman" w:cs="Times New Roman"/>
          <w:caps w:val="0"/>
          <w:smallCaps w:val="0"/>
        </w:rPr>
        <mc:AlternateContent>
          <mc:Choice Requires="wps">
            <w:drawing>
              <wp:anchor distT="0" distB="0" distL="114300" distR="114300" simplePos="0" relativeHeight="251665408" behindDoc="0" locked="0" layoutInCell="1" allowOverlap="1">
                <wp:simplePos x="0" y="0"/>
                <wp:positionH relativeFrom="column">
                  <wp:posOffset>2907665</wp:posOffset>
                </wp:positionH>
                <wp:positionV relativeFrom="paragraph">
                  <wp:posOffset>71120</wp:posOffset>
                </wp:positionV>
                <wp:extent cx="0" cy="359410"/>
                <wp:effectExtent l="38100" t="0" r="38100" b="2540"/>
                <wp:wrapNone/>
                <wp:docPr id="52" name="直接箭头连接符 52"/>
                <wp:cNvGraphicFramePr/>
                <a:graphic xmlns:a="http://schemas.openxmlformats.org/drawingml/2006/main">
                  <a:graphicData uri="http://schemas.microsoft.com/office/word/2010/wordprocessingShape">
                    <wps:wsp>
                      <wps:cNvCnPr/>
                      <wps:spPr>
                        <a:xfrm>
                          <a:off x="0" y="0"/>
                          <a:ext cx="0" cy="3594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8.95pt;margin-top:5.6pt;height:28.3pt;width:0pt;z-index:251665408;mso-width-relative:page;mso-height-relative:page;" filled="f" stroked="t" coordsize="21600,21600" o:gfxdata="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DkAJKNgAAAAJAQAADwAAAAAAAAABACAAAAAiAAAAZHJz&#10;L2Rvd25yZXYueG1sUEsBAhQAFAAAAAgAh07iQFmsC+AEAgAA8QMAAA4AAAAAAAAAAQAgAAAAJwEA&#10;AGRycy9lMm9Eb2MueG1sUEsFBgAAAAAGAAYAWQEAAJ0FAAAAAA==&#10;">
                <v:fill on="f" focussize="0,0"/>
                <v:stroke color="#000000" joinstyle="round" endarrow="block"/>
                <v:imagedata o:title=""/>
                <o:lock v:ext="edit" aspectratio="f"/>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66432" behindDoc="0" locked="0" layoutInCell="1" allowOverlap="1">
                <wp:simplePos x="0" y="0"/>
                <wp:positionH relativeFrom="column">
                  <wp:posOffset>2277110</wp:posOffset>
                </wp:positionH>
                <wp:positionV relativeFrom="paragraph">
                  <wp:posOffset>178435</wp:posOffset>
                </wp:positionV>
                <wp:extent cx="1237615" cy="288290"/>
                <wp:effectExtent l="4445" t="4445" r="15240" b="12065"/>
                <wp:wrapNone/>
                <wp:docPr id="41" name="文本框 41"/>
                <wp:cNvGraphicFramePr/>
                <a:graphic xmlns:a="http://schemas.openxmlformats.org/drawingml/2006/main">
                  <a:graphicData uri="http://schemas.microsoft.com/office/word/2010/wordprocessingShape">
                    <wps:wsp>
                      <wps:cNvSpPr txBox="1"/>
                      <wps:spPr>
                        <a:xfrm>
                          <a:off x="0" y="0"/>
                          <a:ext cx="1237615" cy="2882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0" w:firstLineChars="0"/>
                              <w:jc w:val="center"/>
                              <w:rPr>
                                <w:rFonts w:hint="eastAsia"/>
                                <w:sz w:val="21"/>
                                <w:szCs w:val="21"/>
                              </w:rPr>
                            </w:pPr>
                            <w:r>
                              <w:rPr>
                                <w:rFonts w:hint="eastAsia"/>
                                <w:sz w:val="21"/>
                                <w:szCs w:val="21"/>
                              </w:rPr>
                              <w:t>桩基钻孔灌装</w:t>
                            </w:r>
                          </w:p>
                        </w:txbxContent>
                      </wps:txbx>
                      <wps:bodyPr upright="1"/>
                    </wps:wsp>
                  </a:graphicData>
                </a:graphic>
              </wp:anchor>
            </w:drawing>
          </mc:Choice>
          <mc:Fallback>
            <w:pict>
              <v:shape id="_x0000_s1026" o:spid="_x0000_s1026" o:spt="202" type="#_x0000_t202" style="position:absolute;left:0pt;margin-left:179.3pt;margin-top:14.05pt;height:22.7pt;width:97.45pt;z-index:251666432;mso-width-relative:page;mso-height-relative:page;" fillcolor="#FFFFFF" filled="t" stroked="t" coordsize="21600,21600" o:gfxdata="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61w6/ZAAAACQEAAA8AAAAAAAAAAQAg&#10;AAAAIgAAAGRycy9kb3ducmV2LnhtbFBLAQIUABQAAAAIAIdO4kAsBA47DQIAADgEAAAOAAAAAAAA&#10;AAEAIAAAACgBAABkcnMvZTJvRG9jLnhtbFBLBQYAAAAABgAGAFkBAACnBQAAAAA=&#10;">
                <v:fill on="t" focussize="0,0"/>
                <v:stroke color="#000000" joinstyle="miter"/>
                <v:imagedata o:title=""/>
                <o:lock v:ext="edit" aspectratio="f"/>
                <v:textbox>
                  <w:txbxContent>
                    <w:p>
                      <w:pPr>
                        <w:spacing w:line="240" w:lineRule="auto"/>
                        <w:ind w:firstLine="0" w:firstLineChars="0"/>
                        <w:jc w:val="center"/>
                        <w:rPr>
                          <w:rFonts w:hint="eastAsia"/>
                          <w:sz w:val="21"/>
                          <w:szCs w:val="21"/>
                        </w:rPr>
                      </w:pPr>
                      <w:r>
                        <w:rPr>
                          <w:rFonts w:hint="eastAsia"/>
                          <w:sz w:val="21"/>
                          <w:szCs w:val="21"/>
                        </w:rPr>
                        <w:t>桩基钻孔灌装</w:t>
                      </w:r>
                    </w:p>
                  </w:txbxContent>
                </v:textbox>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67456" behindDoc="0" locked="0" layoutInCell="1" allowOverlap="1">
                <wp:simplePos x="0" y="0"/>
                <wp:positionH relativeFrom="column">
                  <wp:posOffset>2900680</wp:posOffset>
                </wp:positionH>
                <wp:positionV relativeFrom="paragraph">
                  <wp:posOffset>229235</wp:posOffset>
                </wp:positionV>
                <wp:extent cx="0" cy="359410"/>
                <wp:effectExtent l="38100" t="0" r="38100" b="2540"/>
                <wp:wrapNone/>
                <wp:docPr id="55" name="直接箭头连接符 55"/>
                <wp:cNvGraphicFramePr/>
                <a:graphic xmlns:a="http://schemas.openxmlformats.org/drawingml/2006/main">
                  <a:graphicData uri="http://schemas.microsoft.com/office/word/2010/wordprocessingShape">
                    <wps:wsp>
                      <wps:cNvCnPr/>
                      <wps:spPr>
                        <a:xfrm>
                          <a:off x="0" y="0"/>
                          <a:ext cx="0" cy="3594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8.4pt;margin-top:18.05pt;height:28.3pt;width:0pt;z-index:251667456;mso-width-relative:page;mso-height-relative:page;" filled="f" stroked="t" coordsize="21600,21600" o:gfxdata="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CeQPHrZAAAACQEAAA8AAAAAAAAAAQAgAAAAIgAAAGRy&#10;cy9kb3ducmV2LnhtbFBLAQIUABQAAAAIAIdO4kCHAet5BAIAAPEDAAAOAAAAAAAAAAEAIAAAACgB&#10;AABkcnMvZTJvRG9jLnhtbFBLBQYAAAAABgAGAFkBAACeBQAAAAA=&#10;">
                <v:fill on="f" focussize="0,0"/>
                <v:stroke color="#000000" joinstyle="round" endarrow="block"/>
                <v:imagedata o:title=""/>
                <o:lock v:ext="edit" aspectratio="f"/>
              </v:shape>
            </w:pict>
          </mc:Fallback>
        </mc:AlternateContent>
      </w:r>
    </w:p>
    <w:p>
      <w:pPr>
        <w:pStyle w:val="69"/>
        <w:rPr>
          <w:rFonts w:ascii="Times New Roman" w:hAnsi="Times New Roman" w:cs="Times New Roman"/>
          <w:caps w:val="0"/>
          <w:smallCaps w:val="0"/>
        </w:rPr>
      </w:pP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80768" behindDoc="0" locked="0" layoutInCell="1" allowOverlap="1">
                <wp:simplePos x="0" y="0"/>
                <wp:positionH relativeFrom="column">
                  <wp:posOffset>511810</wp:posOffset>
                </wp:positionH>
                <wp:positionV relativeFrom="paragraph">
                  <wp:posOffset>153035</wp:posOffset>
                </wp:positionV>
                <wp:extent cx="1237615" cy="288290"/>
                <wp:effectExtent l="4445" t="4445" r="15240" b="12065"/>
                <wp:wrapNone/>
                <wp:docPr id="73" name="文本框 73"/>
                <wp:cNvGraphicFramePr/>
                <a:graphic xmlns:a="http://schemas.openxmlformats.org/drawingml/2006/main">
                  <a:graphicData uri="http://schemas.microsoft.com/office/word/2010/wordprocessingShape">
                    <wps:wsp>
                      <wps:cNvSpPr txBox="1"/>
                      <wps:spPr>
                        <a:xfrm>
                          <a:off x="0" y="0"/>
                          <a:ext cx="1237615" cy="2882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0" w:firstLineChars="0"/>
                              <w:jc w:val="center"/>
                              <w:rPr>
                                <w:rFonts w:hint="eastAsia"/>
                                <w:sz w:val="21"/>
                                <w:szCs w:val="21"/>
                              </w:rPr>
                            </w:pPr>
                            <w:r>
                              <w:rPr>
                                <w:rFonts w:hint="eastAsia"/>
                                <w:sz w:val="21"/>
                                <w:szCs w:val="21"/>
                              </w:rPr>
                              <w:t>浆砌石护坡</w:t>
                            </w:r>
                          </w:p>
                        </w:txbxContent>
                      </wps:txbx>
                      <wps:bodyPr upright="1"/>
                    </wps:wsp>
                  </a:graphicData>
                </a:graphic>
              </wp:anchor>
            </w:drawing>
          </mc:Choice>
          <mc:Fallback>
            <w:pict>
              <v:shape id="_x0000_s1026" o:spid="_x0000_s1026" o:spt="202" type="#_x0000_t202" style="position:absolute;left:0pt;margin-left:40.3pt;margin-top:12.05pt;height:22.7pt;width:97.45pt;z-index:251680768;mso-width-relative:page;mso-height-relative:page;" fillcolor="#FFFFFF" filled="t" stroked="t" coordsize="21600,21600" o:gfxdata="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yJobF2AAAAAgBAAAPAAAAAAAAAAEA&#10;IAAAACIAAABkcnMvZG93bnJldi54bWxQSwECFAAUAAAACACHTuJAvjHuoQ8CAAA4BAAADgAAAAAA&#10;AAABACAAAAAnAQAAZHJzL2Uyb0RvYy54bWxQSwUGAAAAAAYABgBZAQAAqAUAAAAA&#10;">
                <v:fill on="t" focussize="0,0"/>
                <v:stroke color="#000000" joinstyle="miter"/>
                <v:imagedata o:title=""/>
                <o:lock v:ext="edit" aspectratio="f"/>
                <v:textbox>
                  <w:txbxContent>
                    <w:p>
                      <w:pPr>
                        <w:spacing w:line="240" w:lineRule="auto"/>
                        <w:ind w:firstLine="0" w:firstLineChars="0"/>
                        <w:jc w:val="center"/>
                        <w:rPr>
                          <w:rFonts w:hint="eastAsia"/>
                          <w:sz w:val="21"/>
                          <w:szCs w:val="21"/>
                        </w:rPr>
                      </w:pPr>
                      <w:r>
                        <w:rPr>
                          <w:rFonts w:hint="eastAsia"/>
                          <w:sz w:val="21"/>
                          <w:szCs w:val="21"/>
                        </w:rPr>
                        <w:t>浆砌石护坡</w:t>
                      </w:r>
                    </w:p>
                  </w:txbxContent>
                </v:textbox>
              </v:shape>
            </w:pict>
          </mc:Fallback>
        </mc:AlternateContent>
      </w:r>
      <w:r>
        <w:rPr>
          <w:rFonts w:ascii="Times New Roman" w:hAnsi="Times New Roman" w:cs="Times New Roman"/>
          <w:caps w:val="0"/>
          <w:smallCaps w:val="0"/>
        </w:rPr>
        <mc:AlternateContent>
          <mc:Choice Requires="wps">
            <w:drawing>
              <wp:anchor distT="0" distB="0" distL="114300" distR="114300" simplePos="0" relativeHeight="251668480" behindDoc="0" locked="0" layoutInCell="1" allowOverlap="1">
                <wp:simplePos x="0" y="0"/>
                <wp:positionH relativeFrom="column">
                  <wp:posOffset>2305050</wp:posOffset>
                </wp:positionH>
                <wp:positionV relativeFrom="paragraph">
                  <wp:posOffset>61595</wp:posOffset>
                </wp:positionV>
                <wp:extent cx="1237615" cy="521335"/>
                <wp:effectExtent l="4445" t="4445" r="15240" b="7620"/>
                <wp:wrapNone/>
                <wp:docPr id="56" name="文本框 56"/>
                <wp:cNvGraphicFramePr/>
                <a:graphic xmlns:a="http://schemas.openxmlformats.org/drawingml/2006/main">
                  <a:graphicData uri="http://schemas.microsoft.com/office/word/2010/wordprocessingShape">
                    <wps:wsp>
                      <wps:cNvSpPr txBox="1"/>
                      <wps:spPr>
                        <a:xfrm>
                          <a:off x="0" y="0"/>
                          <a:ext cx="1237615" cy="52133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0" w:firstLineChars="0"/>
                              <w:jc w:val="center"/>
                              <w:rPr>
                                <w:sz w:val="21"/>
                                <w:szCs w:val="21"/>
                              </w:rPr>
                            </w:pPr>
                            <w:r>
                              <w:rPr>
                                <w:rFonts w:hint="eastAsia"/>
                                <w:sz w:val="21"/>
                                <w:szCs w:val="21"/>
                              </w:rPr>
                              <w:t>引桥平台、桥台及撑杆墩现浇</w:t>
                            </w:r>
                          </w:p>
                        </w:txbxContent>
                      </wps:txbx>
                      <wps:bodyPr upright="1"/>
                    </wps:wsp>
                  </a:graphicData>
                </a:graphic>
              </wp:anchor>
            </w:drawing>
          </mc:Choice>
          <mc:Fallback>
            <w:pict>
              <v:shape id="_x0000_s1026" o:spid="_x0000_s1026" o:spt="202" type="#_x0000_t202" style="position:absolute;left:0pt;margin-left:181.5pt;margin-top:4.85pt;height:41.05pt;width:97.45pt;z-index:251668480;mso-width-relative:page;mso-height-relative:page;" fillcolor="#FFFFFF" filled="t" stroked="t" coordsize="21600,21600" o:gfxdata="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9dVYtcAAAAIAQAADwAAAAAAAAABACAAAAAi&#10;AAAAZHJzL2Rvd25yZXYueG1sUEsBAhQAFAAAAAgAh07iQLzFjlsLAgAAOAQAAA4AAAAAAAAAAQAg&#10;AAAAJgEAAGRycy9lMm9Eb2MueG1sUEsFBgAAAAAGAAYAWQEAAKMFAAAAAA==&#10;">
                <v:fill on="t" focussize="0,0"/>
                <v:stroke color="#000000" joinstyle="miter"/>
                <v:imagedata o:title=""/>
                <o:lock v:ext="edit" aspectratio="f"/>
                <v:textbox>
                  <w:txbxContent>
                    <w:p>
                      <w:pPr>
                        <w:spacing w:line="240" w:lineRule="auto"/>
                        <w:ind w:firstLine="0" w:firstLineChars="0"/>
                        <w:jc w:val="center"/>
                        <w:rPr>
                          <w:sz w:val="21"/>
                          <w:szCs w:val="21"/>
                        </w:rPr>
                      </w:pPr>
                      <w:r>
                        <w:rPr>
                          <w:rFonts w:hint="eastAsia"/>
                          <w:sz w:val="21"/>
                          <w:szCs w:val="21"/>
                        </w:rPr>
                        <w:t>引桥平台、桥台及撑杆墩现浇</w:t>
                      </w:r>
                    </w:p>
                  </w:txbxContent>
                </v:textbox>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82816" behindDoc="0" locked="0" layoutInCell="1" allowOverlap="1">
                <wp:simplePos x="0" y="0"/>
                <wp:positionH relativeFrom="column">
                  <wp:posOffset>1762760</wp:posOffset>
                </wp:positionH>
                <wp:positionV relativeFrom="paragraph">
                  <wp:posOffset>31750</wp:posOffset>
                </wp:positionV>
                <wp:extent cx="499745" cy="3175"/>
                <wp:effectExtent l="0" t="37465" r="14605" b="35560"/>
                <wp:wrapNone/>
                <wp:docPr id="75" name="直接箭头连接符 75"/>
                <wp:cNvGraphicFramePr/>
                <a:graphic xmlns:a="http://schemas.openxmlformats.org/drawingml/2006/main">
                  <a:graphicData uri="http://schemas.microsoft.com/office/word/2010/wordprocessingShape">
                    <wps:wsp>
                      <wps:cNvCnPr/>
                      <wps:spPr>
                        <a:xfrm flipH="1" flipV="1">
                          <a:off x="0" y="0"/>
                          <a:ext cx="499745" cy="31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 y;margin-left:138.8pt;margin-top:2.5pt;height:0.25pt;width:39.35pt;z-index:251682816;mso-width-relative:page;mso-height-relative:page;" filled="f" stroked="t" coordsize="21600,21600" o:gfxdata="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CuYTJS1gAAAAcBAAAPAAAAAAAA&#10;AAEAIAAAACIAAABkcnMvZG93bnJldi54bWxQSwECFAAUAAAACACHTuJAQuTIWhQCAAAIBAAADgAA&#10;AAAAAAABACAAAAAlAQAAZHJzL2Uyb0RvYy54bWxQSwUGAAAAAAYABgBZAQAAqwUAAAAA&#10;">
                <v:fill on="f" focussize="0,0"/>
                <v:stroke color="#000000" joinstyle="round" endarrow="block"/>
                <v:imagedata o:title=""/>
                <o:lock v:ext="edit" aspectratio="f"/>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76672" behindDoc="0" locked="0" layoutInCell="1" allowOverlap="1">
                <wp:simplePos x="0" y="0"/>
                <wp:positionH relativeFrom="column">
                  <wp:posOffset>2907665</wp:posOffset>
                </wp:positionH>
                <wp:positionV relativeFrom="paragraph">
                  <wp:posOffset>74930</wp:posOffset>
                </wp:positionV>
                <wp:extent cx="0" cy="359410"/>
                <wp:effectExtent l="38100" t="0" r="38100" b="2540"/>
                <wp:wrapNone/>
                <wp:docPr id="62" name="直接箭头连接符 62"/>
                <wp:cNvGraphicFramePr/>
                <a:graphic xmlns:a="http://schemas.openxmlformats.org/drawingml/2006/main">
                  <a:graphicData uri="http://schemas.microsoft.com/office/word/2010/wordprocessingShape">
                    <wps:wsp>
                      <wps:cNvCnPr/>
                      <wps:spPr>
                        <a:xfrm>
                          <a:off x="0" y="0"/>
                          <a:ext cx="0" cy="3594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8.95pt;margin-top:5.9pt;height:28.3pt;width:0pt;z-index:251676672;mso-width-relative:page;mso-height-relative:page;" filled="f" stroked="t" coordsize="21600,21600" o:gfxdata="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&#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0+bzXYAAAACQEAAA8AAAAAAAAAAQAgAAAAIgAAAGRy&#10;cy9kb3ducmV2LnhtbFBLAQIUABQAAAAIAIdO4kBCeYoUBQIAAPEDAAAOAAAAAAAAAAEAIAAAACcB&#10;AABkcnMvZTJvRG9jLnhtbFBLBQYAAAAABgAGAFkBAACeBQAAAAA=&#10;">
                <v:fill on="f" focussize="0,0"/>
                <v:stroke color="#000000" joinstyle="round" endarrow="block"/>
                <v:imagedata o:title=""/>
                <o:lock v:ext="edit" aspectratio="f"/>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74624" behindDoc="0" locked="0" layoutInCell="1" allowOverlap="1">
                <wp:simplePos x="0" y="0"/>
                <wp:positionH relativeFrom="column">
                  <wp:posOffset>515620</wp:posOffset>
                </wp:positionH>
                <wp:positionV relativeFrom="paragraph">
                  <wp:posOffset>197485</wp:posOffset>
                </wp:positionV>
                <wp:extent cx="1237615" cy="469265"/>
                <wp:effectExtent l="4445" t="4445" r="15240" b="21590"/>
                <wp:wrapNone/>
                <wp:docPr id="59" name="文本框 59"/>
                <wp:cNvGraphicFramePr/>
                <a:graphic xmlns:a="http://schemas.openxmlformats.org/drawingml/2006/main">
                  <a:graphicData uri="http://schemas.microsoft.com/office/word/2010/wordprocessingShape">
                    <wps:wsp>
                      <wps:cNvSpPr txBox="1"/>
                      <wps:spPr>
                        <a:xfrm>
                          <a:off x="0" y="0"/>
                          <a:ext cx="1237615" cy="4692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0" w:firstLineChars="0"/>
                              <w:jc w:val="center"/>
                              <w:rPr>
                                <w:sz w:val="21"/>
                                <w:szCs w:val="21"/>
                              </w:rPr>
                            </w:pPr>
                            <w:r>
                              <w:rPr>
                                <w:rFonts w:hint="eastAsia"/>
                                <w:sz w:val="21"/>
                                <w:szCs w:val="21"/>
                              </w:rPr>
                              <w:t>定制趸船、钢引桥及钢撑杆</w:t>
                            </w:r>
                          </w:p>
                        </w:txbxContent>
                      </wps:txbx>
                      <wps:bodyPr upright="1"/>
                    </wps:wsp>
                  </a:graphicData>
                </a:graphic>
              </wp:anchor>
            </w:drawing>
          </mc:Choice>
          <mc:Fallback>
            <w:pict>
              <v:shape id="_x0000_s1026" o:spid="_x0000_s1026" o:spt="202" type="#_x0000_t202" style="position:absolute;left:0pt;margin-left:40.6pt;margin-top:15.55pt;height:36.95pt;width:97.45pt;z-index:251674624;mso-width-relative:page;mso-height-relative:page;" fillcolor="#FFFFFF" filled="t" stroked="t" coordsize="21600,21600" o:gfxdata="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T3tDPYAAAACQEAAA8AAAAAAAAAAQAgAAAA&#10;IgAAAGRycy9kb3ducmV2LnhtbFBLAQIUABQAAAAIAIdO4kCEY26eCwIAADgEAAAOAAAAAAAAAAEA&#10;IAAAACcBAABkcnMvZTJvRG9jLnhtbFBLBQYAAAAABgAGAFkBAACkBQAAAAA=&#10;">
                <v:fill on="t" focussize="0,0"/>
                <v:stroke color="#000000" joinstyle="miter"/>
                <v:imagedata o:title=""/>
                <o:lock v:ext="edit" aspectratio="f"/>
                <v:textbox>
                  <w:txbxContent>
                    <w:p>
                      <w:pPr>
                        <w:spacing w:line="240" w:lineRule="auto"/>
                        <w:ind w:firstLine="0" w:firstLineChars="0"/>
                        <w:jc w:val="center"/>
                        <w:rPr>
                          <w:sz w:val="21"/>
                          <w:szCs w:val="21"/>
                        </w:rPr>
                      </w:pPr>
                      <w:r>
                        <w:rPr>
                          <w:rFonts w:hint="eastAsia"/>
                          <w:sz w:val="21"/>
                          <w:szCs w:val="21"/>
                        </w:rPr>
                        <w:t>定制趸船、钢引桥及钢撑杆</w:t>
                      </w:r>
                    </w:p>
                  </w:txbxContent>
                </v:textbox>
              </v:shape>
            </w:pict>
          </mc:Fallback>
        </mc:AlternateContent>
      </w:r>
      <w:r>
        <w:rPr>
          <w:rFonts w:ascii="Times New Roman" w:hAnsi="Times New Roman" w:cs="Times New Roman"/>
          <w:caps w:val="0"/>
          <w:smallCaps w:val="0"/>
        </w:rPr>
        <mc:AlternateContent>
          <mc:Choice Requires="wps">
            <w:drawing>
              <wp:anchor distT="0" distB="0" distL="114300" distR="114300" simplePos="0" relativeHeight="251670528" behindDoc="0" locked="0" layoutInCell="1" allowOverlap="1">
                <wp:simplePos x="0" y="0"/>
                <wp:positionH relativeFrom="column">
                  <wp:posOffset>2303145</wp:posOffset>
                </wp:positionH>
                <wp:positionV relativeFrom="paragraph">
                  <wp:posOffset>192405</wp:posOffset>
                </wp:positionV>
                <wp:extent cx="1237615" cy="452755"/>
                <wp:effectExtent l="4445" t="5080" r="15240" b="18415"/>
                <wp:wrapNone/>
                <wp:docPr id="60" name="文本框 60"/>
                <wp:cNvGraphicFramePr/>
                <a:graphic xmlns:a="http://schemas.openxmlformats.org/drawingml/2006/main">
                  <a:graphicData uri="http://schemas.microsoft.com/office/word/2010/wordprocessingShape">
                    <wps:wsp>
                      <wps:cNvSpPr txBox="1"/>
                      <wps:spPr>
                        <a:xfrm>
                          <a:off x="0" y="0"/>
                          <a:ext cx="1237615" cy="45275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0" w:firstLineChars="0"/>
                              <w:jc w:val="center"/>
                              <w:rPr>
                                <w:sz w:val="21"/>
                                <w:szCs w:val="21"/>
                              </w:rPr>
                            </w:pPr>
                            <w:r>
                              <w:rPr>
                                <w:rFonts w:hint="eastAsia"/>
                                <w:sz w:val="21"/>
                                <w:szCs w:val="21"/>
                              </w:rPr>
                              <w:t>趸船、钢引桥及钢撑杆安装</w:t>
                            </w:r>
                          </w:p>
                        </w:txbxContent>
                      </wps:txbx>
                      <wps:bodyPr upright="1"/>
                    </wps:wsp>
                  </a:graphicData>
                </a:graphic>
              </wp:anchor>
            </w:drawing>
          </mc:Choice>
          <mc:Fallback>
            <w:pict>
              <v:shape id="_x0000_s1026" o:spid="_x0000_s1026" o:spt="202" type="#_x0000_t202" style="position:absolute;left:0pt;margin-left:181.35pt;margin-top:15.15pt;height:35.65pt;width:97.45pt;z-index:251670528;mso-width-relative:page;mso-height-relative:page;" fillcolor="#FFFFFF" filled="t" stroked="t" coordsize="21600,21600" o:gfxdata="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AiBtn2QAAAAoBAAAPAAAAAAAAAAEAIAAA&#10;ACIAAABkcnMvZG93bnJldi54bWxQSwECFAAUAAAACACHTuJAozAz3QsCAAA4BAAADgAAAAAAAAAB&#10;ACAAAAAoAQAAZHJzL2Uyb0RvYy54bWxQSwUGAAAAAAYABgBZAQAApQUAAAAA&#10;">
                <v:fill on="t" focussize="0,0"/>
                <v:stroke color="#000000" joinstyle="miter"/>
                <v:imagedata o:title=""/>
                <o:lock v:ext="edit" aspectratio="f"/>
                <v:textbox>
                  <w:txbxContent>
                    <w:p>
                      <w:pPr>
                        <w:spacing w:line="240" w:lineRule="auto"/>
                        <w:ind w:firstLine="0" w:firstLineChars="0"/>
                        <w:jc w:val="center"/>
                        <w:rPr>
                          <w:sz w:val="21"/>
                          <w:szCs w:val="21"/>
                        </w:rPr>
                      </w:pPr>
                      <w:r>
                        <w:rPr>
                          <w:rFonts w:hint="eastAsia"/>
                          <w:sz w:val="21"/>
                          <w:szCs w:val="21"/>
                        </w:rPr>
                        <w:t>趸船、钢引桥及钢撑杆安装</w:t>
                      </w:r>
                    </w:p>
                  </w:txbxContent>
                </v:textbox>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75648" behindDoc="0" locked="0" layoutInCell="1" allowOverlap="1">
                <wp:simplePos x="0" y="0"/>
                <wp:positionH relativeFrom="column">
                  <wp:posOffset>1767205</wp:posOffset>
                </wp:positionH>
                <wp:positionV relativeFrom="paragraph">
                  <wp:posOffset>178435</wp:posOffset>
                </wp:positionV>
                <wp:extent cx="534035" cy="0"/>
                <wp:effectExtent l="0" t="38100" r="18415" b="38100"/>
                <wp:wrapNone/>
                <wp:docPr id="61" name="直接箭头连接符 61"/>
                <wp:cNvGraphicFramePr/>
                <a:graphic xmlns:a="http://schemas.openxmlformats.org/drawingml/2006/main">
                  <a:graphicData uri="http://schemas.microsoft.com/office/word/2010/wordprocessingShape">
                    <wps:wsp>
                      <wps:cNvCnPr/>
                      <wps:spPr>
                        <a:xfrm>
                          <a:off x="0" y="0"/>
                          <a:ext cx="534035"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39.15pt;margin-top:14.05pt;height:0pt;width:42.05pt;z-index:251675648;mso-width-relative:page;mso-height-relative:page;" filled="f" stroked="t" coordsize="21600,21600" o:gfxdata="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bz4HetgAAAAJAQAADwAAAAAAAAABACAAAAAiAAAAZHJz&#10;L2Rvd25yZXYueG1sUEsBAhQAFAAAAAgAh07iQEuF3KIEAgAA8QMAAA4AAAAAAAAAAQAgAAAAJwEA&#10;AGRycy9lMm9Eb2MueG1sUEsFBgAAAAAGAAYAWQEAAJ0FAAAAAA==&#10;">
                <v:fill on="f" focussize="0,0"/>
                <v:stroke color="#000000" joinstyle="round" endarrow="block"/>
                <v:imagedata o:title=""/>
                <o:lock v:ext="edit" aspectratio="f"/>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69504" behindDoc="0" locked="0" layoutInCell="1" allowOverlap="1">
                <wp:simplePos x="0" y="0"/>
                <wp:positionH relativeFrom="column">
                  <wp:posOffset>2914015</wp:posOffset>
                </wp:positionH>
                <wp:positionV relativeFrom="paragraph">
                  <wp:posOffset>126365</wp:posOffset>
                </wp:positionV>
                <wp:extent cx="2540" cy="321310"/>
                <wp:effectExtent l="36195" t="0" r="37465" b="2540"/>
                <wp:wrapNone/>
                <wp:docPr id="58" name="直接箭头连接符 58"/>
                <wp:cNvGraphicFramePr/>
                <a:graphic xmlns:a="http://schemas.openxmlformats.org/drawingml/2006/main">
                  <a:graphicData uri="http://schemas.microsoft.com/office/word/2010/wordprocessingShape">
                    <wps:wsp>
                      <wps:cNvCnPr>
                        <a:endCxn id="63" idx="0"/>
                      </wps:cNvCnPr>
                      <wps:spPr>
                        <a:xfrm>
                          <a:off x="0" y="0"/>
                          <a:ext cx="2540" cy="32131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9.45pt;margin-top:9.95pt;height:25.3pt;width:0.2pt;z-index:251669504;mso-width-relative:page;mso-height-relative:page;" filled="f" stroked="t" coordsize="21600,21600" o:gfxdata="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9EDV+2gAAAAkB&#10;AAAPAAAAAAAAAAEAIAAAACIAAABkcnMvZG93bnJldi54bWxQSwECFAAUAAAACACHTuJAGAHy7xkC&#10;AAAcBAAADgAAAAAAAAABACAAAAApAQAAZHJzL2Uyb0RvYy54bWxQSwUGAAAAAAYABgBZAQAAtAUA&#10;AAAA&#10;">
                <v:fill on="f" focussize="0,0"/>
                <v:stroke color="#000000" joinstyle="round" endarrow="block"/>
                <v:imagedata o:title=""/>
                <o:lock v:ext="edit" aspectratio="f"/>
              </v:shape>
            </w:pict>
          </mc:Fallback>
        </mc:AlternateContent>
      </w:r>
    </w:p>
    <w:p>
      <w:pPr>
        <w:pStyle w:val="69"/>
        <w:rPr>
          <w:rFonts w:ascii="Times New Roman" w:hAnsi="Times New Roman" w:cs="Times New Roman"/>
          <w:caps w:val="0"/>
          <w:smallCaps w:val="0"/>
        </w:rPr>
      </w:pPr>
      <w:r>
        <w:rPr>
          <w:rFonts w:ascii="Times New Roman" w:hAnsi="Times New Roman" w:cs="Times New Roman"/>
          <w:caps w:val="0"/>
          <w:smallCaps w:val="0"/>
        </w:rPr>
        <mc:AlternateContent>
          <mc:Choice Requires="wps">
            <w:drawing>
              <wp:anchor distT="0" distB="0" distL="114300" distR="114300" simplePos="0" relativeHeight="251677696" behindDoc="0" locked="0" layoutInCell="1" allowOverlap="1">
                <wp:simplePos x="0" y="0"/>
                <wp:positionH relativeFrom="column">
                  <wp:posOffset>2297430</wp:posOffset>
                </wp:positionH>
                <wp:positionV relativeFrom="paragraph">
                  <wp:posOffset>184785</wp:posOffset>
                </wp:positionV>
                <wp:extent cx="1237615" cy="288290"/>
                <wp:effectExtent l="4445" t="4445" r="15240" b="12065"/>
                <wp:wrapNone/>
                <wp:docPr id="63" name="文本框 63"/>
                <wp:cNvGraphicFramePr/>
                <a:graphic xmlns:a="http://schemas.openxmlformats.org/drawingml/2006/main">
                  <a:graphicData uri="http://schemas.microsoft.com/office/word/2010/wordprocessingShape">
                    <wps:wsp>
                      <wps:cNvSpPr txBox="1"/>
                      <wps:spPr>
                        <a:xfrm>
                          <a:off x="0" y="0"/>
                          <a:ext cx="1237615" cy="28829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0" w:firstLineChars="0"/>
                              <w:jc w:val="center"/>
                              <w:rPr>
                                <w:rFonts w:hint="eastAsia"/>
                                <w:sz w:val="21"/>
                                <w:szCs w:val="21"/>
                              </w:rPr>
                            </w:pPr>
                            <w:r>
                              <w:rPr>
                                <w:rFonts w:hint="eastAsia"/>
                                <w:sz w:val="21"/>
                                <w:szCs w:val="21"/>
                              </w:rPr>
                              <w:t>趸船定位</w:t>
                            </w:r>
                          </w:p>
                        </w:txbxContent>
                      </wps:txbx>
                      <wps:bodyPr upright="1"/>
                    </wps:wsp>
                  </a:graphicData>
                </a:graphic>
              </wp:anchor>
            </w:drawing>
          </mc:Choice>
          <mc:Fallback>
            <w:pict>
              <v:shape id="_x0000_s1026" o:spid="_x0000_s1026" o:spt="202" type="#_x0000_t202" style="position:absolute;left:0pt;margin-left:180.9pt;margin-top:14.55pt;height:22.7pt;width:97.45pt;z-index:251677696;mso-width-relative:page;mso-height-relative:page;" fillcolor="#FFFFFF" filled="t" stroked="t" coordsize="21600,21600" o:gfxdata="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Dquudd2QAAAAkBAAAPAAAAAAAAAAEA&#10;IAAAACIAAABkcnMvZG93bnJldi54bWxQSwECFAAUAAAACACHTuJAwnqtNg4CAAA4BAAADgAAAAAA&#10;AAABACAAAAAoAQAAZHJzL2Uyb0RvYy54bWxQSwUGAAAAAAYABgBZAQAAqAUAAAAA&#10;">
                <v:fill on="t" focussize="0,0"/>
                <v:stroke color="#000000" joinstyle="miter"/>
                <v:imagedata o:title=""/>
                <o:lock v:ext="edit" aspectratio="f"/>
                <v:textbox>
                  <w:txbxContent>
                    <w:p>
                      <w:pPr>
                        <w:spacing w:line="240" w:lineRule="auto"/>
                        <w:ind w:firstLine="0" w:firstLineChars="0"/>
                        <w:jc w:val="center"/>
                        <w:rPr>
                          <w:rFonts w:hint="eastAsia"/>
                          <w:sz w:val="21"/>
                          <w:szCs w:val="21"/>
                        </w:rPr>
                      </w:pPr>
                      <w:r>
                        <w:rPr>
                          <w:rFonts w:hint="eastAsia"/>
                          <w:sz w:val="21"/>
                          <w:szCs w:val="21"/>
                        </w:rPr>
                        <w:t>趸船定位</w:t>
                      </w:r>
                    </w:p>
                  </w:txbxContent>
                </v:textbox>
              </v:shape>
            </w:pict>
          </mc:Fallback>
        </mc:AlternateContent>
      </w:r>
    </w:p>
    <w:p>
      <w:pPr>
        <w:adjustRightInd w:val="0"/>
        <w:snapToGrid w:val="0"/>
        <w:spacing w:line="240" w:lineRule="auto"/>
        <w:ind w:firstLine="0" w:firstLineChars="0"/>
        <w:jc w:val="center"/>
        <w:rPr>
          <w:rFonts w:ascii="Times New Roman" w:hAnsi="Times New Roman" w:cs="Times New Roman"/>
          <w:b/>
          <w:caps w:val="0"/>
          <w:smallCaps w:val="0"/>
          <w:kern w:val="0"/>
        </w:rPr>
      </w:pPr>
      <w:r>
        <w:rPr>
          <w:rFonts w:ascii="Times New Roman" w:hAnsi="Times New Roman" w:cs="Times New Roman"/>
          <w:caps w:val="0"/>
          <w:smallCaps w:val="0"/>
        </w:rPr>
        <mc:AlternateContent>
          <mc:Choice Requires="wps">
            <w:drawing>
              <wp:anchor distT="0" distB="0" distL="114300" distR="114300" simplePos="0" relativeHeight="251678720" behindDoc="0" locked="0" layoutInCell="1" allowOverlap="1">
                <wp:simplePos x="0" y="0"/>
                <wp:positionH relativeFrom="column">
                  <wp:posOffset>2913380</wp:posOffset>
                </wp:positionH>
                <wp:positionV relativeFrom="paragraph">
                  <wp:posOffset>210820</wp:posOffset>
                </wp:positionV>
                <wp:extent cx="635" cy="264795"/>
                <wp:effectExtent l="37465" t="0" r="38100" b="1905"/>
                <wp:wrapNone/>
                <wp:docPr id="68" name="直接箭头连接符 68"/>
                <wp:cNvGraphicFramePr/>
                <a:graphic xmlns:a="http://schemas.openxmlformats.org/drawingml/2006/main">
                  <a:graphicData uri="http://schemas.microsoft.com/office/word/2010/wordprocessingShape">
                    <wps:wsp>
                      <wps:cNvCnPr/>
                      <wps:spPr>
                        <a:xfrm>
                          <a:off x="0" y="0"/>
                          <a:ext cx="635" cy="2647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29.4pt;margin-top:16.6pt;height:20.85pt;width:0.05pt;z-index:251678720;mso-width-relative:page;mso-height-relative:page;" filled="f" stroked="t" coordsize="21600,21600" o:gfxdata="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4HwBNtoAAAAJAQAADwAAAAAAAAABACAAAAAiAAAA&#10;ZHJzL2Rvd25yZXYueG1sUEsBAhQAFAAAAAgAh07iQLBR0gIFAgAA8wMAAA4AAAAAAAAAAQAgAAAA&#10;KQEAAGRycy9lMm9Eb2MueG1sUEsFBgAAAAAGAAYAWQEAAKAFAAAAAA==&#10;">
                <v:fill on="f" focussize="0,0"/>
                <v:stroke color="#000000" joinstyle="round" endarrow="block"/>
                <v:imagedata o:title=""/>
                <o:lock v:ext="edit" aspectratio="f"/>
              </v:shape>
            </w:pict>
          </mc:Fallback>
        </mc:AlternateContent>
      </w:r>
    </w:p>
    <w:p>
      <w:pPr>
        <w:adjustRightInd w:val="0"/>
        <w:snapToGrid w:val="0"/>
        <w:spacing w:line="240" w:lineRule="auto"/>
        <w:ind w:firstLine="0" w:firstLineChars="0"/>
        <w:jc w:val="center"/>
        <w:rPr>
          <w:rFonts w:ascii="Times New Roman" w:hAnsi="Times New Roman" w:cs="Times New Roman"/>
          <w:b/>
          <w:caps w:val="0"/>
          <w:smallCaps w:val="0"/>
          <w:kern w:val="0"/>
        </w:rPr>
      </w:pPr>
    </w:p>
    <w:p>
      <w:pPr>
        <w:adjustRightInd w:val="0"/>
        <w:snapToGrid w:val="0"/>
        <w:spacing w:line="240" w:lineRule="auto"/>
        <w:ind w:firstLine="0" w:firstLineChars="0"/>
        <w:jc w:val="center"/>
        <w:rPr>
          <w:rFonts w:ascii="Times New Roman" w:hAnsi="Times New Roman" w:cs="Times New Roman"/>
          <w:b/>
          <w:caps w:val="0"/>
          <w:smallCaps w:val="0"/>
          <w:kern w:val="0"/>
        </w:rPr>
      </w:pPr>
      <w:r>
        <w:rPr>
          <w:rFonts w:ascii="Times New Roman" w:hAnsi="Times New Roman" w:cs="Times New Roman"/>
          <w:caps w:val="0"/>
          <w:smallCaps w:val="0"/>
        </w:rPr>
        <mc:AlternateContent>
          <mc:Choice Requires="wps">
            <w:drawing>
              <wp:anchor distT="0" distB="0" distL="114300" distR="114300" simplePos="0" relativeHeight="251679744" behindDoc="0" locked="0" layoutInCell="1" allowOverlap="1">
                <wp:simplePos x="0" y="0"/>
                <wp:positionH relativeFrom="column">
                  <wp:posOffset>2304415</wp:posOffset>
                </wp:positionH>
                <wp:positionV relativeFrom="paragraph">
                  <wp:posOffset>123825</wp:posOffset>
                </wp:positionV>
                <wp:extent cx="1237615" cy="332105"/>
                <wp:effectExtent l="4445" t="4445" r="15240" b="6350"/>
                <wp:wrapNone/>
                <wp:docPr id="69" name="文本框 69"/>
                <wp:cNvGraphicFramePr/>
                <a:graphic xmlns:a="http://schemas.openxmlformats.org/drawingml/2006/main">
                  <a:graphicData uri="http://schemas.microsoft.com/office/word/2010/wordprocessingShape">
                    <wps:wsp>
                      <wps:cNvSpPr txBox="1"/>
                      <wps:spPr>
                        <a:xfrm>
                          <a:off x="0" y="0"/>
                          <a:ext cx="1237615" cy="33210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240" w:lineRule="auto"/>
                              <w:ind w:firstLine="0" w:firstLineChars="0"/>
                              <w:jc w:val="center"/>
                              <w:rPr>
                                <w:rFonts w:hint="eastAsia"/>
                                <w:sz w:val="21"/>
                                <w:szCs w:val="21"/>
                              </w:rPr>
                            </w:pPr>
                            <w:r>
                              <w:rPr>
                                <w:rFonts w:hint="eastAsia"/>
                                <w:sz w:val="21"/>
                                <w:szCs w:val="21"/>
                              </w:rPr>
                              <w:t>装卸设备安装</w:t>
                            </w:r>
                          </w:p>
                        </w:txbxContent>
                      </wps:txbx>
                      <wps:bodyPr upright="1"/>
                    </wps:wsp>
                  </a:graphicData>
                </a:graphic>
              </wp:anchor>
            </w:drawing>
          </mc:Choice>
          <mc:Fallback>
            <w:pict>
              <v:shape id="_x0000_s1026" o:spid="_x0000_s1026" o:spt="202" type="#_x0000_t202" style="position:absolute;left:0pt;margin-left:181.45pt;margin-top:9.75pt;height:26.15pt;width:97.45pt;z-index:251679744;mso-width-relative:page;mso-height-relative:page;" fillcolor="#FFFFFF" filled="t" stroked="t" coordsize="21600,21600" o:gfxdata="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Dcif8w2AAAAAkBAAAPAAAAAAAAAAEAIAAA&#10;ACIAAABkcnMvZG93bnJldi54bWxQSwECFAAUAAAACACHTuJA8MU4TQwCAAA4BAAADgAAAAAAAAAB&#10;ACAAAAAnAQAAZHJzL2Uyb0RvYy54bWxQSwUGAAAAAAYABgBZAQAApQUAAAAA&#10;">
                <v:fill on="t" focussize="0,0"/>
                <v:stroke color="#000000" joinstyle="miter"/>
                <v:imagedata o:title=""/>
                <o:lock v:ext="edit" aspectratio="f"/>
                <v:textbox>
                  <w:txbxContent>
                    <w:p>
                      <w:pPr>
                        <w:spacing w:line="240" w:lineRule="auto"/>
                        <w:ind w:firstLine="0" w:firstLineChars="0"/>
                        <w:jc w:val="center"/>
                        <w:rPr>
                          <w:rFonts w:hint="eastAsia"/>
                          <w:sz w:val="21"/>
                          <w:szCs w:val="21"/>
                        </w:rPr>
                      </w:pPr>
                      <w:r>
                        <w:rPr>
                          <w:rFonts w:hint="eastAsia"/>
                          <w:sz w:val="21"/>
                          <w:szCs w:val="21"/>
                        </w:rPr>
                        <w:t>装卸设备安装</w:t>
                      </w:r>
                    </w:p>
                  </w:txbxContent>
                </v:textbox>
              </v:shape>
            </w:pict>
          </mc:Fallback>
        </mc:AlternateContent>
      </w:r>
    </w:p>
    <w:p>
      <w:pPr>
        <w:adjustRightInd w:val="0"/>
        <w:snapToGrid w:val="0"/>
        <w:spacing w:line="240" w:lineRule="auto"/>
        <w:ind w:firstLine="0" w:firstLineChars="0"/>
        <w:jc w:val="center"/>
        <w:rPr>
          <w:rFonts w:ascii="Times New Roman" w:hAnsi="Times New Roman" w:cs="Times New Roman"/>
          <w:b/>
          <w:caps w:val="0"/>
          <w:smallCaps w:val="0"/>
          <w:kern w:val="0"/>
        </w:rPr>
      </w:pPr>
    </w:p>
    <w:p>
      <w:pPr>
        <w:adjustRightInd w:val="0"/>
        <w:snapToGrid w:val="0"/>
        <w:spacing w:line="240" w:lineRule="auto"/>
        <w:ind w:firstLine="0" w:firstLineChars="0"/>
        <w:jc w:val="center"/>
        <w:rPr>
          <w:rFonts w:ascii="Times New Roman" w:hAnsi="Times New Roman" w:cs="Times New Roman"/>
          <w:b/>
          <w:caps w:val="0"/>
          <w:smallCaps w:val="0"/>
          <w:kern w:val="0"/>
        </w:rPr>
      </w:pPr>
    </w:p>
    <w:p>
      <w:pPr>
        <w:adjustRightInd w:val="0"/>
        <w:snapToGrid w:val="0"/>
        <w:spacing w:line="240" w:lineRule="auto"/>
        <w:ind w:firstLine="0" w:firstLineChars="0"/>
        <w:jc w:val="center"/>
        <w:rPr>
          <w:rFonts w:ascii="Times New Roman" w:hAnsi="Times New Roman" w:cs="Times New Roman"/>
          <w:b/>
          <w:caps w:val="0"/>
          <w:smallCaps w:val="0"/>
          <w:kern w:val="0"/>
        </w:rPr>
      </w:pPr>
      <w:r>
        <w:rPr>
          <w:rFonts w:ascii="Times New Roman" w:hAnsi="Times New Roman" w:cs="Times New Roman"/>
          <w:b/>
          <w:caps w:val="0"/>
          <w:smallCaps w:val="0"/>
          <w:kern w:val="0"/>
        </w:rPr>
        <w:t>图</w:t>
      </w:r>
      <w:r>
        <w:rPr>
          <w:rFonts w:hint="eastAsia" w:ascii="Times New Roman" w:hAnsi="Times New Roman" w:cs="Times New Roman"/>
          <w:b/>
          <w:caps w:val="0"/>
          <w:smallCaps w:val="0"/>
          <w:kern w:val="0"/>
          <w:lang w:val="en-US" w:eastAsia="zh-CN"/>
        </w:rPr>
        <w:t>3</w:t>
      </w:r>
      <w:r>
        <w:rPr>
          <w:rFonts w:ascii="Times New Roman" w:hAnsi="Times New Roman" w:cs="Times New Roman"/>
          <w:b/>
          <w:caps w:val="0"/>
          <w:smallCaps w:val="0"/>
          <w:kern w:val="0"/>
        </w:rPr>
        <w:t>.</w:t>
      </w:r>
      <w:r>
        <w:rPr>
          <w:rFonts w:hint="eastAsia" w:cs="Times New Roman"/>
          <w:b/>
          <w:caps w:val="0"/>
          <w:smallCaps w:val="0"/>
          <w:kern w:val="0"/>
          <w:lang w:val="en-US" w:eastAsia="zh-CN"/>
        </w:rPr>
        <w:t>6</w:t>
      </w:r>
      <w:r>
        <w:rPr>
          <w:rFonts w:ascii="Times New Roman" w:hAnsi="Times New Roman" w:cs="Times New Roman"/>
          <w:b/>
          <w:caps w:val="0"/>
          <w:smallCaps w:val="0"/>
          <w:kern w:val="0"/>
        </w:rPr>
        <w:t>-</w:t>
      </w:r>
      <w:r>
        <w:rPr>
          <w:rFonts w:hint="eastAsia" w:ascii="Times New Roman" w:hAnsi="Times New Roman" w:cs="Times New Roman"/>
          <w:b/>
          <w:caps w:val="0"/>
          <w:smallCaps w:val="0"/>
          <w:kern w:val="0"/>
          <w:lang w:val="en-US" w:eastAsia="zh-CN"/>
        </w:rPr>
        <w:t>2</w:t>
      </w:r>
      <w:r>
        <w:rPr>
          <w:rFonts w:ascii="Times New Roman" w:hAnsi="Times New Roman" w:cs="Times New Roman"/>
          <w:b/>
          <w:caps w:val="0"/>
          <w:smallCaps w:val="0"/>
          <w:kern w:val="0"/>
        </w:rPr>
        <w:t xml:space="preserve">  本工程主要施工顺序图</w:t>
      </w:r>
    </w:p>
    <w:p>
      <w:pPr>
        <w:ind w:firstLine="480"/>
        <w:contextualSpacing/>
        <w:rPr>
          <w:rFonts w:ascii="Times New Roman" w:hAnsi="Times New Roman" w:cs="Times New Roman"/>
          <w:caps w:val="0"/>
          <w:smallCaps w:val="0"/>
          <w:szCs w:val="28"/>
          <w:u w:val="single"/>
        </w:rPr>
      </w:pPr>
      <w:r>
        <w:rPr>
          <w:rFonts w:ascii="Times New Roman" w:hAnsi="Times New Roman" w:cs="Times New Roman"/>
          <w:caps w:val="0"/>
          <w:smallCaps w:val="0"/>
          <w:szCs w:val="28"/>
          <w:u w:val="single"/>
        </w:rPr>
        <w:t>（1）港池疏挖</w:t>
      </w:r>
      <w:r>
        <w:rPr>
          <w:rFonts w:ascii="Times New Roman" w:hAnsi="Times New Roman" w:cs="Times New Roman"/>
          <w:caps w:val="0"/>
          <w:smallCaps w:val="0"/>
          <w:kern w:val="0"/>
          <w:u w:val="single"/>
        </w:rPr>
        <w:t>及护坡</w:t>
      </w:r>
    </w:p>
    <w:p>
      <w:pPr>
        <w:ind w:firstLine="480"/>
        <w:contextualSpacing/>
        <w:rPr>
          <w:rFonts w:ascii="Times New Roman" w:hAnsi="Times New Roman" w:cs="Times New Roman"/>
          <w:caps w:val="0"/>
          <w:smallCaps w:val="0"/>
          <w:szCs w:val="28"/>
          <w:u w:val="single"/>
        </w:rPr>
      </w:pPr>
      <w:r>
        <w:rPr>
          <w:rFonts w:ascii="Times New Roman" w:hAnsi="Times New Roman" w:cs="Times New Roman"/>
          <w:caps w:val="0"/>
          <w:smallCaps w:val="0"/>
          <w:szCs w:val="28"/>
          <w:u w:val="single"/>
        </w:rPr>
        <w:t>本工程码头疏浚拟采用抓斗式挖泥船挖泥，</w:t>
      </w:r>
      <w:r>
        <w:rPr>
          <w:rFonts w:ascii="Times New Roman" w:hAnsi="Times New Roman" w:cs="Times New Roman"/>
          <w:caps w:val="0"/>
          <w:smallCaps w:val="0"/>
          <w:u w:val="single"/>
        </w:rPr>
        <w:t>抓斗挖泥船采取纵挖法施工，根据各施工区具体分布情况采用分段、分条、分层的施工方法。</w:t>
      </w:r>
      <w:r>
        <w:rPr>
          <w:rFonts w:ascii="Times New Roman" w:hAnsi="Times New Roman" w:cs="Times New Roman"/>
          <w:caps w:val="0"/>
          <w:smallCaps w:val="0"/>
          <w:szCs w:val="28"/>
          <w:u w:val="single"/>
        </w:rPr>
        <w:t>挖断面不应小于设计开挖断面，港池疏浚超深按0.</w:t>
      </w:r>
      <w:r>
        <w:rPr>
          <w:rFonts w:hint="eastAsia" w:ascii="Times New Roman" w:hAnsi="Times New Roman" w:cs="Times New Roman"/>
          <w:caps w:val="0"/>
          <w:smallCaps w:val="0"/>
          <w:szCs w:val="28"/>
          <w:u w:val="single"/>
          <w:lang w:val="en-US" w:eastAsia="zh-CN"/>
        </w:rPr>
        <w:t>5</w:t>
      </w:r>
      <w:r>
        <w:rPr>
          <w:rFonts w:ascii="Times New Roman" w:hAnsi="Times New Roman" w:cs="Times New Roman"/>
          <w:caps w:val="0"/>
          <w:smallCaps w:val="0"/>
          <w:szCs w:val="28"/>
          <w:u w:val="single"/>
        </w:rPr>
        <w:t>m计，超宽按</w:t>
      </w:r>
      <w:r>
        <w:rPr>
          <w:rFonts w:hint="eastAsia" w:cs="Times New Roman"/>
          <w:caps w:val="0"/>
          <w:smallCaps w:val="0"/>
          <w:szCs w:val="28"/>
          <w:u w:val="single"/>
          <w:lang w:val="en-US" w:eastAsia="zh-CN"/>
        </w:rPr>
        <w:t>2</w:t>
      </w:r>
      <w:r>
        <w:rPr>
          <w:rFonts w:ascii="Times New Roman" w:hAnsi="Times New Roman" w:cs="Times New Roman"/>
          <w:caps w:val="0"/>
          <w:smallCaps w:val="0"/>
          <w:szCs w:val="28"/>
          <w:u w:val="single"/>
        </w:rPr>
        <w:t>.0m计。港池开挖完毕后，立即进行护坡施工，护坡采用浆砌石护面，砂浆终凝前砌体应覆盖，砂浆初凝后进行养护，浆砌块石护面设置伸缩缝，严格做好排水坡度，不得积水。</w:t>
      </w:r>
    </w:p>
    <w:p>
      <w:pPr>
        <w:pStyle w:val="315"/>
        <w:tabs>
          <w:tab w:val="right" w:leader="dot" w:pos="9070"/>
        </w:tabs>
        <w:adjustRightInd w:val="0"/>
        <w:snapToGrid w:val="0"/>
        <w:spacing w:line="360" w:lineRule="auto"/>
        <w:ind w:firstLine="480" w:firstLineChars="200"/>
        <w:jc w:val="both"/>
        <w:rPr>
          <w:rFonts w:hint="eastAsia" w:ascii="Times New Roman" w:hAnsi="Times New Roman" w:cs="Times New Roman" w:eastAsiaTheme="minorEastAsia"/>
          <w:caps w:val="0"/>
          <w:smallCaps w:val="0"/>
          <w:sz w:val="24"/>
          <w:szCs w:val="24"/>
        </w:rPr>
      </w:pPr>
      <w:r>
        <w:rPr>
          <w:rFonts w:ascii="Times New Roman" w:hAnsi="Times New Roman" w:cs="Times New Roman"/>
          <w:caps w:val="0"/>
          <w:smallCaps w:val="0"/>
          <w:sz w:val="24"/>
          <w:szCs w:val="24"/>
          <w:u w:val="single"/>
        </w:rPr>
        <w:t>本项目疏浚淤泥采用8m</w:t>
      </w:r>
      <w:r>
        <w:rPr>
          <w:rFonts w:ascii="Times New Roman" w:hAnsi="Times New Roman" w:cs="Times New Roman"/>
          <w:caps w:val="0"/>
          <w:smallCaps w:val="0"/>
          <w:sz w:val="24"/>
          <w:szCs w:val="24"/>
          <w:u w:val="single"/>
          <w:vertAlign w:val="superscript"/>
        </w:rPr>
        <w:t>3</w:t>
      </w:r>
      <w:r>
        <w:rPr>
          <w:rFonts w:ascii="Times New Roman" w:hAnsi="Times New Roman" w:cs="Times New Roman"/>
          <w:caps w:val="0"/>
          <w:smallCaps w:val="0"/>
          <w:sz w:val="24"/>
          <w:szCs w:val="24"/>
          <w:u w:val="single"/>
        </w:rPr>
        <w:t>的抓斗挖泥船进行疏浚，</w:t>
      </w:r>
      <w:r>
        <w:rPr>
          <w:rFonts w:ascii="Times New Roman" w:hAnsi="Times New Roman"/>
          <w:kern w:val="0"/>
          <w:sz w:val="24"/>
          <w:u w:val="single"/>
        </w:rPr>
        <w:t>要求建设单位与水利管理部门联系，将疏浚</w:t>
      </w:r>
      <w:r>
        <w:rPr>
          <w:rFonts w:hint="eastAsia" w:ascii="Times New Roman" w:hAnsi="Times New Roman"/>
          <w:kern w:val="0"/>
          <w:sz w:val="24"/>
          <w:u w:val="single"/>
          <w:lang w:eastAsia="zh-CN"/>
        </w:rPr>
        <w:t>淤泥</w:t>
      </w:r>
      <w:r>
        <w:rPr>
          <w:rFonts w:ascii="Times New Roman" w:hAnsi="Times New Roman"/>
          <w:kern w:val="0"/>
          <w:sz w:val="24"/>
          <w:u w:val="single"/>
        </w:rPr>
        <w:t>送到交通管理部门指定抛泥点处置。</w:t>
      </w:r>
    </w:p>
    <w:p>
      <w:pPr>
        <w:ind w:firstLine="480"/>
        <w:contextualSpacing/>
        <w:rPr>
          <w:rFonts w:ascii="Times New Roman" w:hAnsi="Times New Roman" w:cs="Times New Roman"/>
          <w:caps w:val="0"/>
          <w:smallCaps w:val="0"/>
          <w:szCs w:val="28"/>
          <w:u w:val="single"/>
        </w:rPr>
      </w:pPr>
      <w:r>
        <w:rPr>
          <w:rFonts w:ascii="Times New Roman" w:hAnsi="Times New Roman" w:cs="Times New Roman"/>
          <w:caps w:val="0"/>
          <w:smallCaps w:val="0"/>
          <w:szCs w:val="28"/>
          <w:u w:val="single"/>
        </w:rPr>
        <w:t>（2）桩基钻孔灌装</w:t>
      </w:r>
    </w:p>
    <w:p>
      <w:pPr>
        <w:ind w:firstLine="480"/>
        <w:contextualSpacing/>
        <w:rPr>
          <w:rFonts w:ascii="Times New Roman" w:hAnsi="Times New Roman" w:cs="Times New Roman"/>
          <w:caps w:val="0"/>
          <w:smallCaps w:val="0"/>
          <w:szCs w:val="28"/>
          <w:u w:val="single"/>
        </w:rPr>
      </w:pPr>
      <w:r>
        <w:rPr>
          <w:rFonts w:ascii="Times New Roman" w:hAnsi="Times New Roman" w:cs="Times New Roman"/>
          <w:caps w:val="0"/>
          <w:smallCaps w:val="0"/>
          <w:szCs w:val="28"/>
          <w:u w:val="single"/>
        </w:rPr>
        <w:t>桩基为钻孔灌注桩，根据地质情况采用合适的钻机成孔。</w:t>
      </w:r>
      <w:r>
        <w:rPr>
          <w:rFonts w:hint="eastAsia" w:ascii="Times New Roman" w:hAnsi="Times New Roman" w:cs="Times New Roman"/>
          <w:caps w:val="0"/>
          <w:smallCaps w:val="0"/>
          <w:szCs w:val="28"/>
          <w:u w:val="single"/>
          <w:lang w:val="en-US" w:eastAsia="zh-CN"/>
        </w:rPr>
        <w:t>定位桩采用</w:t>
      </w:r>
      <w:r>
        <w:rPr>
          <w:rFonts w:hint="eastAsia" w:cs="Times New Roman"/>
          <w:caps w:val="0"/>
          <w:smallCaps w:val="0"/>
          <w:szCs w:val="28"/>
          <w:u w:val="single"/>
          <w:lang w:val="en-US" w:eastAsia="zh-CN"/>
        </w:rPr>
        <w:t>钻孔灌注桩（带永久钢护筒）</w:t>
      </w:r>
      <w:r>
        <w:rPr>
          <w:rFonts w:hint="eastAsia" w:ascii="Times New Roman" w:hAnsi="Times New Roman" w:cs="Times New Roman"/>
          <w:caps w:val="0"/>
          <w:smallCaps w:val="0"/>
          <w:szCs w:val="28"/>
          <w:u w:val="single"/>
          <w:lang w:val="en-US" w:eastAsia="zh-CN"/>
        </w:rPr>
        <w:t>方案，其他桩基可陆上施工</w:t>
      </w:r>
      <w:r>
        <w:rPr>
          <w:rFonts w:ascii="Times New Roman" w:hAnsi="Times New Roman" w:cs="Times New Roman"/>
          <w:caps w:val="0"/>
          <w:smallCaps w:val="0"/>
          <w:szCs w:val="28"/>
          <w:u w:val="single"/>
        </w:rPr>
        <w:t>。可利用枯水期干地施工完成。</w:t>
      </w:r>
    </w:p>
    <w:p>
      <w:pPr>
        <w:pStyle w:val="2"/>
        <w:ind w:left="0" w:leftChars="0" w:firstLine="0" w:firstLineChars="0"/>
        <w:jc w:val="center"/>
        <w:rPr>
          <w:u w:val="single"/>
        </w:rPr>
      </w:pPr>
      <w:r>
        <w:rPr>
          <w:u w:val="single"/>
        </w:rPr>
        <w:object>
          <v:shape id="_x0000_i1025" o:spt="75" type="#_x0000_t75" style="height:380.25pt;width:417pt;" o:ole="t" filled="f" o:preferrelative="t" stroked="f" coordsize="21600,21600">
            <v:path/>
            <v:fill on="f" focussize="0,0"/>
            <v:stroke on="f"/>
            <v:imagedata r:id="rId34" o:title=""/>
            <o:lock v:ext="edit" aspectratio="f"/>
            <w10:wrap type="none"/>
            <w10:anchorlock/>
          </v:shape>
          <o:OLEObject Type="Embed" ProgID="Visio.Drawing.11" ShapeID="_x0000_i1025" DrawAspect="Content" ObjectID="_1468075725" r:id="rId33">
            <o:LockedField>false</o:LockedField>
          </o:OLEObject>
        </w:object>
      </w:r>
    </w:p>
    <w:p>
      <w:pPr>
        <w:adjustRightInd w:val="0"/>
        <w:snapToGrid w:val="0"/>
        <w:ind w:firstLine="482"/>
        <w:jc w:val="center"/>
        <w:rPr>
          <w:rFonts w:ascii="Times New Roman" w:hAnsi="Times New Roman" w:cs="Times New Roman"/>
          <w:b/>
          <w:bCs/>
          <w:caps w:val="0"/>
          <w:smallCaps w:val="0"/>
          <w:u w:val="single"/>
          <w:lang w:val="zh-CN"/>
        </w:rPr>
      </w:pPr>
      <w:r>
        <w:rPr>
          <w:rFonts w:ascii="Times New Roman" w:hAnsi="Times New Roman" w:cs="Times New Roman"/>
          <w:b/>
          <w:bCs/>
          <w:caps w:val="0"/>
          <w:smallCaps w:val="0"/>
          <w:u w:val="single"/>
          <w:lang w:val="zh-CN"/>
        </w:rPr>
        <w:t>图</w:t>
      </w:r>
      <w:r>
        <w:rPr>
          <w:rFonts w:hint="eastAsia" w:ascii="Times New Roman" w:hAnsi="Times New Roman" w:cs="Times New Roman"/>
          <w:b/>
          <w:bCs/>
          <w:caps w:val="0"/>
          <w:smallCaps w:val="0"/>
          <w:u w:val="single"/>
          <w:lang w:val="en-US" w:eastAsia="zh-CN"/>
        </w:rPr>
        <w:t>3</w:t>
      </w:r>
      <w:r>
        <w:rPr>
          <w:rFonts w:ascii="Times New Roman" w:hAnsi="Times New Roman" w:cs="Times New Roman"/>
          <w:b/>
          <w:bCs/>
          <w:caps w:val="0"/>
          <w:smallCaps w:val="0"/>
          <w:u w:val="single"/>
        </w:rPr>
        <w:t>.</w:t>
      </w:r>
      <w:r>
        <w:rPr>
          <w:rFonts w:hint="eastAsia" w:cs="Times New Roman"/>
          <w:b/>
          <w:bCs/>
          <w:caps w:val="0"/>
          <w:smallCaps w:val="0"/>
          <w:u w:val="single"/>
          <w:lang w:val="en-US" w:eastAsia="zh-CN"/>
        </w:rPr>
        <w:t>6</w:t>
      </w:r>
      <w:r>
        <w:rPr>
          <w:rFonts w:ascii="Times New Roman" w:hAnsi="Times New Roman" w:cs="Times New Roman"/>
          <w:b/>
          <w:bCs/>
          <w:caps w:val="0"/>
          <w:smallCaps w:val="0"/>
          <w:u w:val="single"/>
        </w:rPr>
        <w:t>-</w:t>
      </w:r>
      <w:r>
        <w:rPr>
          <w:rFonts w:hint="eastAsia" w:ascii="Times New Roman" w:hAnsi="Times New Roman" w:cs="Times New Roman"/>
          <w:b/>
          <w:bCs/>
          <w:caps w:val="0"/>
          <w:smallCaps w:val="0"/>
          <w:u w:val="single"/>
          <w:lang w:val="en-US" w:eastAsia="zh-CN"/>
        </w:rPr>
        <w:t>3</w:t>
      </w:r>
      <w:r>
        <w:rPr>
          <w:rFonts w:ascii="Times New Roman" w:hAnsi="Times New Roman" w:cs="Times New Roman"/>
          <w:b/>
          <w:bCs/>
          <w:caps w:val="0"/>
          <w:smallCaps w:val="0"/>
          <w:u w:val="single"/>
        </w:rPr>
        <w:t xml:space="preserve"> </w:t>
      </w:r>
      <w:r>
        <w:rPr>
          <w:rFonts w:ascii="Times New Roman" w:hAnsi="Times New Roman" w:cs="Times New Roman"/>
          <w:b/>
          <w:bCs/>
          <w:caps w:val="0"/>
          <w:smallCaps w:val="0"/>
          <w:u w:val="single"/>
          <w:lang w:val="zh-CN"/>
        </w:rPr>
        <w:t xml:space="preserve"> 灌注桩施工工艺流程图</w:t>
      </w:r>
    </w:p>
    <w:p>
      <w:pPr>
        <w:ind w:firstLine="480"/>
        <w:contextualSpacing/>
        <w:rPr>
          <w:rFonts w:hint="eastAsia" w:ascii="Times New Roman" w:hAnsi="Times New Roman" w:eastAsia="宋体" w:cs="Times New Roman"/>
          <w:caps w:val="0"/>
          <w:smallCaps w:val="0"/>
          <w:szCs w:val="28"/>
          <w:u w:val="single"/>
          <w:lang w:val="en-US" w:eastAsia="zh-CN"/>
        </w:rPr>
      </w:pPr>
      <w:r>
        <w:rPr>
          <w:rFonts w:hint="default" w:ascii="Times New Roman" w:hAnsi="Times New Roman" w:cs="Times New Roman"/>
          <w:caps w:val="0"/>
          <w:smallCaps w:val="0"/>
          <w:szCs w:val="28"/>
          <w:u w:val="single"/>
          <w:lang w:val="zh-CN"/>
        </w:rPr>
        <w:t>施工方法</w:t>
      </w:r>
      <w:r>
        <w:rPr>
          <w:rFonts w:hint="eastAsia" w:cs="Times New Roman"/>
          <w:caps w:val="0"/>
          <w:smallCaps w:val="0"/>
          <w:szCs w:val="28"/>
          <w:u w:val="single"/>
          <w:lang w:val="zh-CN"/>
        </w:rPr>
        <w:t>：</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①</w:t>
      </w:r>
      <w:r>
        <w:rPr>
          <w:rFonts w:hint="default" w:ascii="Times New Roman" w:hAnsi="Times New Roman" w:cs="Times New Roman"/>
          <w:caps w:val="0"/>
          <w:smallCaps w:val="0"/>
          <w:szCs w:val="28"/>
          <w:u w:val="single"/>
          <w:lang w:val="en-US" w:eastAsia="zh-CN"/>
        </w:rPr>
        <w:t xml:space="preserve"> </w:t>
      </w:r>
      <w:r>
        <w:rPr>
          <w:rFonts w:hint="default" w:ascii="Times New Roman" w:hAnsi="Times New Roman" w:cs="Times New Roman"/>
          <w:caps w:val="0"/>
          <w:smallCaps w:val="0"/>
          <w:szCs w:val="28"/>
          <w:u w:val="single"/>
          <w:lang w:val="zh-CN"/>
        </w:rPr>
        <w:t>钢护筒埋设</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测量首先进行桩位放样，做好桩中心位置标记。钢护筒按测量位置就位，测量报验后开始用振动锤振沉，时刻观察振沉过程，及时调整校正桩位以及垂直度。引桥岸坡上埋设护筒，先移除岸坡上护面层，平整钻机站位场地，测量测设桩位，开挖埋设护筒。</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②</w:t>
      </w:r>
      <w:r>
        <w:rPr>
          <w:rFonts w:hint="default" w:ascii="Times New Roman" w:hAnsi="Times New Roman" w:cs="Times New Roman"/>
          <w:caps w:val="0"/>
          <w:smallCaps w:val="0"/>
          <w:szCs w:val="28"/>
          <w:u w:val="single"/>
          <w:lang w:val="en-US" w:eastAsia="zh-CN"/>
        </w:rPr>
        <w:t xml:space="preserve"> </w:t>
      </w:r>
      <w:r>
        <w:rPr>
          <w:rFonts w:hint="default" w:ascii="Times New Roman" w:hAnsi="Times New Roman" w:cs="Times New Roman"/>
          <w:caps w:val="0"/>
          <w:smallCaps w:val="0"/>
          <w:szCs w:val="28"/>
          <w:u w:val="single"/>
          <w:lang w:val="zh-CN"/>
        </w:rPr>
        <w:t>钻机就位</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根据地层地质情况，钻机选用反循环回旋钻机，配尖底鱼尾式和圆笼式钻头。钻机运到灌注桩施工平台，吊机拼装就位，垫平对中后固定牢靠，保证钻孔过程中不发生移位、偏斜。回旋钻机顶部的起吊滑轮轮缘与转盘中心的连线应垂直，与孔位中心偏差不超过20mm。</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③</w:t>
      </w:r>
      <w:r>
        <w:rPr>
          <w:rFonts w:hint="default" w:ascii="Times New Roman" w:hAnsi="Times New Roman" w:cs="Times New Roman"/>
          <w:caps w:val="0"/>
          <w:smallCaps w:val="0"/>
          <w:szCs w:val="28"/>
          <w:u w:val="single"/>
          <w:lang w:val="en-US" w:eastAsia="zh-CN"/>
        </w:rPr>
        <w:t xml:space="preserve"> </w:t>
      </w:r>
      <w:r>
        <w:rPr>
          <w:rFonts w:hint="default" w:ascii="Times New Roman" w:hAnsi="Times New Roman" w:cs="Times New Roman"/>
          <w:caps w:val="0"/>
          <w:smallCaps w:val="0"/>
          <w:szCs w:val="28"/>
          <w:u w:val="single"/>
          <w:lang w:val="zh-CN"/>
        </w:rPr>
        <w:t>泥浆配置及泥浆池的设置</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护壁泥浆由水、黏土或膨润土、添加剂组成，各组分性能指标满足规范要求并能配制出所需合格泥浆。泥浆池在灌注桩就近位置开挖，做好防渗措施如黏土夯实并铺设塑料膜，泥浆池的容积满足循环泥浆量需要，泥浆排放须经过沉淀处理符合环保要求后方能排放，弃渣</w:t>
      </w:r>
      <w:r>
        <w:rPr>
          <w:rFonts w:hint="eastAsia" w:ascii="Times New Roman" w:hAnsi="Times New Roman" w:cs="Times New Roman"/>
          <w:caps w:val="0"/>
          <w:smallCaps w:val="0"/>
          <w:szCs w:val="28"/>
          <w:u w:val="single"/>
          <w:lang w:val="en-US" w:eastAsia="zh-CN"/>
        </w:rPr>
        <w:t>量较少，交由地当地</w:t>
      </w:r>
      <w:r>
        <w:rPr>
          <w:rFonts w:hint="eastAsia" w:cs="Times New Roman"/>
          <w:caps w:val="0"/>
          <w:smallCaps w:val="0"/>
          <w:szCs w:val="28"/>
          <w:u w:val="single"/>
          <w:lang w:val="en-US" w:eastAsia="zh-CN"/>
        </w:rPr>
        <w:t>环卫</w:t>
      </w:r>
      <w:r>
        <w:rPr>
          <w:rFonts w:hint="eastAsia" w:ascii="Times New Roman" w:hAnsi="Times New Roman" w:cs="Times New Roman"/>
          <w:caps w:val="0"/>
          <w:smallCaps w:val="0"/>
          <w:szCs w:val="28"/>
          <w:u w:val="single"/>
          <w:lang w:val="en-US" w:eastAsia="zh-CN"/>
        </w:rPr>
        <w:t>部门处理</w:t>
      </w:r>
      <w:r>
        <w:rPr>
          <w:rFonts w:hint="default" w:ascii="Times New Roman" w:hAnsi="Times New Roman" w:cs="Times New Roman"/>
          <w:caps w:val="0"/>
          <w:smallCaps w:val="0"/>
          <w:szCs w:val="28"/>
          <w:u w:val="single"/>
          <w:lang w:val="zh-CN"/>
        </w:rPr>
        <w:t>。</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④</w:t>
      </w:r>
      <w:r>
        <w:rPr>
          <w:rFonts w:hint="default" w:ascii="Times New Roman" w:hAnsi="Times New Roman" w:cs="Times New Roman"/>
          <w:caps w:val="0"/>
          <w:smallCaps w:val="0"/>
          <w:szCs w:val="28"/>
          <w:u w:val="single"/>
          <w:lang w:val="en-US" w:eastAsia="zh-CN"/>
        </w:rPr>
        <w:t xml:space="preserve"> </w:t>
      </w:r>
      <w:r>
        <w:rPr>
          <w:rFonts w:hint="default" w:ascii="Times New Roman" w:hAnsi="Times New Roman" w:cs="Times New Roman"/>
          <w:caps w:val="0"/>
          <w:smallCaps w:val="0"/>
          <w:szCs w:val="28"/>
          <w:u w:val="single"/>
          <w:lang w:val="zh-CN"/>
        </w:rPr>
        <w:t>成孔</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钻机就位后，调平底座及支架的垂直度，定位后将钻机锁定，防止钻机在钻孔过程中发生移动确保钻机运行时不产生偏移和下沉。钻孔过程要及时反循环泵进行清渣。回旋钻钻进过程中保持足够的钻压力，采用扶正器导向，保证成孔的垂直度。钻进成孔过程中应保持孔内液面高于孔外水位1.5~2m。钻孔应连续进行，当遇到特殊情况需停钻时应提出钻头，并采取孔壁稳定的措施。开钻一个台班后，重新复核桩位，确保桩位在规范允许范围之内。在土层变化处应捞取土样，判断土层，并与地质剖面图对照，作好详细记录。</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⑤</w:t>
      </w:r>
      <w:r>
        <w:rPr>
          <w:rFonts w:hint="default" w:ascii="Times New Roman" w:hAnsi="Times New Roman" w:cs="Times New Roman"/>
          <w:caps w:val="0"/>
          <w:smallCaps w:val="0"/>
          <w:szCs w:val="28"/>
          <w:u w:val="single"/>
          <w:lang w:val="en-US" w:eastAsia="zh-CN"/>
        </w:rPr>
        <w:t xml:space="preserve"> </w:t>
      </w:r>
      <w:r>
        <w:rPr>
          <w:rFonts w:hint="default" w:ascii="Times New Roman" w:hAnsi="Times New Roman" w:cs="Times New Roman"/>
          <w:caps w:val="0"/>
          <w:smallCaps w:val="0"/>
          <w:szCs w:val="28"/>
          <w:u w:val="single"/>
          <w:lang w:val="zh-CN"/>
        </w:rPr>
        <w:t>终孔、清孔及验收</w:t>
      </w:r>
    </w:p>
    <w:p>
      <w:pPr>
        <w:ind w:firstLine="480"/>
        <w:contextualSpacing/>
        <w:rPr>
          <w:rFonts w:hint="default" w:ascii="Times New Roman" w:hAnsi="Times New Roman" w:cs="Times New Roman"/>
          <w:caps w:val="0"/>
          <w:smallCaps w:val="0"/>
          <w:szCs w:val="28"/>
          <w:u w:val="single"/>
        </w:rPr>
      </w:pPr>
      <w:r>
        <w:rPr>
          <w:rFonts w:hint="default" w:ascii="Times New Roman" w:hAnsi="Times New Roman" w:cs="Times New Roman"/>
          <w:caps w:val="0"/>
          <w:smallCaps w:val="0"/>
          <w:szCs w:val="28"/>
          <w:u w:val="single"/>
          <w:lang w:val="zh-CN"/>
        </w:rPr>
        <w:t>当成孔标高达到设计要求，经验收确定终孔后，进行孔径及标高测量，桩位偏</w:t>
      </w:r>
      <w:r>
        <w:rPr>
          <w:rFonts w:hint="default" w:ascii="Times New Roman" w:hAnsi="Times New Roman" w:cs="Times New Roman"/>
          <w:caps w:val="0"/>
          <w:smallCaps w:val="0"/>
          <w:szCs w:val="28"/>
          <w:u w:val="single"/>
        </w:rPr>
        <w:t>差复测，符合设计标准后立即进行清孔。采用反循环方法清孔。反循环清孔时，将反循环泵泵口靠近孔底。孔顶注入清水，反循环泵将孔底沉渣和泥将抽出。直至将孔内的泥浆换出，孔底沉渣达到设计要求。反循环抽出的泥浆抽放到泥浆沉淀池，经处理符合环保标准后排放，沉渣清运至</w:t>
      </w:r>
      <w:r>
        <w:rPr>
          <w:rFonts w:hint="eastAsia" w:ascii="Times New Roman" w:hAnsi="Times New Roman" w:cs="Times New Roman"/>
          <w:caps w:val="0"/>
          <w:smallCaps w:val="0"/>
          <w:szCs w:val="28"/>
          <w:u w:val="single"/>
          <w:lang w:eastAsia="zh-CN"/>
        </w:rPr>
        <w:t>后方陆域</w:t>
      </w:r>
      <w:r>
        <w:rPr>
          <w:rFonts w:hint="default" w:ascii="Times New Roman" w:hAnsi="Times New Roman" w:cs="Times New Roman"/>
          <w:caps w:val="0"/>
          <w:smallCaps w:val="0"/>
          <w:szCs w:val="28"/>
          <w:u w:val="single"/>
        </w:rPr>
        <w:t>。</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⑥</w:t>
      </w:r>
      <w:r>
        <w:rPr>
          <w:rFonts w:hint="default" w:ascii="Times New Roman" w:hAnsi="Times New Roman" w:cs="Times New Roman"/>
          <w:caps w:val="0"/>
          <w:smallCaps w:val="0"/>
          <w:szCs w:val="28"/>
          <w:u w:val="single"/>
          <w:lang w:val="en-US" w:eastAsia="zh-CN"/>
        </w:rPr>
        <w:t xml:space="preserve"> </w:t>
      </w:r>
      <w:r>
        <w:rPr>
          <w:rFonts w:hint="default" w:ascii="Times New Roman" w:hAnsi="Times New Roman" w:cs="Times New Roman"/>
          <w:caps w:val="0"/>
          <w:smallCaps w:val="0"/>
          <w:szCs w:val="28"/>
          <w:u w:val="single"/>
          <w:lang w:val="zh-CN"/>
        </w:rPr>
        <w:t>钢筋笼安放</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将制作好的钢筋笼按安装顺序分段运至安装位置，采用25t汽车吊分段吊装。每段钢筋笼下放后在孔口位置用两根槽钢扁担将钢筋笼担搁在孔口，待次段钢筋笼吊装对接完成后抽出槽钢继续下放，如此反复直至整根桩的钢筋笼下放完成，同时将声测管进行焊接对接，要求对接严密，不得漏水。安装完成后应将钢筋笼固定牢固，位置正确，防止混凝土浇注时钢筋笼上浮。</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⑦</w:t>
      </w:r>
      <w:r>
        <w:rPr>
          <w:rFonts w:hint="default" w:ascii="Times New Roman" w:hAnsi="Times New Roman" w:cs="Times New Roman"/>
          <w:caps w:val="0"/>
          <w:smallCaps w:val="0"/>
          <w:szCs w:val="28"/>
          <w:u w:val="single"/>
          <w:lang w:val="en-US" w:eastAsia="zh-CN"/>
        </w:rPr>
        <w:t xml:space="preserve"> </w:t>
      </w:r>
      <w:r>
        <w:rPr>
          <w:rFonts w:hint="default" w:ascii="Times New Roman" w:hAnsi="Times New Roman" w:cs="Times New Roman"/>
          <w:caps w:val="0"/>
          <w:smallCaps w:val="0"/>
          <w:szCs w:val="28"/>
          <w:u w:val="single"/>
          <w:lang w:val="zh-CN"/>
        </w:rPr>
        <w:t>二次清孔</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钢筋笼和声测管安装完毕后，下导管，利用导管再次清孔，清孔反循环抽浆法。清孔时护筒内保持原有水位，清孔结束后，及时检查沉渣厚度，合格后浇筑水下混凝土。</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⑧</w:t>
      </w:r>
      <w:r>
        <w:rPr>
          <w:rFonts w:hint="default" w:ascii="Times New Roman" w:hAnsi="Times New Roman" w:cs="Times New Roman"/>
          <w:caps w:val="0"/>
          <w:smallCaps w:val="0"/>
          <w:szCs w:val="28"/>
          <w:u w:val="single"/>
          <w:lang w:val="en-US" w:eastAsia="zh-CN"/>
        </w:rPr>
        <w:t xml:space="preserve"> </w:t>
      </w:r>
      <w:r>
        <w:rPr>
          <w:rFonts w:hint="default" w:ascii="Times New Roman" w:hAnsi="Times New Roman" w:cs="Times New Roman"/>
          <w:caps w:val="0"/>
          <w:smallCaps w:val="0"/>
          <w:szCs w:val="28"/>
          <w:u w:val="single"/>
          <w:lang w:val="zh-CN"/>
        </w:rPr>
        <w:t>灌注水下混凝土</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浇筑水下混凝土用导管法施工，主要设备有刚性金属导管、承料漏斗、提升机具等。导管由内径200</w:t>
      </w:r>
      <w:r>
        <w:rPr>
          <w:rFonts w:hint="default" w:ascii="Times New Roman" w:hAnsi="Times New Roman" w:cs="Times New Roman"/>
          <w:caps w:val="0"/>
          <w:smallCaps w:val="0"/>
          <w:szCs w:val="28"/>
          <w:u w:val="single"/>
          <w:lang w:val="en-US" w:eastAsia="zh-CN"/>
        </w:rPr>
        <w:t>~</w:t>
      </w:r>
      <w:r>
        <w:rPr>
          <w:rFonts w:hint="default" w:ascii="Times New Roman" w:hAnsi="Times New Roman" w:cs="Times New Roman"/>
          <w:caps w:val="0"/>
          <w:smallCaps w:val="0"/>
          <w:szCs w:val="28"/>
          <w:u w:val="single"/>
          <w:lang w:val="zh-CN"/>
        </w:rPr>
        <w:t>300mm的无缝钢管分若干节组成，各节导管间通过快速接头加止水胶皮垫圈连接，以防漏水。导管在使用前必须进行水密承压试验，经压力试验强度和密封性均达到施工要求后方可使用。导管底口距离孔底30~50cm。</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混凝土由商混站连续供应，由混凝土罐车从商品混凝土搅拌站运输到现场。现场由汽车泵输送至料斗中。</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混凝土浇注满孔后应继续灌注，直至翻出的混凝土质地新鲜，不含泥沙、泥浆，确保桩顶凿除后混凝土质量。孔顶10m范围内混凝土用振捣棒振捣密实。</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灌注混凝土时为防止排出的泥浆污染环境，及时用排浆泵将泥浆抽出，抽放到至泥浆池，经处理符合环保要求后方能排放。</w:t>
      </w:r>
    </w:p>
    <w:p>
      <w:pPr>
        <w:ind w:firstLine="480"/>
        <w:contextualSpacing/>
        <w:rPr>
          <w:rFonts w:hint="default" w:ascii="Times New Roman" w:hAnsi="Times New Roman" w:cs="Times New Roman"/>
          <w:caps w:val="0"/>
          <w:smallCaps w:val="0"/>
          <w:szCs w:val="28"/>
          <w:u w:val="single"/>
          <w:lang w:val="zh-CN"/>
        </w:rPr>
      </w:pPr>
      <w:r>
        <w:rPr>
          <w:rFonts w:hint="default" w:ascii="Times New Roman" w:hAnsi="Times New Roman" w:cs="Times New Roman"/>
          <w:caps w:val="0"/>
          <w:smallCaps w:val="0"/>
          <w:szCs w:val="28"/>
          <w:u w:val="single"/>
          <w:lang w:val="zh-CN"/>
        </w:rPr>
        <w:t>⑨养护</w:t>
      </w:r>
    </w:p>
    <w:p>
      <w:pPr>
        <w:ind w:firstLine="480"/>
        <w:contextualSpacing/>
        <w:rPr>
          <w:rFonts w:ascii="Times New Roman" w:hAnsi="Times New Roman" w:cs="Times New Roman"/>
          <w:caps w:val="0"/>
          <w:smallCaps w:val="0"/>
          <w:szCs w:val="28"/>
          <w:u w:val="single"/>
        </w:rPr>
      </w:pPr>
      <w:r>
        <w:rPr>
          <w:rFonts w:hint="default" w:ascii="Times New Roman" w:hAnsi="Times New Roman" w:cs="Times New Roman"/>
          <w:caps w:val="0"/>
          <w:smallCaps w:val="0"/>
          <w:szCs w:val="28"/>
          <w:u w:val="single"/>
          <w:lang w:val="zh-CN"/>
        </w:rPr>
        <w:t>混凝土初凝后即用土工布或者麻袋予以覆盖并洒水养护</w:t>
      </w:r>
      <w:r>
        <w:rPr>
          <w:rFonts w:hint="eastAsia" w:ascii="Times New Roman" w:hAnsi="Times New Roman" w:cs="Times New Roman"/>
          <w:caps w:val="0"/>
          <w:smallCaps w:val="0"/>
          <w:szCs w:val="28"/>
          <w:u w:val="single"/>
          <w:lang w:val="zh-CN"/>
        </w:rPr>
        <w:t>。</w:t>
      </w:r>
    </w:p>
    <w:p>
      <w:pPr>
        <w:ind w:firstLine="480"/>
        <w:contextualSpacing/>
        <w:rPr>
          <w:rFonts w:ascii="Times New Roman" w:hAnsi="Times New Roman" w:cs="Times New Roman"/>
          <w:caps w:val="0"/>
          <w:smallCaps w:val="0"/>
          <w:szCs w:val="28"/>
        </w:rPr>
      </w:pPr>
      <w:r>
        <w:rPr>
          <w:rFonts w:ascii="Times New Roman" w:hAnsi="Times New Roman" w:cs="Times New Roman"/>
          <w:caps w:val="0"/>
          <w:smallCaps w:val="0"/>
          <w:szCs w:val="28"/>
        </w:rPr>
        <w:t>（3）引桥平台、桥台及撑杆墩现浇</w:t>
      </w:r>
    </w:p>
    <w:p>
      <w:pPr>
        <w:ind w:firstLine="480"/>
        <w:contextualSpacing/>
        <w:rPr>
          <w:rFonts w:ascii="Times New Roman" w:hAnsi="Times New Roman" w:cs="Times New Roman"/>
          <w:caps w:val="0"/>
          <w:smallCaps w:val="0"/>
          <w:szCs w:val="28"/>
        </w:rPr>
      </w:pPr>
      <w:r>
        <w:rPr>
          <w:rFonts w:ascii="Times New Roman" w:hAnsi="Times New Roman" w:cs="Times New Roman"/>
          <w:caps w:val="0"/>
          <w:smallCaps w:val="0"/>
          <w:szCs w:val="28"/>
        </w:rPr>
        <w:t>桥台施工采用干地施工，开挖形成桩基工作断面后，引桥平台、桥台及撑杆墩采用场内现浇方式施工，砼浇筑时，砼应振捣密实，表层原浆应压实抹平、接缝平顺，不得有空鼓、裂缝、石子外漏、浮浆、脱皮和起砂等缺陷。严格做好排水坡度，不得积水。</w:t>
      </w:r>
    </w:p>
    <w:p>
      <w:pPr>
        <w:adjustRightInd w:val="0"/>
        <w:snapToGrid w:val="0"/>
        <w:ind w:firstLine="480"/>
        <w:jc w:val="center"/>
        <w:rPr>
          <w:rFonts w:ascii="Times New Roman" w:hAnsi="Times New Roman" w:cs="Times New Roman"/>
          <w:caps w:val="0"/>
          <w:smallCaps w:val="0"/>
          <w:lang w:val="zh-CN"/>
        </w:rPr>
      </w:pPr>
      <w:r>
        <w:rPr>
          <w:rFonts w:ascii="Times New Roman" w:hAnsi="Times New Roman" w:cs="Times New Roman"/>
          <w:caps w:val="0"/>
          <w:smallCaps w:val="0"/>
        </w:rPr>
        <w:drawing>
          <wp:inline distT="0" distB="0" distL="114300" distR="114300">
            <wp:extent cx="3031490" cy="4284345"/>
            <wp:effectExtent l="0" t="0" r="16510" b="1905"/>
            <wp:docPr id="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pic:cNvPicPr>
                      <a:picLocks noChangeAspect="1"/>
                    </pic:cNvPicPr>
                  </pic:nvPicPr>
                  <pic:blipFill>
                    <a:blip r:embed="rId35"/>
                    <a:stretch>
                      <a:fillRect/>
                    </a:stretch>
                  </pic:blipFill>
                  <pic:spPr>
                    <a:xfrm>
                      <a:off x="0" y="0"/>
                      <a:ext cx="3031490" cy="4284345"/>
                    </a:xfrm>
                    <a:prstGeom prst="rect">
                      <a:avLst/>
                    </a:prstGeom>
                    <a:noFill/>
                    <a:ln>
                      <a:noFill/>
                    </a:ln>
                  </pic:spPr>
                </pic:pic>
              </a:graphicData>
            </a:graphic>
          </wp:inline>
        </w:drawing>
      </w:r>
    </w:p>
    <w:p>
      <w:pPr>
        <w:adjustRightInd w:val="0"/>
        <w:snapToGrid w:val="0"/>
        <w:ind w:firstLine="482"/>
        <w:jc w:val="center"/>
        <w:rPr>
          <w:rFonts w:ascii="Times New Roman" w:hAnsi="Times New Roman" w:cs="Times New Roman"/>
          <w:b/>
          <w:bCs/>
          <w:caps w:val="0"/>
          <w:smallCaps w:val="0"/>
          <w:lang w:val="zh-CN"/>
        </w:rPr>
      </w:pPr>
      <w:r>
        <w:rPr>
          <w:rFonts w:ascii="Times New Roman" w:hAnsi="Times New Roman" w:cs="Times New Roman"/>
          <w:b/>
          <w:bCs/>
          <w:caps w:val="0"/>
          <w:smallCaps w:val="0"/>
          <w:lang w:val="zh-CN"/>
        </w:rPr>
        <w:t>图</w:t>
      </w:r>
      <w:r>
        <w:rPr>
          <w:rFonts w:hint="eastAsia" w:ascii="Times New Roman" w:hAnsi="Times New Roman" w:cs="Times New Roman"/>
          <w:b/>
          <w:bCs/>
          <w:caps w:val="0"/>
          <w:smallCaps w:val="0"/>
          <w:lang w:val="en-US" w:eastAsia="zh-CN"/>
        </w:rPr>
        <w:t>3</w:t>
      </w:r>
      <w:r>
        <w:rPr>
          <w:rFonts w:ascii="Times New Roman" w:hAnsi="Times New Roman" w:cs="Times New Roman"/>
          <w:b/>
          <w:bCs/>
          <w:caps w:val="0"/>
          <w:smallCaps w:val="0"/>
        </w:rPr>
        <w:t>.</w:t>
      </w:r>
      <w:r>
        <w:rPr>
          <w:rFonts w:hint="eastAsia" w:cs="Times New Roman"/>
          <w:b/>
          <w:bCs/>
          <w:caps w:val="0"/>
          <w:smallCaps w:val="0"/>
          <w:lang w:val="en-US" w:eastAsia="zh-CN"/>
        </w:rPr>
        <w:t>6</w:t>
      </w:r>
      <w:r>
        <w:rPr>
          <w:rFonts w:ascii="Times New Roman" w:hAnsi="Times New Roman" w:cs="Times New Roman"/>
          <w:b/>
          <w:bCs/>
          <w:caps w:val="0"/>
          <w:smallCaps w:val="0"/>
        </w:rPr>
        <w:t>-</w:t>
      </w:r>
      <w:r>
        <w:rPr>
          <w:rFonts w:hint="eastAsia" w:ascii="Times New Roman" w:hAnsi="Times New Roman" w:cs="Times New Roman"/>
          <w:b/>
          <w:bCs/>
          <w:caps w:val="0"/>
          <w:smallCaps w:val="0"/>
          <w:lang w:val="en-US" w:eastAsia="zh-CN"/>
        </w:rPr>
        <w:t>4</w:t>
      </w:r>
      <w:r>
        <w:rPr>
          <w:rFonts w:ascii="Times New Roman" w:hAnsi="Times New Roman" w:cs="Times New Roman"/>
          <w:b/>
          <w:bCs/>
          <w:caps w:val="0"/>
          <w:smallCaps w:val="0"/>
        </w:rPr>
        <w:t xml:space="preserve"> </w:t>
      </w:r>
      <w:r>
        <w:rPr>
          <w:rFonts w:ascii="Times New Roman" w:hAnsi="Times New Roman" w:cs="Times New Roman"/>
          <w:b/>
          <w:bCs/>
          <w:caps w:val="0"/>
          <w:smallCaps w:val="0"/>
          <w:lang w:val="zh-CN"/>
        </w:rPr>
        <w:t xml:space="preserve"> 引桥平台、桥台及撑杆墩施工工艺流程图</w:t>
      </w:r>
    </w:p>
    <w:p>
      <w:pPr>
        <w:ind w:firstLine="480"/>
        <w:contextualSpacing/>
        <w:rPr>
          <w:rFonts w:ascii="Times New Roman" w:hAnsi="Times New Roman" w:cs="Times New Roman"/>
          <w:caps w:val="0"/>
          <w:smallCaps w:val="0"/>
          <w:szCs w:val="28"/>
        </w:rPr>
      </w:pPr>
      <w:r>
        <w:rPr>
          <w:rFonts w:ascii="Times New Roman" w:hAnsi="Times New Roman" w:cs="Times New Roman"/>
          <w:caps w:val="0"/>
          <w:smallCaps w:val="0"/>
          <w:szCs w:val="28"/>
        </w:rPr>
        <w:t>（4）趸船、钢引桥及钢撑杆安装</w:t>
      </w:r>
    </w:p>
    <w:p>
      <w:pPr>
        <w:ind w:firstLine="480"/>
        <w:contextualSpacing/>
        <w:rPr>
          <w:rFonts w:ascii="Times New Roman" w:hAnsi="Times New Roman" w:cs="Times New Roman"/>
          <w:caps w:val="0"/>
          <w:smallCaps w:val="0"/>
          <w:szCs w:val="28"/>
        </w:rPr>
      </w:pPr>
      <w:r>
        <w:rPr>
          <w:rFonts w:ascii="Times New Roman" w:hAnsi="Times New Roman" w:cs="Times New Roman"/>
          <w:caps w:val="0"/>
          <w:smallCaps w:val="0"/>
          <w:szCs w:val="28"/>
        </w:rPr>
        <w:t>钢质趸船由专门船舶制造企业制造并负责出运安装。钢引桥工厂制作，主体构件现场拼接、吊装，从水路运入，采用浮吊进行安装。固定埋件通过焊接方式廉洁。</w:t>
      </w:r>
    </w:p>
    <w:p>
      <w:pPr>
        <w:pStyle w:val="5"/>
        <w:rPr>
          <w:rFonts w:ascii="Times New Roman" w:hAnsi="Times New Roman" w:cs="Times New Roman" w:eastAsiaTheme="minorEastAsia"/>
          <w:b/>
          <w:caps w:val="0"/>
          <w:smallCaps w:val="0"/>
        </w:rPr>
      </w:pPr>
      <w:bookmarkStart w:id="40" w:name="_Toc22004"/>
      <w:r>
        <w:rPr>
          <w:rFonts w:ascii="Times New Roman" w:hAnsi="Times New Roman" w:cs="Times New Roman" w:eastAsiaTheme="minorEastAsia"/>
          <w:b/>
          <w:caps w:val="0"/>
          <w:smallCaps w:val="0"/>
        </w:rPr>
        <w:t>工程分析</w:t>
      </w:r>
      <w:bookmarkEnd w:id="40"/>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施工期工艺流程和产污环节</w:t>
      </w:r>
    </w:p>
    <w:p>
      <w:pPr>
        <w:adjustRightInd w:val="0"/>
        <w:snapToGrid w:val="0"/>
        <w:spacing w:line="360" w:lineRule="auto"/>
        <w:ind w:firstLine="480" w:firstLineChars="200"/>
        <w:rPr>
          <w:rFonts w:hint="default" w:cs="Times New Roman" w:eastAsiaTheme="minorEastAsia"/>
          <w:caps w:val="0"/>
          <w:smallCaps w:val="0"/>
          <w:sz w:val="24"/>
          <w:szCs w:val="24"/>
          <w:lang w:val="en-US" w:eastAsia="zh-CN"/>
        </w:rPr>
      </w:pPr>
      <w:r>
        <w:rPr>
          <w:rFonts w:hint="eastAsia" w:cs="Times New Roman" w:eastAsiaTheme="minorEastAsia"/>
          <w:caps w:val="0"/>
          <w:smallCaps w:val="0"/>
          <w:sz w:val="24"/>
          <w:szCs w:val="24"/>
          <w:lang w:val="en-US" w:eastAsia="zh-CN"/>
        </w:rPr>
        <w:t>1、施工期工艺流程</w:t>
      </w:r>
    </w:p>
    <w:p>
      <w:pPr>
        <w:adjustRightInd w:val="0"/>
        <w:snapToGrid w:val="0"/>
        <w:spacing w:line="360" w:lineRule="auto"/>
        <w:ind w:firstLine="480" w:firstLineChars="200"/>
        <w:rPr>
          <w:rFonts w:hint="eastAsia" w:cs="Times New Roman" w:eastAsiaTheme="minorEastAsia"/>
          <w:caps w:val="0"/>
          <w:smallCaps w:val="0"/>
          <w:sz w:val="24"/>
          <w:szCs w:val="24"/>
          <w:lang w:eastAsia="zh-CN"/>
        </w:rPr>
      </w:pPr>
      <w:r>
        <w:rPr>
          <w:rFonts w:hint="eastAsia" w:cs="Times New Roman" w:eastAsiaTheme="minorEastAsia"/>
          <w:caps w:val="0"/>
          <w:smallCaps w:val="0"/>
          <w:sz w:val="24"/>
          <w:szCs w:val="24"/>
          <w:lang w:eastAsia="zh-CN"/>
        </w:rPr>
        <w:t>码头工程的建设，施工内容主要包括钢制趸船、活动钢引桥、搭接平台、固定引桥、配套管道建设等，其具体工艺流程见下图：</w:t>
      </w:r>
    </w:p>
    <w:p>
      <w:pPr>
        <w:adjustRightInd w:val="0"/>
        <w:snapToGrid w:val="0"/>
        <w:spacing w:line="360" w:lineRule="auto"/>
        <w:ind w:left="0" w:leftChars="0" w:firstLine="0" w:firstLineChars="0"/>
        <w:jc w:val="center"/>
        <w:rPr>
          <w:rFonts w:hint="default" w:eastAsia="宋体"/>
          <w:lang w:val="en-US" w:eastAsia="zh-CN"/>
        </w:rPr>
      </w:pPr>
      <w:r>
        <w:object>
          <v:shape id="_x0000_i1026" o:spt="75" type="#_x0000_t75" style="height:197.15pt;width:453.15pt;" o:ole="t" filled="f" o:preferrelative="t" stroked="f" coordsize="21600,21600">
            <v:path/>
            <v:fill on="f" focussize="0,0"/>
            <v:stroke on="f"/>
            <v:imagedata r:id="rId37" o:title=""/>
            <o:lock v:ext="edit" aspectratio="f"/>
            <w10:wrap type="none"/>
            <w10:anchorlock/>
          </v:shape>
          <o:OLEObject Type="Embed" ProgID="Visio.Drawing.11" ShapeID="_x0000_i1026" DrawAspect="Content" ObjectID="_1468075726" r:id="rId36">
            <o:LockedField>false</o:LockedField>
          </o:OLEObject>
        </w:object>
      </w:r>
      <w:r>
        <w:rPr>
          <w:rFonts w:hint="eastAsia"/>
          <w:lang w:eastAsia="zh-CN"/>
        </w:rPr>
        <w:t>图</w:t>
      </w:r>
      <w:r>
        <w:rPr>
          <w:rFonts w:hint="eastAsia" w:cs="Times New Roman" w:eastAsiaTheme="minorEastAsia"/>
          <w:caps w:val="0"/>
          <w:smallCaps w:val="0"/>
          <w:sz w:val="24"/>
          <w:szCs w:val="24"/>
          <w:lang w:val="en-US" w:eastAsia="zh-CN"/>
        </w:rPr>
        <w:t>3.7-1 项目码头施工期工艺流程及产污节点图</w:t>
      </w:r>
    </w:p>
    <w:p>
      <w:pPr>
        <w:adjustRightInd w:val="0"/>
        <w:snapToGrid w:val="0"/>
        <w:spacing w:line="360" w:lineRule="auto"/>
        <w:ind w:firstLine="480" w:firstLineChars="200"/>
        <w:rPr>
          <w:rFonts w:hint="eastAsia" w:ascii="Times New Roman" w:hAnsi="Times New Roman" w:cs="Times New Roman" w:eastAsiaTheme="minorEastAsia"/>
          <w:caps w:val="0"/>
          <w:smallCaps w:val="0"/>
          <w:sz w:val="24"/>
          <w:szCs w:val="24"/>
          <w:u w:val="single"/>
          <w:lang w:val="en-US" w:eastAsia="zh-CN"/>
        </w:rPr>
      </w:pPr>
      <w:r>
        <w:rPr>
          <w:rFonts w:hint="eastAsia" w:cs="Times New Roman" w:eastAsiaTheme="minorEastAsia"/>
          <w:caps w:val="0"/>
          <w:smallCaps w:val="0"/>
          <w:sz w:val="24"/>
          <w:szCs w:val="24"/>
          <w:u w:val="single"/>
          <w:lang w:val="en-US" w:eastAsia="zh-CN"/>
        </w:rPr>
        <w:t>2、施工工艺简述</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u w:val="single"/>
        </w:rPr>
      </w:pPr>
      <w:r>
        <w:rPr>
          <w:rFonts w:ascii="Times New Roman" w:hAnsi="Times New Roman" w:cs="Times New Roman" w:eastAsiaTheme="minorEastAsia"/>
          <w:caps w:val="0"/>
          <w:smallCaps w:val="0"/>
          <w:sz w:val="24"/>
          <w:szCs w:val="24"/>
          <w:u w:val="single"/>
        </w:rPr>
        <w:t>码头工程为浮码头，趸船通过锚链以及活动钢引桥固定，施工时考虑枯水期围堰施工。后方墩台采用钻孔灌注桩基础，跨堤钢引桥采用水泥搅拌加固桩基础。</w:t>
      </w:r>
    </w:p>
    <w:p>
      <w:pPr>
        <w:adjustRightInd w:val="0"/>
        <w:snapToGrid w:val="0"/>
        <w:spacing w:line="360" w:lineRule="auto"/>
        <w:ind w:firstLine="480" w:firstLineChars="200"/>
        <w:rPr>
          <w:rFonts w:hint="eastAsia" w:cs="Times New Roman" w:eastAsiaTheme="minorEastAsia"/>
          <w:caps w:val="0"/>
          <w:smallCaps w:val="0"/>
          <w:sz w:val="24"/>
          <w:szCs w:val="24"/>
          <w:u w:val="single"/>
          <w:lang w:eastAsia="zh-CN"/>
        </w:rPr>
      </w:pPr>
      <w:r>
        <w:rPr>
          <w:rFonts w:hint="eastAsia" w:cs="Times New Roman" w:eastAsiaTheme="minorEastAsia"/>
          <w:caps w:val="0"/>
          <w:smallCaps w:val="0"/>
          <w:sz w:val="24"/>
          <w:szCs w:val="24"/>
          <w:u w:val="single"/>
          <w:lang w:eastAsia="zh-CN"/>
        </w:rPr>
        <w:t>（</w:t>
      </w:r>
      <w:r>
        <w:rPr>
          <w:rFonts w:hint="eastAsia" w:cs="Times New Roman" w:eastAsiaTheme="minorEastAsia"/>
          <w:caps w:val="0"/>
          <w:smallCaps w:val="0"/>
          <w:sz w:val="24"/>
          <w:szCs w:val="24"/>
          <w:u w:val="single"/>
          <w:lang w:val="en-US" w:eastAsia="zh-CN"/>
        </w:rPr>
        <w:t>1</w:t>
      </w:r>
      <w:r>
        <w:rPr>
          <w:rFonts w:hint="eastAsia" w:cs="Times New Roman" w:eastAsiaTheme="minorEastAsia"/>
          <w:caps w:val="0"/>
          <w:smallCaps w:val="0"/>
          <w:sz w:val="24"/>
          <w:szCs w:val="24"/>
          <w:u w:val="single"/>
          <w:lang w:eastAsia="zh-CN"/>
        </w:rPr>
        <w:t>）施工准备、港池疏浚</w:t>
      </w:r>
    </w:p>
    <w:p>
      <w:pPr>
        <w:pStyle w:val="2"/>
        <w:rPr>
          <w:rFonts w:hint="eastAsia" w:ascii="Times New Roman" w:hAnsi="Times New Roman" w:eastAsia="宋体" w:cs="Times New Roman"/>
          <w:caps w:val="0"/>
          <w:smallCaps w:val="0"/>
          <w:szCs w:val="28"/>
          <w:u w:val="single"/>
          <w:lang w:eastAsia="zh-CN"/>
        </w:rPr>
      </w:pPr>
      <w:r>
        <w:rPr>
          <w:rFonts w:hint="eastAsia" w:cs="Times New Roman"/>
          <w:caps w:val="0"/>
          <w:smallCaps w:val="0"/>
          <w:szCs w:val="28"/>
          <w:u w:val="single"/>
          <w:lang w:eastAsia="zh-CN"/>
        </w:rPr>
        <w:t>本码头水域施工前拆除原有管线等设施。</w:t>
      </w:r>
    </w:p>
    <w:p>
      <w:pPr>
        <w:pStyle w:val="2"/>
        <w:rPr>
          <w:rFonts w:ascii="Times New Roman" w:hAnsi="Times New Roman" w:cs="Times New Roman"/>
          <w:caps w:val="0"/>
          <w:smallCaps w:val="0"/>
          <w:u w:val="single"/>
        </w:rPr>
      </w:pPr>
      <w:r>
        <w:rPr>
          <w:rFonts w:ascii="Times New Roman" w:hAnsi="Times New Roman" w:cs="Times New Roman"/>
          <w:caps w:val="0"/>
          <w:smallCaps w:val="0"/>
          <w:szCs w:val="28"/>
          <w:u w:val="single"/>
        </w:rPr>
        <w:t>本工程码头疏浚拟采用抓斗式挖泥船挖泥，</w:t>
      </w:r>
      <w:r>
        <w:rPr>
          <w:rFonts w:ascii="Times New Roman" w:hAnsi="Times New Roman" w:cs="Times New Roman"/>
          <w:caps w:val="0"/>
          <w:smallCaps w:val="0"/>
          <w:u w:val="single"/>
        </w:rPr>
        <w:t>抓斗挖泥船采取纵挖法施工，根据各施工区具体分布情况采用分段、分条、分层的施工方法。</w:t>
      </w:r>
      <w:r>
        <w:rPr>
          <w:rFonts w:hint="eastAsia" w:ascii="Times New Roman" w:hAnsi="Times New Roman" w:cs="Times New Roman"/>
          <w:caps w:val="0"/>
          <w:smallCaps w:val="0"/>
          <w:u w:val="single"/>
          <w:lang w:val="en-US" w:eastAsia="zh-CN"/>
        </w:rPr>
        <w:t>港池上、下游侧边坡与进港航道边坡应平顺衔接，开挖范围应满足设计要求，开挖断面不应小于设计开挖断面,港池疏浚超深按0.5m计，超宽按2.0m计。港池开挖完毕后，立即进行护坡施工</w:t>
      </w:r>
      <w:r>
        <w:rPr>
          <w:rFonts w:hint="eastAsia" w:cs="Times New Roman"/>
          <w:caps w:val="0"/>
          <w:smallCaps w:val="0"/>
          <w:u w:val="single"/>
          <w:lang w:val="en-US" w:eastAsia="zh-CN"/>
        </w:rPr>
        <w:t>。</w:t>
      </w:r>
    </w:p>
    <w:p>
      <w:pPr>
        <w:pStyle w:val="2"/>
        <w:rPr>
          <w:rFonts w:ascii="Times New Roman" w:hAnsi="Times New Roman" w:cs="Times New Roman" w:eastAsiaTheme="minorEastAsia"/>
          <w:caps w:val="0"/>
          <w:smallCaps w:val="0"/>
          <w:sz w:val="24"/>
          <w:szCs w:val="24"/>
          <w:u w:val="single"/>
        </w:rPr>
      </w:pPr>
      <w:r>
        <w:rPr>
          <w:rFonts w:hint="eastAsia" w:cs="Times New Roman" w:eastAsiaTheme="minorEastAsia"/>
          <w:caps w:val="0"/>
          <w:smallCaps w:val="0"/>
          <w:sz w:val="24"/>
          <w:szCs w:val="24"/>
          <w:u w:val="single"/>
          <w:lang w:eastAsia="zh-CN"/>
        </w:rPr>
        <w:t>（</w:t>
      </w:r>
      <w:r>
        <w:rPr>
          <w:rFonts w:hint="eastAsia" w:cs="Times New Roman" w:eastAsiaTheme="minorEastAsia"/>
          <w:caps w:val="0"/>
          <w:smallCaps w:val="0"/>
          <w:sz w:val="24"/>
          <w:szCs w:val="24"/>
          <w:u w:val="single"/>
          <w:lang w:val="en-US" w:eastAsia="zh-CN"/>
        </w:rPr>
        <w:t>2</w:t>
      </w:r>
      <w:r>
        <w:rPr>
          <w:rFonts w:hint="eastAsia" w:cs="Times New Roman" w:eastAsiaTheme="minorEastAsia"/>
          <w:caps w:val="0"/>
          <w:smallCaps w:val="0"/>
          <w:sz w:val="24"/>
          <w:szCs w:val="24"/>
          <w:u w:val="single"/>
          <w:lang w:eastAsia="zh-CN"/>
        </w:rPr>
        <w:t>）</w:t>
      </w:r>
      <w:r>
        <w:rPr>
          <w:rFonts w:ascii="Times New Roman" w:hAnsi="Times New Roman" w:cs="Times New Roman" w:eastAsiaTheme="minorEastAsia"/>
          <w:caps w:val="0"/>
          <w:smallCaps w:val="0"/>
          <w:sz w:val="24"/>
          <w:szCs w:val="24"/>
          <w:u w:val="single"/>
        </w:rPr>
        <w:t>钻孔灌注桩施工方案：</w:t>
      </w:r>
    </w:p>
    <w:p>
      <w:pPr>
        <w:adjustRightInd w:val="0"/>
        <w:snapToGrid w:val="0"/>
        <w:spacing w:line="360" w:lineRule="auto"/>
        <w:ind w:firstLine="496"/>
        <w:rPr>
          <w:rFonts w:ascii="Times New Roman" w:hAnsi="Times New Roman" w:cs="Times New Roman" w:eastAsiaTheme="minorEastAsia"/>
          <w:caps w:val="0"/>
          <w:smallCaps w:val="0"/>
          <w:sz w:val="24"/>
          <w:szCs w:val="24"/>
          <w:u w:val="single"/>
        </w:rPr>
      </w:pPr>
      <w:r>
        <w:rPr>
          <w:rFonts w:ascii="Times New Roman" w:hAnsi="Times New Roman" w:cs="Times New Roman" w:eastAsiaTheme="minorEastAsia"/>
          <w:caps w:val="0"/>
          <w:smallCaps w:val="0"/>
          <w:sz w:val="24"/>
          <w:szCs w:val="24"/>
          <w:u w:val="single"/>
        </w:rPr>
        <w:t>桩基基础采用陆上平台施工方法，大部分为岸上施工，先铺陆上平台，再埋陆上钢护筒，桩基均为钻孔灌注桩，采用冲击钻成孔，冲孔到位后，清孔，保证孔内沉渣厚度小于10cm，安放钢筋笼与检测管，浇筑砼，所有桩基砼浇筑面高度高于设计高程0.8~1.0m，待初凝后将超高部分的浮浆凿出。</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u w:val="single"/>
        </w:rPr>
      </w:pPr>
      <w:r>
        <w:rPr>
          <w:rFonts w:ascii="Times New Roman" w:hAnsi="Times New Roman" w:cs="Times New Roman" w:eastAsiaTheme="minorEastAsia"/>
          <w:caps w:val="0"/>
          <w:smallCaps w:val="0"/>
          <w:sz w:val="24"/>
          <w:szCs w:val="24"/>
          <w:u w:val="single"/>
        </w:rPr>
        <w:t>桩基成孔前，必须埋设比设计桩径大0.1m~0.2m的钢护筒，护筒埋深拟根据地表土层确定，一般应埋深3.0m~5.0m，确保桩位在规范规定的允许范围内。</w:t>
      </w:r>
    </w:p>
    <w:p>
      <w:pPr>
        <w:bidi w:val="0"/>
        <w:rPr>
          <w:rFonts w:hint="eastAsia"/>
          <w:lang w:eastAsia="zh-CN"/>
        </w:rPr>
      </w:pPr>
      <w:r>
        <w:rPr>
          <w:rFonts w:hint="eastAsia"/>
          <w:lang w:eastAsia="zh-CN"/>
        </w:rPr>
        <w:t>（</w:t>
      </w:r>
      <w:r>
        <w:rPr>
          <w:rFonts w:hint="eastAsia"/>
          <w:lang w:val="en-US" w:eastAsia="zh-CN"/>
        </w:rPr>
        <w:t>3</w:t>
      </w:r>
      <w:r>
        <w:rPr>
          <w:rFonts w:hint="eastAsia"/>
          <w:lang w:eastAsia="zh-CN"/>
        </w:rPr>
        <w:t>）现浇搭接平台、盖梁</w:t>
      </w:r>
    </w:p>
    <w:p>
      <w:pPr>
        <w:keepNext w:val="0"/>
        <w:keepLines w:val="0"/>
        <w:widowControl/>
        <w:suppressLineNumbers w:val="0"/>
        <w:jc w:val="left"/>
        <w:rPr>
          <w:rFonts w:hint="eastAsia" w:ascii="Times New Roman" w:hAnsi="Times New Roman" w:eastAsia="宋体" w:cs="Times New Roman"/>
          <w:caps w:val="0"/>
          <w:smallCaps w:val="0"/>
          <w:sz w:val="24"/>
          <w:szCs w:val="24"/>
          <w:lang w:eastAsia="zh-CN"/>
        </w:rPr>
      </w:pPr>
      <w:r>
        <w:rPr>
          <w:rFonts w:ascii="Times New Roman" w:hAnsi="Times New Roman"/>
          <w:sz w:val="24"/>
          <w:szCs w:val="24"/>
        </w:rPr>
        <w:t>码头平台横梁、引桥横梁</w:t>
      </w:r>
      <w:r>
        <w:rPr>
          <w:rFonts w:hint="eastAsia" w:ascii="Times New Roman" w:hAnsi="Times New Roman"/>
          <w:sz w:val="24"/>
          <w:szCs w:val="24"/>
          <w:lang w:eastAsia="zh-CN"/>
        </w:rPr>
        <w:t>、</w:t>
      </w:r>
      <w:r>
        <w:rPr>
          <w:rFonts w:hint="eastAsia" w:ascii="宋体" w:hAnsi="宋体" w:eastAsia="宋体" w:cs="宋体"/>
          <w:color w:val="000000"/>
          <w:kern w:val="0"/>
          <w:sz w:val="24"/>
          <w:szCs w:val="24"/>
          <w:lang w:val="en-US" w:eastAsia="zh-CN" w:bidi="ar"/>
        </w:rPr>
        <w:t>墩帽等均为现浇构件</w:t>
      </w:r>
      <w:r>
        <w:rPr>
          <w:rFonts w:ascii="Times New Roman" w:hAnsi="Times New Roman"/>
          <w:sz w:val="24"/>
          <w:szCs w:val="24"/>
        </w:rPr>
        <w:t>，在现场进行浇注，砼由泵送至浇注现场。</w:t>
      </w:r>
    </w:p>
    <w:p>
      <w:pPr>
        <w:adjustRightInd w:val="0"/>
        <w:snapToGrid w:val="0"/>
        <w:spacing w:line="360" w:lineRule="auto"/>
        <w:ind w:firstLine="480" w:firstLineChars="200"/>
        <w:rPr>
          <w:rFonts w:hint="eastAsia" w:ascii="Times New Roman" w:hAnsi="Times New Roman" w:cs="Times New Roman" w:eastAsiaTheme="minorEastAsia"/>
          <w:caps w:val="0"/>
          <w:smallCaps w:val="0"/>
          <w:sz w:val="24"/>
          <w:szCs w:val="24"/>
          <w:lang w:eastAsia="zh-CN"/>
        </w:rPr>
      </w:pPr>
      <w:r>
        <w:rPr>
          <w:rFonts w:hint="eastAsia" w:cs="Times New Roman" w:eastAsiaTheme="minorEastAsia"/>
          <w:caps w:val="0"/>
          <w:smallCaps w:val="0"/>
          <w:sz w:val="24"/>
          <w:szCs w:val="24"/>
          <w:lang w:eastAsia="zh-CN"/>
        </w:rPr>
        <w:t>（</w:t>
      </w:r>
      <w:r>
        <w:rPr>
          <w:rFonts w:hint="eastAsia" w:cs="Times New Roman" w:eastAsiaTheme="minorEastAsia"/>
          <w:caps w:val="0"/>
          <w:smallCaps w:val="0"/>
          <w:sz w:val="24"/>
          <w:szCs w:val="24"/>
          <w:lang w:val="en-US" w:eastAsia="zh-CN"/>
        </w:rPr>
        <w:t>4</w:t>
      </w:r>
      <w:r>
        <w:rPr>
          <w:rFonts w:hint="eastAsia" w:cs="Times New Roman" w:eastAsiaTheme="minorEastAsia"/>
          <w:caps w:val="0"/>
          <w:smallCaps w:val="0"/>
          <w:sz w:val="24"/>
          <w:szCs w:val="24"/>
          <w:lang w:eastAsia="zh-CN"/>
        </w:rPr>
        <w:t>）钢引桥、空心板安装</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钢引桥必须在墩柱完成后安装，</w:t>
      </w:r>
      <w:r>
        <w:rPr>
          <w:rFonts w:hint="eastAsia" w:cs="Times New Roman" w:eastAsiaTheme="minorEastAsia"/>
          <w:caps w:val="0"/>
          <w:smallCaps w:val="0"/>
          <w:sz w:val="24"/>
          <w:szCs w:val="24"/>
          <w:lang w:eastAsia="zh-CN"/>
        </w:rPr>
        <w:t>钢引桥在生产厂家完成后运至现场，现场拼装</w:t>
      </w:r>
      <w:r>
        <w:rPr>
          <w:rFonts w:ascii="Times New Roman" w:hAnsi="Times New Roman" w:cs="Times New Roman" w:eastAsiaTheme="minorEastAsia"/>
          <w:caps w:val="0"/>
          <w:smallCaps w:val="0"/>
          <w:sz w:val="24"/>
          <w:szCs w:val="24"/>
        </w:rPr>
        <w:t>后一次性吊装。</w:t>
      </w:r>
    </w:p>
    <w:p>
      <w:pPr>
        <w:adjustRightInd w:val="0"/>
        <w:snapToGrid w:val="0"/>
        <w:spacing w:line="360" w:lineRule="auto"/>
        <w:ind w:firstLine="480" w:firstLineChars="200"/>
        <w:rPr>
          <w:rFonts w:hint="eastAsia" w:cs="Times New Roman" w:eastAsiaTheme="minorEastAsia"/>
          <w:caps w:val="0"/>
          <w:smallCaps w:val="0"/>
          <w:sz w:val="24"/>
          <w:szCs w:val="24"/>
          <w:lang w:eastAsia="zh-CN"/>
        </w:rPr>
      </w:pPr>
      <w:r>
        <w:rPr>
          <w:rFonts w:hint="eastAsia" w:cs="Times New Roman" w:eastAsiaTheme="minorEastAsia"/>
          <w:caps w:val="0"/>
          <w:smallCaps w:val="0"/>
          <w:sz w:val="24"/>
          <w:szCs w:val="24"/>
          <w:lang w:eastAsia="zh-CN"/>
        </w:rPr>
        <w:t>预制空心板在预制场生产完成后运至现场，</w:t>
      </w:r>
      <w:r>
        <w:rPr>
          <w:rFonts w:hint="eastAsia" w:cs="Times New Roman" w:eastAsiaTheme="minorEastAsia"/>
          <w:caps w:val="0"/>
          <w:smallCaps w:val="0"/>
          <w:sz w:val="24"/>
          <w:szCs w:val="24"/>
          <w:lang w:val="en-US" w:eastAsia="zh-CN"/>
        </w:rPr>
        <w:t>预制空心板采用设吊孔穿束兜板底加扁担的吊装方法。</w:t>
      </w:r>
    </w:p>
    <w:p>
      <w:pPr>
        <w:adjustRightInd w:val="0"/>
        <w:snapToGrid w:val="0"/>
        <w:spacing w:line="360" w:lineRule="auto"/>
        <w:ind w:firstLine="480" w:firstLineChars="200"/>
        <w:rPr>
          <w:rFonts w:hint="eastAsia" w:cs="Times New Roman" w:eastAsiaTheme="minorEastAsia"/>
          <w:caps w:val="0"/>
          <w:smallCaps w:val="0"/>
          <w:sz w:val="24"/>
          <w:szCs w:val="24"/>
          <w:lang w:eastAsia="zh-CN"/>
        </w:rPr>
      </w:pPr>
      <w:r>
        <w:rPr>
          <w:rFonts w:hint="eastAsia" w:cs="Times New Roman" w:eastAsiaTheme="minorEastAsia"/>
          <w:caps w:val="0"/>
          <w:smallCaps w:val="0"/>
          <w:sz w:val="24"/>
          <w:szCs w:val="24"/>
          <w:lang w:eastAsia="zh-CN"/>
        </w:rPr>
        <w:t>（</w:t>
      </w:r>
      <w:r>
        <w:rPr>
          <w:rFonts w:hint="eastAsia" w:cs="Times New Roman" w:eastAsiaTheme="minorEastAsia"/>
          <w:caps w:val="0"/>
          <w:smallCaps w:val="0"/>
          <w:sz w:val="24"/>
          <w:szCs w:val="24"/>
          <w:lang w:val="en-US" w:eastAsia="zh-CN"/>
        </w:rPr>
        <w:t>5</w:t>
      </w:r>
      <w:r>
        <w:rPr>
          <w:rFonts w:hint="eastAsia" w:cs="Times New Roman" w:eastAsiaTheme="minorEastAsia"/>
          <w:caps w:val="0"/>
          <w:smallCaps w:val="0"/>
          <w:sz w:val="24"/>
          <w:szCs w:val="24"/>
          <w:lang w:eastAsia="zh-CN"/>
        </w:rPr>
        <w:t>）现浇面层</w:t>
      </w:r>
    </w:p>
    <w:p>
      <w:pPr>
        <w:keepNext w:val="0"/>
        <w:keepLines w:val="0"/>
        <w:widowControl/>
        <w:suppressLineNumbers w:val="0"/>
        <w:jc w:val="left"/>
      </w:pPr>
      <w:r>
        <w:rPr>
          <w:rFonts w:hint="eastAsia" w:ascii="宋体" w:hAnsi="宋体" w:eastAsia="宋体" w:cs="宋体"/>
          <w:color w:val="000000"/>
          <w:kern w:val="0"/>
          <w:sz w:val="24"/>
          <w:szCs w:val="24"/>
          <w:lang w:val="en-US" w:eastAsia="zh-CN" w:bidi="ar"/>
        </w:rPr>
        <w:t>浇注桥面现浇层混凝土前应将梁顶浮浆、油污清除干净，以保证新、老混凝土良好结合，注意预埋泄水管及交通工程的通讯管线预埋件。</w:t>
      </w:r>
    </w:p>
    <w:p>
      <w:pPr>
        <w:pStyle w:val="2"/>
        <w:rPr>
          <w:rFonts w:hint="eastAsia"/>
          <w:lang w:eastAsia="zh-CN"/>
        </w:rPr>
      </w:pPr>
      <w:r>
        <w:rPr>
          <w:rFonts w:hint="eastAsia"/>
          <w:lang w:eastAsia="zh-CN"/>
        </w:rPr>
        <w:t>（</w:t>
      </w:r>
      <w:r>
        <w:rPr>
          <w:rFonts w:hint="eastAsia"/>
          <w:lang w:val="en-US" w:eastAsia="zh-CN"/>
        </w:rPr>
        <w:t>6</w:t>
      </w:r>
      <w:r>
        <w:rPr>
          <w:rFonts w:hint="eastAsia"/>
          <w:lang w:eastAsia="zh-CN"/>
        </w:rPr>
        <w:t>）其他</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趸船在</w:t>
      </w:r>
      <w:r>
        <w:rPr>
          <w:rFonts w:hint="eastAsia" w:cs="Times New Roman" w:eastAsiaTheme="minorEastAsia"/>
          <w:caps w:val="0"/>
          <w:smallCaps w:val="0"/>
          <w:sz w:val="24"/>
          <w:szCs w:val="24"/>
          <w:lang w:eastAsia="zh-CN"/>
        </w:rPr>
        <w:t>船厂</w:t>
      </w:r>
      <w:r>
        <w:rPr>
          <w:rFonts w:ascii="Times New Roman" w:hAnsi="Times New Roman" w:cs="Times New Roman" w:eastAsiaTheme="minorEastAsia"/>
          <w:caps w:val="0"/>
          <w:smallCaps w:val="0"/>
          <w:sz w:val="24"/>
          <w:szCs w:val="24"/>
        </w:rPr>
        <w:t>内加工后，水运至现场。</w:t>
      </w:r>
    </w:p>
    <w:p>
      <w:pPr>
        <w:adjustRightInd w:val="0"/>
        <w:snapToGrid w:val="0"/>
        <w:spacing w:line="360" w:lineRule="auto"/>
        <w:ind w:firstLine="480" w:firstLineChars="200"/>
        <w:rPr>
          <w:rFonts w:hint="eastAsia" w:ascii="Times New Roman" w:hAnsi="Times New Roman" w:cs="Times New Roman" w:eastAsiaTheme="minorEastAsia"/>
          <w:caps w:val="0"/>
          <w:smallCaps w:val="0"/>
          <w:sz w:val="24"/>
          <w:szCs w:val="24"/>
          <w:lang w:eastAsia="zh-CN"/>
        </w:rPr>
      </w:pPr>
      <w:r>
        <w:rPr>
          <w:rFonts w:hint="eastAsia" w:cs="Times New Roman" w:eastAsiaTheme="minorEastAsia"/>
          <w:caps w:val="0"/>
          <w:smallCaps w:val="0"/>
          <w:sz w:val="24"/>
          <w:szCs w:val="24"/>
          <w:lang w:eastAsia="zh-CN"/>
        </w:rPr>
        <w:t>建设相应的给排水管线、消防管线等，污水收集设施、装卸废气收集管线等环保设施。</w:t>
      </w:r>
    </w:p>
    <w:p>
      <w:pPr>
        <w:pStyle w:val="315"/>
        <w:tabs>
          <w:tab w:val="right" w:leader="dot" w:pos="9070"/>
        </w:tabs>
        <w:adjustRightInd w:val="0"/>
        <w:snapToGrid w:val="0"/>
        <w:spacing w:line="360" w:lineRule="auto"/>
        <w:ind w:firstLine="480" w:firstLineChars="200"/>
        <w:jc w:val="both"/>
        <w:rPr>
          <w:rFonts w:hint="eastAsia" w:ascii="Times New Roman" w:hAnsi="Times New Roman" w:cs="Times New Roman" w:eastAsiaTheme="minorEastAsia"/>
          <w:caps w:val="0"/>
          <w:smallCaps w:val="0"/>
          <w:sz w:val="24"/>
          <w:szCs w:val="24"/>
          <w:lang w:val="en-US" w:eastAsia="zh-CN"/>
        </w:rPr>
      </w:pPr>
      <w:r>
        <w:rPr>
          <w:rFonts w:hint="eastAsia" w:cs="Times New Roman" w:eastAsiaTheme="minorEastAsia"/>
          <w:caps w:val="0"/>
          <w:smallCaps w:val="0"/>
          <w:sz w:val="24"/>
          <w:szCs w:val="24"/>
          <w:lang w:val="en-US" w:eastAsia="zh-CN"/>
        </w:rPr>
        <w:t>3、施工期产污情况分析</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施工期各主要施工阶段产污环节及污染物类型、污染因子见下表。</w:t>
      </w:r>
    </w:p>
    <w:p>
      <w:pPr>
        <w:pStyle w:val="345"/>
        <w:adjustRightInd w:val="0"/>
        <w:spacing w:line="276" w:lineRule="auto"/>
        <w:ind w:firstLine="0" w:firstLineChars="0"/>
        <w:jc w:val="center"/>
        <w:rPr>
          <w:rFonts w:ascii="Times New Roman" w:hAnsi="Times New Roman" w:cs="Times New Roman" w:eastAsiaTheme="minorEastAsia"/>
          <w:b/>
          <w:caps w:val="0"/>
          <w:smallCaps w:val="0"/>
          <w:sz w:val="24"/>
        </w:rPr>
      </w:pPr>
      <w:r>
        <w:rPr>
          <w:rFonts w:ascii="Times New Roman" w:hAnsi="Times New Roman" w:cs="Times New Roman" w:eastAsiaTheme="minorEastAsia"/>
          <w:b/>
          <w:caps w:val="0"/>
          <w:smallCaps w:val="0"/>
          <w:sz w:val="24"/>
        </w:rPr>
        <w:t>表3.</w:t>
      </w:r>
      <w:r>
        <w:rPr>
          <w:rFonts w:hint="eastAsia" w:cs="Times New Roman" w:eastAsiaTheme="minorEastAsia"/>
          <w:b/>
          <w:caps w:val="0"/>
          <w:smallCaps w:val="0"/>
          <w:sz w:val="24"/>
          <w:lang w:val="en-US" w:eastAsia="zh-CN"/>
        </w:rPr>
        <w:t>7</w:t>
      </w:r>
      <w:r>
        <w:rPr>
          <w:rFonts w:ascii="Times New Roman" w:hAnsi="Times New Roman" w:cs="Times New Roman" w:eastAsiaTheme="minorEastAsia"/>
          <w:b/>
          <w:caps w:val="0"/>
          <w:smallCaps w:val="0"/>
          <w:sz w:val="24"/>
        </w:rPr>
        <w:t>-1施工期污染因子一览表</w:t>
      </w:r>
    </w:p>
    <w:tbl>
      <w:tblPr>
        <w:tblStyle w:val="71"/>
        <w:tblW w:w="5048"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430"/>
        <w:gridCol w:w="4295"/>
        <w:gridCol w:w="346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78"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污染类型</w:t>
            </w:r>
          </w:p>
        </w:tc>
        <w:tc>
          <w:tcPr>
            <w:tcW w:w="233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产污环节说明</w:t>
            </w:r>
          </w:p>
        </w:tc>
        <w:tc>
          <w:tcPr>
            <w:tcW w:w="18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主要污染因子</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78"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废水</w:t>
            </w:r>
          </w:p>
        </w:tc>
        <w:tc>
          <w:tcPr>
            <w:tcW w:w="233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生活污水</w:t>
            </w:r>
          </w:p>
        </w:tc>
        <w:tc>
          <w:tcPr>
            <w:tcW w:w="18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78"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2337" w:type="pct"/>
            <w:tcMar>
              <w:top w:w="0" w:type="dxa"/>
              <w:left w:w="0" w:type="dxa"/>
              <w:bottom w:w="0" w:type="dxa"/>
              <w:right w:w="0" w:type="dxa"/>
            </w:tcMar>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施工船舶污水</w:t>
            </w:r>
          </w:p>
        </w:tc>
        <w:tc>
          <w:tcPr>
            <w:tcW w:w="1884" w:type="pct"/>
            <w:tcMar>
              <w:top w:w="0" w:type="dxa"/>
              <w:left w:w="0" w:type="dxa"/>
              <w:bottom w:w="0" w:type="dxa"/>
              <w:right w:w="0" w:type="dxa"/>
            </w:tcMar>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COD、BOD</w:t>
            </w:r>
            <w:r>
              <w:rPr>
                <w:rFonts w:ascii="Times New Roman" w:hAnsi="Times New Roman" w:cs="Times New Roman"/>
                <w:caps w:val="0"/>
                <w:smallCaps w:val="0"/>
                <w:vertAlign w:val="subscript"/>
              </w:rPr>
              <w:t>5</w:t>
            </w:r>
            <w:r>
              <w:rPr>
                <w:rFonts w:ascii="Times New Roman" w:hAnsi="Times New Roman" w:cs="Times New Roman"/>
                <w:caps w:val="0"/>
                <w:smallCaps w:val="0"/>
              </w:rPr>
              <w:t>、NH</w:t>
            </w:r>
            <w:r>
              <w:rPr>
                <w:rFonts w:ascii="Times New Roman" w:hAnsi="Times New Roman" w:cs="Times New Roman"/>
                <w:caps w:val="0"/>
                <w:smallCaps w:val="0"/>
                <w:vertAlign w:val="subscript"/>
              </w:rPr>
              <w:t>3</w:t>
            </w:r>
            <w:r>
              <w:rPr>
                <w:rFonts w:ascii="Times New Roman" w:hAnsi="Times New Roman" w:cs="Times New Roman"/>
                <w:caps w:val="0"/>
                <w:smallCaps w:val="0"/>
              </w:rPr>
              <w:t>-N、SS、石油类等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78"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233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生产废水</w:t>
            </w:r>
          </w:p>
        </w:tc>
        <w:tc>
          <w:tcPr>
            <w:tcW w:w="18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SS、石油类等</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78"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废气</w:t>
            </w:r>
          </w:p>
        </w:tc>
        <w:tc>
          <w:tcPr>
            <w:tcW w:w="233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施工扬尘</w:t>
            </w:r>
          </w:p>
        </w:tc>
        <w:tc>
          <w:tcPr>
            <w:tcW w:w="18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TSP</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78"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233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施工船舶、车辆和机械</w:t>
            </w:r>
            <w:r>
              <w:rPr>
                <w:rFonts w:hint="eastAsia" w:ascii="Times New Roman" w:hAnsi="Times New Roman" w:cs="Times New Roman"/>
                <w:caps w:val="0"/>
                <w:smallCaps w:val="0"/>
                <w:lang w:eastAsia="zh-CN"/>
              </w:rPr>
              <w:t>燃油</w:t>
            </w:r>
            <w:r>
              <w:rPr>
                <w:rFonts w:ascii="Times New Roman" w:hAnsi="Times New Roman" w:cs="Times New Roman"/>
                <w:caps w:val="0"/>
                <w:smallCaps w:val="0"/>
              </w:rPr>
              <w:t>废气</w:t>
            </w:r>
          </w:p>
        </w:tc>
        <w:tc>
          <w:tcPr>
            <w:tcW w:w="18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CO、SO</w:t>
            </w:r>
            <w:r>
              <w:rPr>
                <w:rFonts w:ascii="Times New Roman" w:hAnsi="Times New Roman" w:cs="Times New Roman"/>
                <w:caps w:val="0"/>
                <w:smallCaps w:val="0"/>
                <w:vertAlign w:val="subscript"/>
              </w:rPr>
              <w:t>2</w:t>
            </w:r>
            <w:r>
              <w:rPr>
                <w:rFonts w:ascii="Times New Roman" w:hAnsi="Times New Roman" w:cs="Times New Roman"/>
                <w:caps w:val="0"/>
                <w:smallCaps w:val="0"/>
              </w:rPr>
              <w:t>、NOx、C</w:t>
            </w:r>
            <w:r>
              <w:rPr>
                <w:rFonts w:ascii="Times New Roman" w:hAnsi="Times New Roman" w:cs="Times New Roman"/>
                <w:caps w:val="0"/>
                <w:smallCaps w:val="0"/>
                <w:vertAlign w:val="subscript"/>
              </w:rPr>
              <w:t>n</w:t>
            </w:r>
            <w:r>
              <w:rPr>
                <w:rFonts w:ascii="Times New Roman" w:hAnsi="Times New Roman" w:cs="Times New Roman"/>
                <w:caps w:val="0"/>
                <w:smallCaps w:val="0"/>
              </w:rPr>
              <w:t>H</w:t>
            </w:r>
            <w:r>
              <w:rPr>
                <w:rFonts w:ascii="Times New Roman" w:hAnsi="Times New Roman" w:cs="Times New Roman"/>
                <w:caps w:val="0"/>
                <w:smallCaps w:val="0"/>
                <w:vertAlign w:val="subscript"/>
              </w:rPr>
              <w:t>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5" w:hRule="atLeast"/>
          <w:jc w:val="center"/>
        </w:trPr>
        <w:tc>
          <w:tcPr>
            <w:tcW w:w="778"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w:t>
            </w:r>
          </w:p>
        </w:tc>
        <w:tc>
          <w:tcPr>
            <w:tcW w:w="233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施工机械噪声</w:t>
            </w:r>
          </w:p>
        </w:tc>
        <w:tc>
          <w:tcPr>
            <w:tcW w:w="18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等效连续A声级</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78"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固废</w:t>
            </w:r>
          </w:p>
        </w:tc>
        <w:tc>
          <w:tcPr>
            <w:tcW w:w="233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建筑拆除垃圾及少量弃土</w:t>
            </w:r>
          </w:p>
        </w:tc>
        <w:tc>
          <w:tcPr>
            <w:tcW w:w="18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一般固废</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78"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2337" w:type="pct"/>
            <w:tcMar>
              <w:top w:w="0" w:type="dxa"/>
              <w:left w:w="0" w:type="dxa"/>
              <w:bottom w:w="0" w:type="dxa"/>
              <w:right w:w="0" w:type="dxa"/>
            </w:tcMar>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hint="eastAsia" w:ascii="Times New Roman" w:hAnsi="Times New Roman" w:cs="Times New Roman"/>
                <w:caps w:val="0"/>
                <w:smallCaps w:val="0"/>
                <w:lang w:val="en-US" w:eastAsia="zh-CN"/>
              </w:rPr>
              <w:t>港池疏浚</w:t>
            </w:r>
          </w:p>
        </w:tc>
        <w:tc>
          <w:tcPr>
            <w:tcW w:w="1884" w:type="pct"/>
            <w:tcMar>
              <w:top w:w="0" w:type="dxa"/>
              <w:left w:w="0" w:type="dxa"/>
              <w:bottom w:w="0" w:type="dxa"/>
              <w:right w:w="0" w:type="dxa"/>
            </w:tcMar>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hint="eastAsia" w:ascii="Times New Roman" w:hAnsi="Times New Roman" w:cs="Times New Roman"/>
                <w:caps w:val="0"/>
                <w:smallCaps w:val="0"/>
                <w:lang w:val="en-US" w:eastAsia="zh-CN"/>
              </w:rPr>
              <w:t>疏浚泥沙</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778"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233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18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r>
    </w:tbl>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营运期工艺流程及产污环节</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管线工程在营运期基本没有污染物产生，产污主要来自码头工程。</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color w:val="auto"/>
          <w:sz w:val="24"/>
          <w:szCs w:val="24"/>
        </w:rPr>
      </w:pPr>
      <w:r>
        <w:rPr>
          <w:rFonts w:ascii="Times New Roman" w:hAnsi="Times New Roman" w:cs="Times New Roman" w:eastAsiaTheme="minorEastAsia"/>
          <w:b/>
          <w:caps w:val="0"/>
          <w:smallCaps w:val="0"/>
          <w:sz w:val="24"/>
          <w:szCs w:val="24"/>
        </w:rPr>
        <w:t>1、</w:t>
      </w:r>
      <w:r>
        <w:rPr>
          <w:rFonts w:ascii="Times New Roman" w:hAnsi="Times New Roman" w:cs="Times New Roman" w:eastAsiaTheme="minorEastAsia"/>
          <w:b/>
          <w:caps w:val="0"/>
          <w:smallCaps w:val="0"/>
          <w:color w:val="auto"/>
          <w:sz w:val="24"/>
          <w:szCs w:val="24"/>
        </w:rPr>
        <w:t>工艺流程</w:t>
      </w:r>
    </w:p>
    <w:p>
      <w:pPr>
        <w:pStyle w:val="315"/>
        <w:tabs>
          <w:tab w:val="right" w:leader="dot" w:pos="9070"/>
        </w:tabs>
        <w:adjustRightInd w:val="0"/>
        <w:snapToGrid w:val="0"/>
        <w:jc w:val="center"/>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object>
          <v:shape id="_x0000_i1027" o:spt="75" type="#_x0000_t75" style="height:345.95pt;width:362pt;" o:ole="t" filled="f" o:preferrelative="t" stroked="f" coordsize="21600,21600">
            <v:path/>
            <v:fill on="f" focussize="0,0"/>
            <v:stroke on="f"/>
            <v:imagedata r:id="rId39" o:title=""/>
            <o:lock v:ext="edit" aspectratio="f"/>
            <w10:wrap type="none"/>
            <w10:anchorlock/>
          </v:shape>
          <o:OLEObject Type="Embed" ProgID="Visio.Drawing.11" ShapeID="_x0000_i1027" DrawAspect="Content" ObjectID="_1468075727" r:id="rId38">
            <o:LockedField>false</o:LockedField>
          </o:OLEObject>
        </w:object>
      </w:r>
    </w:p>
    <w:p>
      <w:pPr>
        <w:pStyle w:val="345"/>
        <w:adjustRightInd w:val="0"/>
        <w:spacing w:line="240" w:lineRule="auto"/>
        <w:ind w:firstLine="0" w:firstLineChars="0"/>
        <w:jc w:val="center"/>
        <w:rPr>
          <w:rFonts w:ascii="Times New Roman" w:hAnsi="Times New Roman" w:cs="Times New Roman" w:eastAsiaTheme="minorEastAsia"/>
          <w:b/>
          <w:caps w:val="0"/>
          <w:smallCaps w:val="0"/>
          <w:sz w:val="24"/>
        </w:rPr>
      </w:pPr>
      <w:r>
        <w:rPr>
          <w:rFonts w:ascii="Times New Roman" w:hAnsi="Times New Roman" w:cs="Times New Roman" w:eastAsiaTheme="minorEastAsia"/>
          <w:b/>
          <w:caps w:val="0"/>
          <w:smallCaps w:val="0"/>
          <w:sz w:val="24"/>
        </w:rPr>
        <w:t>图3.</w:t>
      </w:r>
      <w:r>
        <w:rPr>
          <w:rFonts w:hint="eastAsia" w:cs="Times New Roman" w:eastAsiaTheme="minorEastAsia"/>
          <w:b/>
          <w:caps w:val="0"/>
          <w:smallCaps w:val="0"/>
          <w:sz w:val="24"/>
          <w:lang w:val="en-US" w:eastAsia="zh-CN"/>
        </w:rPr>
        <w:t>7</w:t>
      </w:r>
      <w:r>
        <w:rPr>
          <w:rFonts w:ascii="Times New Roman" w:hAnsi="Times New Roman" w:cs="Times New Roman" w:eastAsiaTheme="minorEastAsia"/>
          <w:b/>
          <w:caps w:val="0"/>
          <w:smallCaps w:val="0"/>
          <w:sz w:val="24"/>
        </w:rPr>
        <w:t>-2项目码头工艺流程及产污环节图</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0"/>
          <w:szCs w:val="20"/>
        </w:rPr>
      </w:pPr>
      <w:r>
        <w:rPr>
          <w:rFonts w:ascii="Times New Roman" w:hAnsi="Times New Roman" w:cs="Times New Roman" w:eastAsiaTheme="minorEastAsia"/>
          <w:caps w:val="0"/>
          <w:smallCaps w:val="0"/>
          <w:kern w:val="0"/>
          <w:sz w:val="24"/>
          <w:szCs w:val="24"/>
        </w:rPr>
        <w:t>工艺流程简述：</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cs="Times New Roman" w:eastAsiaTheme="minorEastAsia"/>
          <w:caps w:val="0"/>
          <w:smallCaps w:val="0"/>
          <w:sz w:val="24"/>
          <w:szCs w:val="24"/>
          <w:lang w:eastAsia="zh-CN"/>
        </w:rPr>
        <w:t>（</w:t>
      </w:r>
      <w:r>
        <w:rPr>
          <w:rFonts w:hint="eastAsia" w:cs="Times New Roman" w:eastAsiaTheme="minorEastAsia"/>
          <w:caps w:val="0"/>
          <w:smallCaps w:val="0"/>
          <w:sz w:val="24"/>
          <w:szCs w:val="24"/>
          <w:lang w:val="en-US" w:eastAsia="zh-CN"/>
        </w:rPr>
        <w:t>1</w:t>
      </w:r>
      <w:r>
        <w:rPr>
          <w:rFonts w:hint="eastAsia" w:cs="Times New Roman" w:eastAsiaTheme="minorEastAsia"/>
          <w:caps w:val="0"/>
          <w:smallCaps w:val="0"/>
          <w:sz w:val="24"/>
          <w:szCs w:val="24"/>
          <w:lang w:eastAsia="zh-CN"/>
        </w:rPr>
        <w:t>）</w:t>
      </w:r>
      <w:r>
        <w:rPr>
          <w:rFonts w:ascii="Times New Roman" w:hAnsi="Times New Roman" w:cs="Times New Roman" w:eastAsiaTheme="minorEastAsia"/>
          <w:caps w:val="0"/>
          <w:smallCaps w:val="0"/>
          <w:sz w:val="24"/>
          <w:szCs w:val="24"/>
        </w:rPr>
        <w:t>卸船流程</w:t>
      </w:r>
    </w:p>
    <w:p>
      <w:pPr>
        <w:pStyle w:val="315"/>
        <w:tabs>
          <w:tab w:val="right" w:leader="dot" w:pos="9070"/>
        </w:tabs>
        <w:adjustRightInd w:val="0"/>
        <w:snapToGrid w:val="0"/>
        <w:spacing w:line="360" w:lineRule="auto"/>
        <w:ind w:firstLine="480" w:firstLineChars="200"/>
        <w:jc w:val="both"/>
        <w:rPr>
          <w:rFonts w:hint="eastAsia" w:ascii="Times New Roman" w:hAnsi="Times New Roman" w:cs="Times New Roman" w:eastAsiaTheme="minorEastAsia"/>
          <w:caps w:val="0"/>
          <w:smallCaps w:val="0"/>
          <w:sz w:val="24"/>
          <w:szCs w:val="24"/>
        </w:rPr>
      </w:pPr>
      <w:r>
        <w:rPr>
          <w:rFonts w:hint="eastAsia" w:cs="Times New Roman" w:eastAsiaTheme="minorEastAsia"/>
          <w:caps w:val="0"/>
          <w:smallCaps w:val="0"/>
          <w:sz w:val="24"/>
          <w:szCs w:val="24"/>
          <w:lang w:eastAsia="zh-CN"/>
        </w:rPr>
        <w:t>沥青船在靠港前将沥青加热至沥青流动温度</w:t>
      </w:r>
      <w:r>
        <w:rPr>
          <w:rFonts w:hint="eastAsia" w:cs="Times New Roman" w:eastAsiaTheme="minorEastAsia"/>
          <w:caps w:val="0"/>
          <w:smallCaps w:val="0"/>
          <w:sz w:val="24"/>
          <w:szCs w:val="24"/>
          <w:lang w:val="en-US" w:eastAsia="zh-CN"/>
        </w:rPr>
        <w:t>50~70℃，在沥青</w:t>
      </w:r>
      <w:r>
        <w:rPr>
          <w:rFonts w:hint="eastAsia" w:ascii="Times New Roman" w:hAnsi="Times New Roman" w:cs="Times New Roman" w:eastAsiaTheme="minorEastAsia"/>
          <w:caps w:val="0"/>
          <w:smallCaps w:val="0"/>
          <w:sz w:val="24"/>
          <w:szCs w:val="24"/>
        </w:rPr>
        <w:t>船靠港后，</w:t>
      </w:r>
      <w:r>
        <w:rPr>
          <w:rFonts w:hint="eastAsia" w:cs="Times New Roman" w:eastAsiaTheme="minorEastAsia"/>
          <w:caps w:val="0"/>
          <w:smallCaps w:val="0"/>
          <w:sz w:val="24"/>
          <w:szCs w:val="24"/>
          <w:lang w:eastAsia="zh-CN"/>
        </w:rPr>
        <w:t>将码头接管与沥青船卸料口接好，</w:t>
      </w:r>
      <w:r>
        <w:rPr>
          <w:rFonts w:hint="eastAsia" w:ascii="Times New Roman" w:hAnsi="Times New Roman" w:cs="Times New Roman" w:eastAsiaTheme="minorEastAsia"/>
          <w:caps w:val="0"/>
          <w:smallCaps w:val="0"/>
          <w:sz w:val="24"/>
          <w:szCs w:val="24"/>
        </w:rPr>
        <w:t>通过船泵自卸，经由卸料软管、卸料固定管道系统</w:t>
      </w:r>
      <w:r>
        <w:rPr>
          <w:rFonts w:hint="eastAsia" w:cs="Times New Roman" w:eastAsiaTheme="minorEastAsia"/>
          <w:caps w:val="0"/>
          <w:smallCaps w:val="0"/>
          <w:sz w:val="24"/>
          <w:szCs w:val="24"/>
          <w:lang w:eastAsia="zh-CN"/>
        </w:rPr>
        <w:t>以及</w:t>
      </w:r>
      <w:r>
        <w:rPr>
          <w:rFonts w:hint="eastAsia" w:ascii="Times New Roman" w:hAnsi="Times New Roman" w:cs="Times New Roman" w:eastAsiaTheme="minorEastAsia"/>
          <w:caps w:val="0"/>
          <w:smallCaps w:val="0"/>
          <w:sz w:val="24"/>
          <w:szCs w:val="24"/>
        </w:rPr>
        <w:t>后方陆域</w:t>
      </w:r>
      <w:r>
        <w:rPr>
          <w:rFonts w:hint="eastAsia" w:cs="Times New Roman" w:eastAsiaTheme="minorEastAsia"/>
          <w:caps w:val="0"/>
          <w:smallCaps w:val="0"/>
          <w:sz w:val="24"/>
          <w:szCs w:val="24"/>
          <w:lang w:eastAsia="zh-CN"/>
        </w:rPr>
        <w:t>管线</w:t>
      </w:r>
      <w:r>
        <w:rPr>
          <w:rFonts w:hint="eastAsia" w:ascii="Times New Roman" w:hAnsi="Times New Roman" w:cs="Times New Roman" w:eastAsiaTheme="minorEastAsia"/>
          <w:caps w:val="0"/>
          <w:smallCaps w:val="0"/>
          <w:sz w:val="24"/>
          <w:szCs w:val="24"/>
        </w:rPr>
        <w:t>输送至</w:t>
      </w:r>
      <w:r>
        <w:rPr>
          <w:rFonts w:hint="eastAsia" w:cs="Times New Roman" w:eastAsiaTheme="minorEastAsia"/>
          <w:caps w:val="0"/>
          <w:smallCaps w:val="0"/>
          <w:sz w:val="24"/>
          <w:szCs w:val="24"/>
          <w:lang w:eastAsia="zh-CN"/>
        </w:rPr>
        <w:t>后方罐区基质沥青储罐</w:t>
      </w:r>
      <w:r>
        <w:rPr>
          <w:rFonts w:hint="eastAsia" w:ascii="Times New Roman" w:hAnsi="Times New Roman" w:cs="Times New Roman" w:eastAsiaTheme="minorEastAsia"/>
          <w:caps w:val="0"/>
          <w:smallCaps w:val="0"/>
          <w:sz w:val="24"/>
          <w:szCs w:val="24"/>
        </w:rPr>
        <w:t>。</w:t>
      </w:r>
    </w:p>
    <w:p>
      <w:pPr>
        <w:pStyle w:val="315"/>
        <w:tabs>
          <w:tab w:val="right" w:leader="dot" w:pos="9070"/>
        </w:tabs>
        <w:adjustRightInd w:val="0"/>
        <w:snapToGrid w:val="0"/>
        <w:spacing w:line="360" w:lineRule="auto"/>
        <w:ind w:firstLine="480" w:firstLineChars="200"/>
        <w:jc w:val="both"/>
        <w:rPr>
          <w:rFonts w:hint="eastAsia"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卸船完毕，用压缩空气将管线中的残余物料扫入后方罐区。扫线完毕，收起软管，船舶驶离码头。设置于码头前沿趸船的软管吊用于吊装工艺软管，辅助岸上与沥青船工艺管道的搭接。</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hint="eastAsia" w:cs="Times New Roman" w:eastAsiaTheme="minorEastAsia"/>
          <w:caps w:val="0"/>
          <w:smallCaps w:val="0"/>
          <w:sz w:val="24"/>
          <w:szCs w:val="24"/>
          <w:lang w:val="en-US" w:eastAsia="zh-CN"/>
        </w:rPr>
        <w:t>为了使沥青具有更好的流动性，</w:t>
      </w:r>
      <w:r>
        <w:rPr>
          <w:rFonts w:hint="eastAsia" w:ascii="Times New Roman" w:hAnsi="Times New Roman" w:cs="Times New Roman" w:eastAsiaTheme="minorEastAsia"/>
          <w:caps w:val="0"/>
          <w:smallCaps w:val="0"/>
          <w:sz w:val="24"/>
          <w:szCs w:val="24"/>
          <w:lang w:val="en-US" w:eastAsia="zh-CN"/>
        </w:rPr>
        <w:t>卸料管道系统采用伴热管道，在通径 150mm 装卸管外下部伴以两根通径25mm</w:t>
      </w:r>
      <w:r>
        <w:rPr>
          <w:rFonts w:hint="eastAsia" w:cs="Times New Roman" w:eastAsiaTheme="minorEastAsia"/>
          <w:caps w:val="0"/>
          <w:smallCaps w:val="0"/>
          <w:sz w:val="24"/>
          <w:szCs w:val="24"/>
          <w:lang w:val="en-US" w:eastAsia="zh-CN"/>
        </w:rPr>
        <w:t>导</w:t>
      </w:r>
      <w:r>
        <w:rPr>
          <w:rFonts w:hint="eastAsia" w:ascii="Times New Roman" w:hAnsi="Times New Roman" w:cs="Times New Roman" w:eastAsiaTheme="minorEastAsia"/>
          <w:caps w:val="0"/>
          <w:smallCaps w:val="0"/>
          <w:sz w:val="24"/>
          <w:szCs w:val="24"/>
          <w:lang w:val="en-US" w:eastAsia="zh-CN"/>
        </w:rPr>
        <w:t>热油管（由后方厂区供热），</w:t>
      </w:r>
      <w:r>
        <w:rPr>
          <w:rFonts w:hint="eastAsia" w:cs="Times New Roman" w:eastAsiaTheme="minorEastAsia"/>
          <w:caps w:val="0"/>
          <w:smallCaps w:val="0"/>
          <w:sz w:val="24"/>
          <w:szCs w:val="24"/>
          <w:lang w:val="en-US" w:eastAsia="zh-CN"/>
        </w:rPr>
        <w:t>导</w:t>
      </w:r>
      <w:r>
        <w:rPr>
          <w:rFonts w:hint="eastAsia" w:ascii="Times New Roman" w:hAnsi="Times New Roman" w:cs="Times New Roman" w:eastAsiaTheme="minorEastAsia"/>
          <w:caps w:val="0"/>
          <w:smallCaps w:val="0"/>
          <w:sz w:val="24"/>
          <w:szCs w:val="24"/>
          <w:lang w:val="en-US" w:eastAsia="zh-CN"/>
        </w:rPr>
        <w:t>热管与主物料管之间填充导热胶泥，外再敷以保温材料。</w:t>
      </w:r>
    </w:p>
    <w:p>
      <w:pPr>
        <w:pStyle w:val="315"/>
        <w:tabs>
          <w:tab w:val="right" w:leader="dot" w:pos="9070"/>
        </w:tabs>
        <w:adjustRightInd w:val="0"/>
        <w:snapToGrid w:val="0"/>
        <w:spacing w:line="360" w:lineRule="auto"/>
        <w:ind w:firstLine="480" w:firstLineChars="200"/>
        <w:jc w:val="both"/>
        <w:rPr>
          <w:rFonts w:hint="eastAsia" w:cs="Times New Roman" w:eastAsiaTheme="minorEastAsia"/>
          <w:caps w:val="0"/>
          <w:smallCaps w:val="0"/>
          <w:sz w:val="24"/>
          <w:szCs w:val="24"/>
          <w:lang w:eastAsia="zh-CN"/>
        </w:rPr>
      </w:pPr>
      <w:r>
        <w:rPr>
          <w:rFonts w:hint="eastAsia" w:cs="Times New Roman" w:eastAsiaTheme="minorEastAsia"/>
          <w:caps w:val="0"/>
          <w:smallCaps w:val="0"/>
          <w:sz w:val="24"/>
          <w:szCs w:val="24"/>
          <w:lang w:eastAsia="zh-CN"/>
        </w:rPr>
        <w:t>（</w:t>
      </w:r>
      <w:r>
        <w:rPr>
          <w:rFonts w:hint="eastAsia" w:cs="Times New Roman" w:eastAsiaTheme="minorEastAsia"/>
          <w:caps w:val="0"/>
          <w:smallCaps w:val="0"/>
          <w:sz w:val="24"/>
          <w:szCs w:val="24"/>
          <w:lang w:val="en-US" w:eastAsia="zh-CN"/>
        </w:rPr>
        <w:t>2</w:t>
      </w:r>
      <w:r>
        <w:rPr>
          <w:rFonts w:hint="eastAsia" w:cs="Times New Roman" w:eastAsiaTheme="minorEastAsia"/>
          <w:caps w:val="0"/>
          <w:smallCaps w:val="0"/>
          <w:sz w:val="24"/>
          <w:szCs w:val="24"/>
          <w:lang w:eastAsia="zh-CN"/>
        </w:rPr>
        <w:t>）装船流程</w:t>
      </w:r>
    </w:p>
    <w:p>
      <w:pPr>
        <w:pStyle w:val="315"/>
        <w:tabs>
          <w:tab w:val="right" w:leader="dot" w:pos="9070"/>
        </w:tabs>
        <w:adjustRightInd w:val="0"/>
        <w:snapToGrid w:val="0"/>
        <w:spacing w:line="360" w:lineRule="auto"/>
        <w:ind w:firstLine="480" w:firstLineChars="200"/>
        <w:jc w:val="both"/>
        <w:rPr>
          <w:rFonts w:hint="eastAsia" w:ascii="Times New Roman" w:hAnsi="Times New Roman" w:cs="Times New Roman" w:eastAsiaTheme="minorEastAsia"/>
          <w:caps w:val="0"/>
          <w:smallCaps w:val="0"/>
          <w:sz w:val="24"/>
          <w:szCs w:val="24"/>
        </w:rPr>
      </w:pPr>
      <w:r>
        <w:rPr>
          <w:rFonts w:hint="eastAsia" w:cs="Times New Roman" w:eastAsiaTheme="minorEastAsia"/>
          <w:caps w:val="0"/>
          <w:smallCaps w:val="0"/>
          <w:sz w:val="24"/>
          <w:szCs w:val="24"/>
          <w:lang w:eastAsia="zh-CN"/>
        </w:rPr>
        <w:t>沥青船靠港后，将码头管线与沥青船装料口接好，通过罐区泵，经后方库区管线、码头管线以及装卸软管输送至沥青船。装</w:t>
      </w:r>
      <w:r>
        <w:rPr>
          <w:rFonts w:hint="eastAsia" w:ascii="Times New Roman" w:hAnsi="Times New Roman" w:cs="Times New Roman" w:eastAsiaTheme="minorEastAsia"/>
          <w:caps w:val="0"/>
          <w:smallCaps w:val="0"/>
          <w:sz w:val="24"/>
          <w:szCs w:val="24"/>
        </w:rPr>
        <w:t>船完毕，用</w:t>
      </w:r>
      <w:r>
        <w:rPr>
          <w:rFonts w:hint="eastAsia" w:cs="Times New Roman" w:eastAsiaTheme="minorEastAsia"/>
          <w:caps w:val="0"/>
          <w:smallCaps w:val="0"/>
          <w:sz w:val="24"/>
          <w:szCs w:val="24"/>
          <w:lang w:eastAsia="zh-CN"/>
        </w:rPr>
        <w:t>压缩机</w:t>
      </w:r>
      <w:r>
        <w:rPr>
          <w:rFonts w:hint="eastAsia" w:ascii="Times New Roman" w:hAnsi="Times New Roman" w:cs="Times New Roman" w:eastAsiaTheme="minorEastAsia"/>
          <w:caps w:val="0"/>
          <w:smallCaps w:val="0"/>
          <w:sz w:val="24"/>
          <w:szCs w:val="24"/>
        </w:rPr>
        <w:t>将管线中的残余物料扫入后方罐区。扫线完毕，收起软管，船舶驶离码头。</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u w:val="single"/>
        </w:rPr>
      </w:pPr>
      <w:r>
        <w:rPr>
          <w:rFonts w:hint="eastAsia" w:cs="Times New Roman" w:eastAsiaTheme="minorEastAsia"/>
          <w:caps w:val="0"/>
          <w:smallCaps w:val="0"/>
          <w:sz w:val="24"/>
          <w:szCs w:val="24"/>
          <w:u w:val="single"/>
          <w:lang w:eastAsia="zh-CN"/>
        </w:rPr>
        <w:t>（</w:t>
      </w:r>
      <w:r>
        <w:rPr>
          <w:rFonts w:hint="eastAsia" w:cs="Times New Roman" w:eastAsiaTheme="minorEastAsia"/>
          <w:caps w:val="0"/>
          <w:smallCaps w:val="0"/>
          <w:sz w:val="24"/>
          <w:szCs w:val="24"/>
          <w:u w:val="single"/>
          <w:lang w:val="en-US" w:eastAsia="zh-CN"/>
        </w:rPr>
        <w:t>3</w:t>
      </w:r>
      <w:r>
        <w:rPr>
          <w:rFonts w:hint="eastAsia" w:cs="Times New Roman" w:eastAsiaTheme="minorEastAsia"/>
          <w:caps w:val="0"/>
          <w:smallCaps w:val="0"/>
          <w:sz w:val="24"/>
          <w:szCs w:val="24"/>
          <w:u w:val="single"/>
          <w:lang w:eastAsia="zh-CN"/>
        </w:rPr>
        <w:t>）</w:t>
      </w:r>
      <w:r>
        <w:rPr>
          <w:rFonts w:hint="eastAsia" w:ascii="Times New Roman" w:hAnsi="Times New Roman" w:cs="Times New Roman" w:eastAsiaTheme="minorEastAsia"/>
          <w:caps w:val="0"/>
          <w:smallCaps w:val="0"/>
          <w:sz w:val="24"/>
          <w:szCs w:val="24"/>
          <w:u w:val="single"/>
        </w:rPr>
        <w:t>扫线</w:t>
      </w:r>
      <w:r>
        <w:rPr>
          <w:rFonts w:ascii="Times New Roman" w:hAnsi="Times New Roman" w:cs="Times New Roman" w:eastAsiaTheme="minorEastAsia"/>
          <w:caps w:val="0"/>
          <w:smallCaps w:val="0"/>
          <w:sz w:val="24"/>
          <w:szCs w:val="24"/>
          <w:u w:val="single"/>
        </w:rPr>
        <w:t>流程</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u w:val="single"/>
        </w:rPr>
      </w:pPr>
      <w:r>
        <w:rPr>
          <w:rFonts w:ascii="Times New Roman" w:hAnsi="Times New Roman" w:cs="Times New Roman" w:eastAsiaTheme="minorEastAsia"/>
          <w:caps w:val="0"/>
          <w:smallCaps w:val="0"/>
          <w:sz w:val="24"/>
          <w:szCs w:val="24"/>
          <w:u w:val="single"/>
        </w:rPr>
        <w:t>每次装卸作业完毕，</w:t>
      </w:r>
      <w:r>
        <w:rPr>
          <w:rFonts w:hint="eastAsia" w:ascii="Times New Roman" w:hAnsi="Times New Roman" w:cs="Times New Roman" w:eastAsiaTheme="minorEastAsia"/>
          <w:caps w:val="0"/>
          <w:smallCaps w:val="0"/>
          <w:sz w:val="24"/>
          <w:szCs w:val="24"/>
          <w:u w:val="single"/>
        </w:rPr>
        <w:t>用压缩空气将管线中的残余物料扫入后方罐区。</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扫线用的</w:t>
      </w: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压缩空气</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来自</w:t>
      </w: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船舶</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，扫线方向为由</w:t>
      </w: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码头船舶</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向库区储罐吹扫。扫线结束后装卸主管及装卸臂内大部分为</w:t>
      </w:r>
      <w:r>
        <w:rPr>
          <w:rFonts w:hint="eastAsia" w:ascii="Times New Roman" w:hAnsi="Times New Roman" w:cs="Times New Roman" w:eastAsiaTheme="minorEastAsia"/>
          <w:caps w:val="0"/>
          <w:smallCaps w:val="0"/>
          <w:color w:val="000000" w:themeColor="text1"/>
          <w:sz w:val="24"/>
          <w:szCs w:val="24"/>
          <w:u w:val="single"/>
          <w:lang w:eastAsia="zh-CN"/>
          <w14:textFill>
            <w14:solidFill>
              <w14:schemeClr w14:val="tx1"/>
            </w14:solidFill>
          </w14:textFill>
        </w:rPr>
        <w:t>空气</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，断开装卸主管和装卸臂的连接后立即关紧装卸主管末端的阀门，防止管内残留的有机废气逸出。</w:t>
      </w:r>
    </w:p>
    <w:p>
      <w:pPr>
        <w:pStyle w:val="315"/>
        <w:tabs>
          <w:tab w:val="right" w:leader="dot" w:pos="9070"/>
        </w:tabs>
        <w:adjustRightInd w:val="0"/>
        <w:snapToGrid w:val="0"/>
        <w:spacing w:line="360" w:lineRule="auto"/>
        <w:ind w:firstLine="482" w:firstLineChars="200"/>
        <w:jc w:val="both"/>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2、产污环节</w:t>
      </w:r>
    </w:p>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本项目在正常运营状态下污染物产生环节分析结果见表3.</w:t>
      </w:r>
      <w:r>
        <w:rPr>
          <w:rFonts w:hint="eastAsia" w:cs="Times New Roman" w:eastAsiaTheme="minorEastAsia"/>
          <w:caps w:val="0"/>
          <w:smallCaps w:val="0"/>
          <w:sz w:val="24"/>
          <w:szCs w:val="24"/>
          <w:lang w:val="en-US" w:eastAsia="zh-CN"/>
        </w:rPr>
        <w:t>7</w:t>
      </w:r>
      <w:r>
        <w:rPr>
          <w:rFonts w:ascii="Times New Roman" w:hAnsi="Times New Roman" w:cs="Times New Roman" w:eastAsiaTheme="minorEastAsia"/>
          <w:caps w:val="0"/>
          <w:smallCaps w:val="0"/>
          <w:sz w:val="24"/>
          <w:szCs w:val="24"/>
        </w:rPr>
        <w:t>-2。</w:t>
      </w:r>
    </w:p>
    <w:p>
      <w:pPr>
        <w:pStyle w:val="345"/>
        <w:adjustRightInd w:val="0"/>
        <w:spacing w:line="276" w:lineRule="auto"/>
        <w:ind w:firstLine="0" w:firstLineChars="0"/>
        <w:jc w:val="center"/>
        <w:rPr>
          <w:rFonts w:ascii="Times New Roman" w:hAnsi="Times New Roman" w:cs="Times New Roman" w:eastAsiaTheme="minorEastAsia"/>
          <w:b/>
          <w:caps w:val="0"/>
          <w:smallCaps w:val="0"/>
          <w:color w:val="auto"/>
          <w:sz w:val="24"/>
        </w:rPr>
      </w:pPr>
      <w:r>
        <w:rPr>
          <w:rFonts w:ascii="Times New Roman" w:hAnsi="Times New Roman" w:cs="Times New Roman" w:eastAsiaTheme="minorEastAsia"/>
          <w:b/>
          <w:caps w:val="0"/>
          <w:smallCaps w:val="0"/>
          <w:color w:val="auto"/>
          <w:sz w:val="24"/>
        </w:rPr>
        <w:t>表3.</w:t>
      </w:r>
      <w:r>
        <w:rPr>
          <w:rFonts w:hint="eastAsia" w:cs="Times New Roman" w:eastAsiaTheme="minorEastAsia"/>
          <w:b/>
          <w:caps w:val="0"/>
          <w:smallCaps w:val="0"/>
          <w:color w:val="auto"/>
          <w:sz w:val="24"/>
          <w:lang w:val="en-US" w:eastAsia="zh-CN"/>
        </w:rPr>
        <w:t>7</w:t>
      </w:r>
      <w:r>
        <w:rPr>
          <w:rFonts w:ascii="Times New Roman" w:hAnsi="Times New Roman" w:cs="Times New Roman" w:eastAsiaTheme="minorEastAsia"/>
          <w:b/>
          <w:caps w:val="0"/>
          <w:smallCaps w:val="0"/>
          <w:color w:val="auto"/>
          <w:sz w:val="24"/>
        </w:rPr>
        <w:t>-2污染物产生环节分析结果</w:t>
      </w:r>
    </w:p>
    <w:tbl>
      <w:tblPr>
        <w:tblStyle w:val="71"/>
        <w:tblW w:w="5032"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539"/>
        <w:gridCol w:w="2993"/>
        <w:gridCol w:w="2783"/>
        <w:gridCol w:w="184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840" w:type="pct"/>
            <w:tcMar>
              <w:top w:w="0" w:type="dxa"/>
              <w:left w:w="0" w:type="dxa"/>
              <w:bottom w:w="0" w:type="dxa"/>
              <w:right w:w="0" w:type="dxa"/>
            </w:tcMar>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类别</w:t>
            </w: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产生环节</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主要污染物</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污染类别</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840"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废气</w:t>
            </w: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lang w:eastAsia="zh-CN"/>
              </w:rPr>
              <w:t>装</w:t>
            </w:r>
            <w:r>
              <w:rPr>
                <w:rFonts w:hint="eastAsia" w:ascii="Times New Roman" w:hAnsi="Times New Roman" w:cs="Times New Roman"/>
                <w:caps w:val="0"/>
                <w:smallCaps w:val="0"/>
                <w:color w:val="auto"/>
              </w:rPr>
              <w:t>卸料软管</w:t>
            </w:r>
            <w:r>
              <w:rPr>
                <w:rFonts w:ascii="Times New Roman" w:hAnsi="Times New Roman" w:cs="Times New Roman"/>
                <w:caps w:val="0"/>
                <w:smallCaps w:val="0"/>
                <w:color w:val="auto"/>
              </w:rPr>
              <w:t>拆卸废气</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color w:val="auto"/>
              </w:rPr>
            </w:pPr>
            <w:r>
              <w:rPr>
                <w:rFonts w:hint="eastAsia" w:ascii="Times New Roman" w:hAnsi="Times New Roman" w:cs="Times New Roman"/>
                <w:caps w:val="0"/>
                <w:smallCaps w:val="0"/>
                <w:color w:val="auto"/>
                <w:lang w:eastAsia="zh-CN"/>
              </w:rPr>
              <w:t>非甲烷总烃</w:t>
            </w:r>
            <w:r>
              <w:rPr>
                <w:rFonts w:hint="eastAsia" w:ascii="Times New Roman" w:hAnsi="Times New Roman" w:cs="Times New Roman"/>
                <w:caps w:val="0"/>
                <w:smallCaps w:val="0"/>
                <w:color w:val="auto"/>
              </w:rPr>
              <w:t>、沥青烟、苯并芘</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color w:val="auto"/>
              </w:rPr>
            </w:pPr>
            <w:r>
              <w:rPr>
                <w:rFonts w:ascii="Times New Roman" w:hAnsi="Times New Roman" w:cs="Times New Roman"/>
                <w:caps w:val="0"/>
                <w:smallCaps w:val="0"/>
                <w:color w:val="auto"/>
              </w:rPr>
              <w:t>无组织排放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840"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color w:val="auto"/>
              </w:rPr>
            </w:pPr>
          </w:p>
        </w:tc>
        <w:tc>
          <w:tcPr>
            <w:tcW w:w="1634" w:type="pct"/>
            <w:tcMar>
              <w:top w:w="0" w:type="dxa"/>
              <w:left w:w="0" w:type="dxa"/>
              <w:bottom w:w="0" w:type="dxa"/>
              <w:right w:w="0" w:type="dxa"/>
            </w:tcMar>
            <w:vAlign w:val="center"/>
          </w:tcPr>
          <w:p>
            <w:pPr>
              <w:pStyle w:val="117"/>
              <w:bidi w:val="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装卸过程产生的废气</w:t>
            </w:r>
          </w:p>
        </w:tc>
        <w:tc>
          <w:tcPr>
            <w:tcW w:w="1519" w:type="pct"/>
            <w:tcMar>
              <w:top w:w="0" w:type="dxa"/>
              <w:left w:w="0" w:type="dxa"/>
              <w:bottom w:w="0" w:type="dxa"/>
              <w:right w:w="0" w:type="dxa"/>
            </w:tcMar>
            <w:vAlign w:val="center"/>
          </w:tcPr>
          <w:p>
            <w:pPr>
              <w:pStyle w:val="117"/>
              <w:bidi w:val="0"/>
              <w:rPr>
                <w:rFonts w:hint="eastAsia" w:ascii="Times New Roman" w:hAnsi="Times New Roman" w:cs="Times New Roman"/>
                <w:caps w:val="0"/>
                <w:smallCaps w:val="0"/>
                <w:color w:val="auto"/>
                <w:lang w:eastAsia="zh-CN"/>
              </w:rPr>
            </w:pPr>
            <w:r>
              <w:rPr>
                <w:rFonts w:hint="eastAsia" w:ascii="Times New Roman" w:hAnsi="Times New Roman" w:cs="Times New Roman"/>
                <w:caps w:val="0"/>
                <w:smallCaps w:val="0"/>
                <w:color w:val="auto"/>
                <w:lang w:eastAsia="zh-CN"/>
              </w:rPr>
              <w:t>非甲烷总烃</w:t>
            </w:r>
            <w:r>
              <w:rPr>
                <w:rFonts w:hint="eastAsia" w:ascii="Times New Roman" w:hAnsi="Times New Roman" w:cs="Times New Roman"/>
                <w:caps w:val="0"/>
                <w:smallCaps w:val="0"/>
                <w:color w:val="auto"/>
              </w:rPr>
              <w:t>、沥青烟、苯并芘</w:t>
            </w:r>
          </w:p>
        </w:tc>
        <w:tc>
          <w:tcPr>
            <w:tcW w:w="1006" w:type="pct"/>
            <w:tcMar>
              <w:top w:w="0" w:type="dxa"/>
              <w:left w:w="0" w:type="dxa"/>
              <w:bottom w:w="0" w:type="dxa"/>
              <w:right w:w="0" w:type="dxa"/>
            </w:tcMar>
            <w:vAlign w:val="center"/>
          </w:tcPr>
          <w:p>
            <w:pPr>
              <w:pStyle w:val="117"/>
              <w:bidi w:val="0"/>
              <w:rPr>
                <w:rFonts w:hint="eastAsia" w:ascii="Times New Roman" w:hAnsi="Times New Roman" w:eastAsia="宋体" w:cs="Times New Roman"/>
                <w:caps w:val="0"/>
                <w:smallCaps w:val="0"/>
                <w:color w:val="auto"/>
                <w:lang w:eastAsia="zh-CN"/>
              </w:rPr>
            </w:pPr>
            <w:r>
              <w:rPr>
                <w:rFonts w:hint="eastAsia" w:ascii="Times New Roman" w:hAnsi="Times New Roman" w:cs="Times New Roman"/>
                <w:caps w:val="0"/>
                <w:smallCaps w:val="0"/>
                <w:color w:val="auto"/>
                <w:lang w:eastAsia="zh-CN"/>
              </w:rPr>
              <w:t>引至罐区废气处理装置处理</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840"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废水</w:t>
            </w: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船舶舱底油污水</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石油类</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船舶废水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8" w:hRule="atLeast"/>
          <w:jc w:val="center"/>
        </w:trPr>
        <w:tc>
          <w:tcPr>
            <w:tcW w:w="840"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船舶生活污水</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COD等</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船舶废水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840"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码头生活污水</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COD等</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生活废水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840"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初期雨水</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SS、石油类等</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初期雨水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840"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趸船平台冲洗废水</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SS、石油类等</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冲洗废水</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840"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固废</w:t>
            </w: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果皮、纸屑等</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840"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船舶生活垃圾</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8" w:hRule="atLeast"/>
          <w:jc w:val="center"/>
        </w:trPr>
        <w:tc>
          <w:tcPr>
            <w:tcW w:w="840"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废油</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石油类</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危险固废</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50" w:hRule="atLeast"/>
          <w:jc w:val="center"/>
        </w:trPr>
        <w:tc>
          <w:tcPr>
            <w:tcW w:w="840"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w:t>
            </w: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船舶噪声</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38" w:hRule="atLeast"/>
          <w:jc w:val="center"/>
        </w:trPr>
        <w:tc>
          <w:tcPr>
            <w:tcW w:w="840"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63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船舶鸣笛声</w:t>
            </w:r>
          </w:p>
        </w:tc>
        <w:tc>
          <w:tcPr>
            <w:tcW w:w="1519"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100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w:t>
            </w:r>
          </w:p>
        </w:tc>
      </w:tr>
    </w:tbl>
    <w:p>
      <w:pPr>
        <w:pStyle w:val="315"/>
        <w:tabs>
          <w:tab w:val="right" w:leader="dot" w:pos="9070"/>
        </w:tabs>
        <w:adjustRightInd w:val="0"/>
        <w:snapToGrid w:val="0"/>
        <w:spacing w:line="360" w:lineRule="auto"/>
        <w:ind w:firstLine="480" w:firstLineChars="200"/>
        <w:jc w:val="both"/>
        <w:rPr>
          <w:rFonts w:ascii="Times New Roman" w:hAnsi="Times New Roman" w:cs="Times New Roman" w:eastAsiaTheme="minorEastAsia"/>
          <w:caps w:val="0"/>
          <w:smallCaps w:val="0"/>
          <w:sz w:val="24"/>
          <w:szCs w:val="24"/>
        </w:rPr>
      </w:pP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施工期环境影响源分析</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项目施工期为</w:t>
      </w:r>
      <w:r>
        <w:rPr>
          <w:rFonts w:hint="eastAsia" w:ascii="Times New Roman" w:hAnsi="Times New Roman" w:cs="Times New Roman" w:eastAsiaTheme="minorEastAsia"/>
          <w:caps w:val="0"/>
          <w:smallCaps w:val="0"/>
          <w:color w:val="000000"/>
          <w:sz w:val="24"/>
          <w:szCs w:val="24"/>
        </w:rPr>
        <w:t>3</w:t>
      </w:r>
      <w:r>
        <w:rPr>
          <w:rFonts w:ascii="Times New Roman" w:hAnsi="Times New Roman" w:cs="Times New Roman" w:eastAsiaTheme="minorEastAsia"/>
          <w:caps w:val="0"/>
          <w:smallCaps w:val="0"/>
          <w:color w:val="000000"/>
          <w:sz w:val="24"/>
          <w:szCs w:val="24"/>
        </w:rPr>
        <w:t>个月，施工内容主要分为</w:t>
      </w:r>
      <w:r>
        <w:rPr>
          <w:rFonts w:hint="eastAsia" w:ascii="Times New Roman" w:hAnsi="Times New Roman" w:cs="Times New Roman" w:eastAsiaTheme="minorEastAsia"/>
          <w:caps w:val="0"/>
          <w:smallCaps w:val="0"/>
          <w:sz w:val="24"/>
          <w:szCs w:val="24"/>
        </w:rPr>
        <w:t>趸船</w:t>
      </w:r>
      <w:r>
        <w:rPr>
          <w:rFonts w:ascii="Times New Roman" w:hAnsi="Times New Roman" w:cs="Times New Roman" w:eastAsiaTheme="minorEastAsia"/>
          <w:caps w:val="0"/>
          <w:smallCaps w:val="0"/>
          <w:color w:val="000000"/>
          <w:sz w:val="24"/>
          <w:szCs w:val="24"/>
        </w:rPr>
        <w:t>和</w:t>
      </w:r>
      <w:r>
        <w:rPr>
          <w:rFonts w:hint="eastAsia" w:ascii="Times New Roman" w:hAnsi="Times New Roman" w:cs="Times New Roman" w:eastAsiaTheme="minorEastAsia"/>
          <w:caps w:val="0"/>
          <w:smallCaps w:val="0"/>
          <w:color w:val="000000"/>
          <w:sz w:val="24"/>
          <w:szCs w:val="24"/>
        </w:rPr>
        <w:t>引桥</w:t>
      </w:r>
      <w:r>
        <w:rPr>
          <w:rFonts w:ascii="Times New Roman" w:hAnsi="Times New Roman" w:cs="Times New Roman" w:eastAsiaTheme="minorEastAsia"/>
          <w:caps w:val="0"/>
          <w:smallCaps w:val="0"/>
          <w:color w:val="000000"/>
          <w:sz w:val="24"/>
          <w:szCs w:val="24"/>
        </w:rPr>
        <w:t>施工，施工人员按</w:t>
      </w:r>
      <w:r>
        <w:rPr>
          <w:rFonts w:hint="eastAsia" w:ascii="Times New Roman" w:hAnsi="Times New Roman" w:cs="Times New Roman" w:eastAsiaTheme="minorEastAsia"/>
          <w:caps w:val="0"/>
          <w:smallCaps w:val="0"/>
          <w:color w:val="000000"/>
          <w:sz w:val="24"/>
          <w:szCs w:val="24"/>
        </w:rPr>
        <w:t>30</w:t>
      </w:r>
      <w:r>
        <w:rPr>
          <w:rFonts w:ascii="Times New Roman" w:hAnsi="Times New Roman" w:cs="Times New Roman" w:eastAsiaTheme="minorEastAsia"/>
          <w:caps w:val="0"/>
          <w:smallCaps w:val="0"/>
          <w:color w:val="000000"/>
          <w:sz w:val="24"/>
          <w:szCs w:val="24"/>
        </w:rPr>
        <w:t>人/d计（不在施工现场食宿），其中</w:t>
      </w:r>
      <w:r>
        <w:rPr>
          <w:rFonts w:hint="eastAsia" w:ascii="Times New Roman" w:hAnsi="Times New Roman" w:cs="Times New Roman" w:eastAsiaTheme="minorEastAsia"/>
          <w:caps w:val="0"/>
          <w:smallCaps w:val="0"/>
          <w:color w:val="000000"/>
          <w:sz w:val="24"/>
          <w:szCs w:val="24"/>
        </w:rPr>
        <w:t>15</w:t>
      </w:r>
      <w:r>
        <w:rPr>
          <w:rFonts w:ascii="Times New Roman" w:hAnsi="Times New Roman" w:cs="Times New Roman" w:eastAsiaTheme="minorEastAsia"/>
          <w:caps w:val="0"/>
          <w:smallCaps w:val="0"/>
          <w:color w:val="000000"/>
          <w:sz w:val="24"/>
          <w:szCs w:val="24"/>
        </w:rPr>
        <w:t>人为施工船舶工作人员，</w:t>
      </w:r>
      <w:r>
        <w:rPr>
          <w:rFonts w:hint="eastAsia" w:ascii="Times New Roman" w:hAnsi="Times New Roman" w:cs="Times New Roman" w:eastAsiaTheme="minorEastAsia"/>
          <w:caps w:val="0"/>
          <w:smallCaps w:val="0"/>
          <w:color w:val="000000"/>
          <w:sz w:val="24"/>
          <w:szCs w:val="24"/>
        </w:rPr>
        <w:t>15</w:t>
      </w:r>
      <w:r>
        <w:rPr>
          <w:rFonts w:ascii="Times New Roman" w:hAnsi="Times New Roman" w:cs="Times New Roman" w:eastAsiaTheme="minorEastAsia"/>
          <w:caps w:val="0"/>
          <w:smallCaps w:val="0"/>
          <w:color w:val="000000"/>
          <w:sz w:val="24"/>
          <w:szCs w:val="24"/>
        </w:rPr>
        <w:t>人为</w:t>
      </w:r>
      <w:r>
        <w:rPr>
          <w:rFonts w:hint="eastAsia" w:ascii="Times New Roman" w:hAnsi="Times New Roman" w:cs="Times New Roman" w:eastAsiaTheme="minorEastAsia"/>
          <w:caps w:val="0"/>
          <w:smallCaps w:val="0"/>
          <w:color w:val="000000"/>
          <w:sz w:val="24"/>
          <w:szCs w:val="24"/>
        </w:rPr>
        <w:t>引桥</w:t>
      </w:r>
      <w:r>
        <w:rPr>
          <w:rFonts w:ascii="Times New Roman" w:hAnsi="Times New Roman" w:cs="Times New Roman" w:eastAsiaTheme="minorEastAsia"/>
          <w:caps w:val="0"/>
          <w:smallCaps w:val="0"/>
          <w:color w:val="000000"/>
          <w:sz w:val="24"/>
          <w:szCs w:val="24"/>
        </w:rPr>
        <w:t>及管线施工人员。施工期主要产生废气、废水、噪声、固废等污染，施工期环境污染只是短期影响，随着工程竣工影响基本消除，有利影响开始发生。</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项目施工过程中的污染源及污染物，由于面广且大多为无组织排放，加上受施工方式和设备等的制约，污染源及污染的随机性、波动性也较大，目前亦缺乏系统全面反映施工过程排污的统计资料和确定方法。因此，根据工程进展状况，结合国内类似环评中采取的一些方法，本评价对本项目施工过程中的污染源及污染物排放将采用以下原则与方法确定：</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caps w:val="0"/>
          <w:smallCaps w:val="0"/>
          <w:color w:val="000000"/>
          <w:sz w:val="24"/>
          <w:szCs w:val="24"/>
        </w:rPr>
        <w:t>⑴</w:t>
      </w:r>
      <w:r>
        <w:rPr>
          <w:rFonts w:ascii="Times New Roman" w:hAnsi="Times New Roman" w:cs="Times New Roman" w:eastAsiaTheme="minorEastAsia"/>
          <w:caps w:val="0"/>
          <w:smallCaps w:val="0"/>
          <w:color w:val="000000"/>
          <w:sz w:val="24"/>
          <w:szCs w:val="24"/>
        </w:rPr>
        <w:t>用现有典型施工场的有关监测资料；</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caps w:val="0"/>
          <w:smallCaps w:val="0"/>
          <w:color w:val="000000"/>
          <w:sz w:val="24"/>
          <w:szCs w:val="24"/>
        </w:rPr>
        <w:t>⑵</w:t>
      </w:r>
      <w:r>
        <w:rPr>
          <w:rFonts w:ascii="Times New Roman" w:hAnsi="Times New Roman" w:cs="Times New Roman" w:eastAsiaTheme="minorEastAsia"/>
          <w:caps w:val="0"/>
          <w:smallCaps w:val="0"/>
          <w:color w:val="000000"/>
          <w:sz w:val="24"/>
          <w:szCs w:val="24"/>
        </w:rPr>
        <w:t>结合本项目在施工方式与施工工艺、机械等方面的实际，类比相似工程施工过程排污进行估算。</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废水</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color w:val="000000"/>
          <w:sz w:val="24"/>
          <w:szCs w:val="24"/>
        </w:rPr>
        <w:t>施工期水污染源包括港池疏浚废水</w:t>
      </w:r>
      <w:r>
        <w:rPr>
          <w:rFonts w:hint="eastAsia" w:ascii="Times New Roman" w:hAnsi="Times New Roman" w:cs="Times New Roman" w:eastAsiaTheme="minorEastAsia"/>
          <w:caps w:val="0"/>
          <w:smallCaps w:val="0"/>
          <w:color w:val="000000"/>
          <w:sz w:val="24"/>
          <w:szCs w:val="24"/>
        </w:rPr>
        <w:t>、</w:t>
      </w:r>
      <w:r>
        <w:rPr>
          <w:rFonts w:ascii="Times New Roman" w:hAnsi="Times New Roman" w:cs="Times New Roman" w:eastAsiaTheme="minorEastAsia"/>
          <w:caps w:val="0"/>
          <w:smallCaps w:val="0"/>
          <w:color w:val="000000"/>
          <w:sz w:val="24"/>
          <w:szCs w:val="24"/>
        </w:rPr>
        <w:t>水下方堆存产生的泥浆水</w:t>
      </w:r>
      <w:r>
        <w:rPr>
          <w:rFonts w:hint="eastAsia" w:ascii="Times New Roman" w:hAnsi="Times New Roman" w:cs="Times New Roman" w:eastAsiaTheme="minorEastAsia"/>
          <w:caps w:val="0"/>
          <w:smallCaps w:val="0"/>
          <w:color w:val="000000"/>
          <w:sz w:val="24"/>
          <w:szCs w:val="24"/>
        </w:rPr>
        <w:t>、</w:t>
      </w:r>
      <w:r>
        <w:rPr>
          <w:rFonts w:ascii="Times New Roman" w:hAnsi="Times New Roman" w:cs="Times New Roman" w:eastAsiaTheme="minorEastAsia"/>
          <w:caps w:val="0"/>
          <w:smallCaps w:val="0"/>
          <w:color w:val="000000"/>
          <w:sz w:val="24"/>
          <w:szCs w:val="24"/>
        </w:rPr>
        <w:t>施工</w:t>
      </w:r>
      <w:r>
        <w:rPr>
          <w:rFonts w:hint="eastAsia" w:ascii="Times New Roman" w:hAnsi="Times New Roman" w:cs="Times New Roman" w:eastAsiaTheme="minorEastAsia"/>
          <w:caps w:val="0"/>
          <w:smallCaps w:val="0"/>
          <w:color w:val="000000"/>
          <w:sz w:val="24"/>
          <w:szCs w:val="24"/>
        </w:rPr>
        <w:t>生产</w:t>
      </w:r>
      <w:r>
        <w:rPr>
          <w:rFonts w:ascii="Times New Roman" w:hAnsi="Times New Roman" w:cs="Times New Roman" w:eastAsiaTheme="minorEastAsia"/>
          <w:caps w:val="0"/>
          <w:smallCaps w:val="0"/>
          <w:color w:val="000000"/>
          <w:sz w:val="24"/>
          <w:szCs w:val="24"/>
        </w:rPr>
        <w:t>废水、管线试压废水</w:t>
      </w:r>
      <w:r>
        <w:rPr>
          <w:rFonts w:hint="eastAsia" w:ascii="Times New Roman" w:hAnsi="Times New Roman" w:cs="Times New Roman" w:eastAsiaTheme="minorEastAsia"/>
          <w:caps w:val="0"/>
          <w:smallCaps w:val="0"/>
          <w:color w:val="000000"/>
          <w:sz w:val="24"/>
          <w:szCs w:val="24"/>
        </w:rPr>
        <w:t>、</w:t>
      </w:r>
      <w:r>
        <w:rPr>
          <w:rFonts w:ascii="Times New Roman" w:hAnsi="Times New Roman" w:cs="Times New Roman" w:eastAsiaTheme="minorEastAsia"/>
          <w:caps w:val="0"/>
          <w:smallCaps w:val="0"/>
          <w:color w:val="000000"/>
          <w:sz w:val="24"/>
          <w:szCs w:val="24"/>
        </w:rPr>
        <w:t>施工船舶污水和</w:t>
      </w:r>
      <w:r>
        <w:rPr>
          <w:rFonts w:hint="eastAsia" w:ascii="Times New Roman" w:hAnsi="Times New Roman" w:cs="Times New Roman" w:eastAsiaTheme="minorEastAsia"/>
          <w:caps w:val="0"/>
          <w:smallCaps w:val="0"/>
          <w:color w:val="000000"/>
          <w:sz w:val="24"/>
          <w:szCs w:val="24"/>
        </w:rPr>
        <w:t>引桥</w:t>
      </w:r>
      <w:r>
        <w:rPr>
          <w:rFonts w:ascii="Times New Roman" w:hAnsi="Times New Roman" w:cs="Times New Roman" w:eastAsiaTheme="minorEastAsia"/>
          <w:caps w:val="0"/>
          <w:smallCaps w:val="0"/>
          <w:kern w:val="0"/>
          <w:sz w:val="24"/>
          <w:szCs w:val="24"/>
        </w:rPr>
        <w:t>及管线施工生活污水。</w:t>
      </w:r>
    </w:p>
    <w:p>
      <w:pPr>
        <w:pStyle w:val="109"/>
        <w:tabs>
          <w:tab w:val="left" w:pos="900"/>
        </w:tabs>
        <w:adjustRightInd w:val="0"/>
        <w:snapToGrid w:val="0"/>
        <w:spacing w:line="360" w:lineRule="auto"/>
        <w:ind w:firstLine="482"/>
        <w:rPr>
          <w:rFonts w:ascii="Times New Roman" w:hAnsi="Times New Roman" w:cs="Times New Roman"/>
          <w:b/>
          <w:caps w:val="0"/>
          <w:smallCaps w:val="0"/>
          <w:color w:val="000000"/>
        </w:rPr>
      </w:pPr>
      <w:r>
        <w:rPr>
          <w:rFonts w:hint="eastAsia" w:ascii="Times New Roman" w:hAnsi="Times New Roman" w:cs="Times New Roman"/>
          <w:b/>
          <w:caps w:val="0"/>
          <w:smallCaps w:val="0"/>
          <w:color w:val="000000"/>
        </w:rPr>
        <w:t>1、</w:t>
      </w:r>
      <w:r>
        <w:rPr>
          <w:rFonts w:ascii="Times New Roman" w:hAnsi="Times New Roman" w:cs="Times New Roman"/>
          <w:b/>
          <w:caps w:val="0"/>
          <w:smallCaps w:val="0"/>
          <w:color w:val="000000"/>
        </w:rPr>
        <w:t>港池疏浚废水</w:t>
      </w:r>
    </w:p>
    <w:p>
      <w:pPr>
        <w:pStyle w:val="22"/>
        <w:ind w:firstLine="480"/>
        <w:rPr>
          <w:rFonts w:ascii="Times New Roman" w:hAnsi="Times New Roman" w:cs="Times New Roman"/>
          <w:caps w:val="0"/>
          <w:smallCaps w:val="0"/>
          <w:lang w:val="zh-CN"/>
        </w:rPr>
      </w:pPr>
      <w:r>
        <w:rPr>
          <w:rFonts w:ascii="Times New Roman" w:hAnsi="Times New Roman" w:cs="Times New Roman"/>
          <w:caps w:val="0"/>
          <w:smallCaps w:val="0"/>
        </w:rPr>
        <w:t>本工程</w:t>
      </w:r>
      <w:r>
        <w:rPr>
          <w:rFonts w:ascii="Times New Roman" w:hAnsi="Times New Roman" w:cs="Times New Roman"/>
          <w:caps w:val="0"/>
          <w:smallCaps w:val="0"/>
          <w:snapToGrid w:val="0"/>
          <w:kern w:val="0"/>
        </w:rPr>
        <w:t>码头端部需进行</w:t>
      </w:r>
      <w:r>
        <w:rPr>
          <w:rFonts w:ascii="Times New Roman" w:hAnsi="Times New Roman" w:cs="Times New Roman"/>
          <w:caps w:val="0"/>
          <w:smallCaps w:val="0"/>
        </w:rPr>
        <w:t>前需进行局部涉水疏浚及浆砌块石护坡工程</w:t>
      </w:r>
      <w:r>
        <w:rPr>
          <w:rFonts w:ascii="Times New Roman" w:hAnsi="Times New Roman" w:cs="Times New Roman"/>
          <w:caps w:val="0"/>
          <w:smallCaps w:val="0"/>
          <w:snapToGrid w:val="0"/>
          <w:kern w:val="0"/>
        </w:rPr>
        <w:t>，施工过程中会扰动水体河床底质，</w:t>
      </w:r>
      <w:r>
        <w:rPr>
          <w:rFonts w:ascii="Times New Roman" w:hAnsi="Times New Roman" w:cs="Times New Roman"/>
          <w:caps w:val="0"/>
          <w:smallCaps w:val="0"/>
        </w:rPr>
        <w:t>引起局部悬浮物。其中浆砌块石护坡工程工期较短，工序简单，故重点评价码头前沿疏浚引起的水体扰动。</w:t>
      </w:r>
      <w:r>
        <w:rPr>
          <w:rFonts w:ascii="Times New Roman" w:hAnsi="Times New Roman" w:cs="Times New Roman"/>
          <w:caps w:val="0"/>
          <w:smallCaps w:val="0"/>
          <w:snapToGrid w:val="0"/>
          <w:kern w:val="0"/>
        </w:rPr>
        <w:t>根据工程资料，本项目疏浚挖泥量</w:t>
      </w:r>
      <w:r>
        <w:rPr>
          <w:rFonts w:ascii="Times New Roman" w:hAnsi="Times New Roman" w:cs="Times New Roman"/>
          <w:caps w:val="0"/>
          <w:smallCaps w:val="0"/>
        </w:rPr>
        <w:t>2</w:t>
      </w:r>
      <w:r>
        <w:rPr>
          <w:rFonts w:hint="eastAsia" w:ascii="Times New Roman" w:hAnsi="Times New Roman" w:cs="Times New Roman"/>
          <w:caps w:val="0"/>
          <w:smallCaps w:val="0"/>
          <w:lang w:val="en-US" w:eastAsia="zh-CN"/>
        </w:rPr>
        <w:t>1147</w:t>
      </w:r>
      <w:r>
        <w:rPr>
          <w:rFonts w:ascii="Times New Roman" w:hAnsi="Times New Roman" w:cs="Times New Roman"/>
          <w:caps w:val="0"/>
          <w:smallCaps w:val="0"/>
        </w:rPr>
        <w:t>m</w:t>
      </w:r>
      <w:r>
        <w:rPr>
          <w:rFonts w:ascii="Times New Roman" w:hAnsi="Times New Roman" w:cs="Times New Roman"/>
          <w:caps w:val="0"/>
          <w:smallCaps w:val="0"/>
          <w:vertAlign w:val="superscript"/>
        </w:rPr>
        <w:t>3</w:t>
      </w:r>
      <w:r>
        <w:rPr>
          <w:rFonts w:ascii="Times New Roman" w:hAnsi="Times New Roman" w:cs="Times New Roman"/>
          <w:caps w:val="0"/>
          <w:smallCaps w:val="0"/>
          <w:snapToGrid w:val="0"/>
          <w:kern w:val="0"/>
        </w:rPr>
        <w:t>，挖泥船挖泥过程搅动水体产生的悬浮泥沙量与挖泥船类型与大小、疏浚土质、作业现场的水流、底质粒径分布有关，挖泥船挖泥头部水中SS浓度增加范围为300～350mg/L</w:t>
      </w:r>
      <w:r>
        <w:rPr>
          <w:rFonts w:ascii="Times New Roman" w:hAnsi="Times New Roman" w:cs="Times New Roman"/>
          <w:caps w:val="0"/>
          <w:smallCaps w:val="0"/>
        </w:rPr>
        <w:t>。</w:t>
      </w:r>
      <w:r>
        <w:rPr>
          <w:rFonts w:ascii="Times New Roman" w:hAnsi="Times New Roman" w:cs="Times New Roman"/>
          <w:caps w:val="0"/>
          <w:smallCaps w:val="0"/>
          <w:lang w:val="zh-CN"/>
        </w:rPr>
        <w:t>根据《水运工程建设项目环境影响评价指南》（JTS/T 105-2021），疏浚作业悬浮物产生量按照以下公式计算：</w:t>
      </w:r>
    </w:p>
    <w:p>
      <w:pPr>
        <w:pStyle w:val="109"/>
        <w:tabs>
          <w:tab w:val="left" w:pos="900"/>
        </w:tabs>
        <w:adjustRightInd w:val="0"/>
        <w:snapToGrid w:val="0"/>
        <w:spacing w:line="360" w:lineRule="auto"/>
        <w:ind w:firstLine="0" w:firstLineChars="0"/>
        <w:jc w:val="center"/>
        <w:rPr>
          <w:rFonts w:ascii="Times New Roman" w:hAnsi="Times New Roman" w:cs="Times New Roman"/>
          <w:caps w:val="0"/>
          <w:smallCaps w:val="0"/>
          <w:color w:val="000000"/>
        </w:rPr>
      </w:pPr>
      <w:r>
        <w:rPr>
          <w:rFonts w:ascii="Times New Roman" w:hAnsi="Times New Roman" w:cs="Times New Roman"/>
          <w:caps w:val="0"/>
          <w:smallCaps w:val="0"/>
          <w:color w:val="000000"/>
        </w:rPr>
        <w:object>
          <v:shape id="_x0000_i1028" o:spt="75" type="#_x0000_t75" style="height:34.5pt;width:80.25pt;" o:ole="t" filled="f" o:preferrelative="t" stroked="f" coordsize="21600,21600">
            <v:path/>
            <v:fill on="f" focussize="0,0"/>
            <v:stroke on="f" joinstyle="miter"/>
            <v:imagedata r:id="rId41" o:title=""/>
            <o:lock v:ext="edit" aspectratio="t"/>
            <w10:wrap type="none"/>
            <w10:anchorlock/>
          </v:shape>
          <o:OLEObject Type="Embed" ProgID="Equation.3" ShapeID="_x0000_i1028" DrawAspect="Content" ObjectID="_1468075728" r:id="rId40">
            <o:LockedField>false</o:LockedField>
          </o:OLEObject>
        </w:object>
      </w:r>
    </w:p>
    <w:p>
      <w:pPr>
        <w:pStyle w:val="109"/>
        <w:tabs>
          <w:tab w:val="left" w:pos="900"/>
        </w:tabs>
        <w:snapToGrid w:val="0"/>
        <w:spacing w:line="360" w:lineRule="auto"/>
        <w:ind w:firstLine="480"/>
        <w:rPr>
          <w:rFonts w:ascii="Times New Roman" w:hAnsi="Times New Roman" w:cs="Times New Roman"/>
          <w:caps w:val="0"/>
          <w:smallCaps w:val="0"/>
          <w:color w:val="000000"/>
        </w:rPr>
      </w:pPr>
      <w:r>
        <w:rPr>
          <w:rFonts w:ascii="Times New Roman" w:hAnsi="Times New Roman" w:cs="Times New Roman"/>
          <w:caps w:val="0"/>
          <w:smallCaps w:val="0"/>
          <w:color w:val="000000"/>
        </w:rPr>
        <w:t>式中：Q—疏浚时悬浮物发生量，t/h；</w:t>
      </w:r>
    </w:p>
    <w:p>
      <w:pPr>
        <w:pStyle w:val="109"/>
        <w:tabs>
          <w:tab w:val="left" w:pos="900"/>
        </w:tabs>
        <w:snapToGrid w:val="0"/>
        <w:spacing w:line="360" w:lineRule="auto"/>
        <w:ind w:firstLine="1200" w:firstLineChars="500"/>
        <w:rPr>
          <w:rFonts w:ascii="Times New Roman" w:hAnsi="Times New Roman" w:cs="Times New Roman"/>
          <w:caps w:val="0"/>
          <w:smallCaps w:val="0"/>
          <w:color w:val="000000"/>
        </w:rPr>
      </w:pPr>
      <w:r>
        <w:rPr>
          <w:rFonts w:ascii="Times New Roman" w:hAnsi="Times New Roman" w:cs="Times New Roman"/>
          <w:caps w:val="0"/>
          <w:smallCaps w:val="0"/>
          <w:color w:val="000000"/>
        </w:rPr>
        <w:t>W</w:t>
      </w:r>
      <w:r>
        <w:rPr>
          <w:rFonts w:ascii="Times New Roman" w:hAnsi="Times New Roman" w:cs="Times New Roman"/>
          <w:caps w:val="0"/>
          <w:smallCaps w:val="0"/>
          <w:color w:val="000000"/>
          <w:vertAlign w:val="subscript"/>
        </w:rPr>
        <w:t>0</w:t>
      </w:r>
      <w:r>
        <w:rPr>
          <w:rFonts w:ascii="Times New Roman" w:hAnsi="Times New Roman" w:cs="Times New Roman"/>
          <w:caps w:val="0"/>
          <w:smallCaps w:val="0"/>
          <w:color w:val="000000"/>
        </w:rPr>
        <w:t>—悬浮物发生系数，t/m</w:t>
      </w:r>
      <w:r>
        <w:rPr>
          <w:rFonts w:ascii="Times New Roman" w:hAnsi="Times New Roman" w:cs="Times New Roman"/>
          <w:caps w:val="0"/>
          <w:smallCaps w:val="0"/>
          <w:color w:val="000000"/>
          <w:vertAlign w:val="superscript"/>
        </w:rPr>
        <w:t>3</w:t>
      </w:r>
      <w:r>
        <w:rPr>
          <w:rFonts w:ascii="Times New Roman" w:hAnsi="Times New Roman" w:cs="Times New Roman"/>
          <w:caps w:val="0"/>
          <w:smallCaps w:val="0"/>
          <w:color w:val="000000"/>
        </w:rPr>
        <w:t>；</w:t>
      </w:r>
    </w:p>
    <w:p>
      <w:pPr>
        <w:pStyle w:val="109"/>
        <w:tabs>
          <w:tab w:val="left" w:pos="900"/>
        </w:tabs>
        <w:snapToGrid w:val="0"/>
        <w:spacing w:line="360" w:lineRule="auto"/>
        <w:ind w:firstLine="1200" w:firstLineChars="500"/>
        <w:rPr>
          <w:rFonts w:ascii="Times New Roman" w:hAnsi="Times New Roman" w:cs="Times New Roman"/>
          <w:caps w:val="0"/>
          <w:smallCaps w:val="0"/>
          <w:color w:val="000000"/>
        </w:rPr>
      </w:pPr>
      <w:r>
        <w:rPr>
          <w:rFonts w:hint="eastAsia" w:ascii="Times New Roman" w:hAnsi="Times New Roman" w:cs="Times New Roman"/>
          <w:caps w:val="0"/>
          <w:smallCaps w:val="0"/>
          <w:color w:val="000000"/>
        </w:rPr>
        <w:t>T</w:t>
      </w:r>
      <w:r>
        <w:rPr>
          <w:rFonts w:ascii="Times New Roman" w:hAnsi="Times New Roman" w:cs="Times New Roman"/>
          <w:caps w:val="0"/>
          <w:smallCaps w:val="0"/>
          <w:color w:val="000000"/>
        </w:rPr>
        <w:t>—</w:t>
      </w:r>
      <w:r>
        <w:rPr>
          <w:rFonts w:hint="eastAsia" w:ascii="Times New Roman" w:hAnsi="Times New Roman" w:cs="Times New Roman"/>
          <w:caps w:val="0"/>
          <w:smallCaps w:val="0"/>
          <w:color w:val="000000"/>
        </w:rPr>
        <w:t>挖泥船</w:t>
      </w:r>
      <w:r>
        <w:rPr>
          <w:rFonts w:ascii="Times New Roman" w:hAnsi="Times New Roman" w:cs="Times New Roman"/>
          <w:caps w:val="0"/>
          <w:smallCaps w:val="0"/>
          <w:color w:val="000000"/>
        </w:rPr>
        <w:t>疏浚效率，本工程拟采用</w:t>
      </w:r>
      <w:r>
        <w:rPr>
          <w:rFonts w:hint="eastAsia" w:ascii="Times New Roman" w:hAnsi="Times New Roman" w:cs="Times New Roman"/>
          <w:caps w:val="0"/>
          <w:smallCaps w:val="0"/>
          <w:color w:val="000000"/>
        </w:rPr>
        <w:t>2条</w:t>
      </w:r>
      <w:r>
        <w:rPr>
          <w:rFonts w:ascii="Times New Roman" w:hAnsi="Times New Roman" w:cs="Times New Roman"/>
          <w:caps w:val="0"/>
          <w:smallCaps w:val="0"/>
          <w:color w:val="000000"/>
        </w:rPr>
        <w:t>挖泥效率为</w:t>
      </w:r>
      <w:r>
        <w:rPr>
          <w:rFonts w:hint="eastAsia" w:ascii="Times New Roman" w:hAnsi="Times New Roman" w:cs="Times New Roman"/>
          <w:caps w:val="0"/>
          <w:smallCaps w:val="0"/>
          <w:color w:val="000000"/>
        </w:rPr>
        <w:t>8</w:t>
      </w:r>
      <w:r>
        <w:rPr>
          <w:rFonts w:ascii="Times New Roman" w:hAnsi="Times New Roman" w:cs="Times New Roman"/>
          <w:caps w:val="0"/>
          <w:smallCaps w:val="0"/>
          <w:color w:val="000000"/>
        </w:rPr>
        <w:t>m</w:t>
      </w:r>
      <w:r>
        <w:rPr>
          <w:rFonts w:ascii="Times New Roman" w:hAnsi="Times New Roman" w:cs="Times New Roman"/>
          <w:caps w:val="0"/>
          <w:smallCaps w:val="0"/>
          <w:color w:val="000000"/>
          <w:vertAlign w:val="superscript"/>
        </w:rPr>
        <w:t>3</w:t>
      </w:r>
      <w:r>
        <w:rPr>
          <w:rFonts w:ascii="Times New Roman" w:hAnsi="Times New Roman" w:cs="Times New Roman"/>
          <w:caps w:val="0"/>
          <w:smallCaps w:val="0"/>
          <w:color w:val="000000"/>
        </w:rPr>
        <w:t>/h的挖泥船进行疏浚作业；</w:t>
      </w:r>
    </w:p>
    <w:p>
      <w:pPr>
        <w:pStyle w:val="109"/>
        <w:tabs>
          <w:tab w:val="left" w:pos="900"/>
        </w:tabs>
        <w:snapToGrid w:val="0"/>
        <w:spacing w:line="360" w:lineRule="auto"/>
        <w:ind w:firstLine="1200" w:firstLineChars="500"/>
        <w:rPr>
          <w:rFonts w:ascii="Times New Roman" w:hAnsi="Times New Roman" w:cs="Times New Roman"/>
          <w:caps w:val="0"/>
          <w:smallCaps w:val="0"/>
          <w:color w:val="000000"/>
        </w:rPr>
      </w:pPr>
      <w:r>
        <w:rPr>
          <w:rFonts w:ascii="Times New Roman" w:hAnsi="Times New Roman" w:cs="Times New Roman"/>
          <w:caps w:val="0"/>
          <w:smallCaps w:val="0"/>
          <w:color w:val="000000"/>
        </w:rPr>
        <w:t>R—发生系数W</w:t>
      </w:r>
      <w:r>
        <w:rPr>
          <w:rFonts w:ascii="Times New Roman" w:hAnsi="Times New Roman" w:cs="Times New Roman"/>
          <w:caps w:val="0"/>
          <w:smallCaps w:val="0"/>
          <w:color w:val="000000"/>
          <w:vertAlign w:val="subscript"/>
        </w:rPr>
        <w:t>0</w:t>
      </w:r>
      <w:r>
        <w:rPr>
          <w:rFonts w:ascii="Times New Roman" w:hAnsi="Times New Roman" w:cs="Times New Roman"/>
          <w:caps w:val="0"/>
          <w:smallCaps w:val="0"/>
          <w:color w:val="000000"/>
        </w:rPr>
        <w:t>时的悬浮物粒径累计百分比</w:t>
      </w:r>
      <w:r>
        <w:rPr>
          <w:rFonts w:hint="eastAsia" w:ascii="Times New Roman" w:hAnsi="Times New Roman" w:cs="Times New Roman"/>
          <w:caps w:val="0"/>
          <w:smallCaps w:val="0"/>
          <w:color w:val="000000"/>
        </w:rPr>
        <w:t>，</w:t>
      </w:r>
      <w:r>
        <w:rPr>
          <w:rFonts w:ascii="Times New Roman" w:hAnsi="Times New Roman" w:cs="Times New Roman"/>
          <w:caps w:val="0"/>
          <w:smallCaps w:val="0"/>
          <w:color w:val="000000"/>
        </w:rPr>
        <w:t>%；</w:t>
      </w:r>
    </w:p>
    <w:p>
      <w:pPr>
        <w:pStyle w:val="109"/>
        <w:tabs>
          <w:tab w:val="left" w:pos="900"/>
        </w:tabs>
        <w:snapToGrid w:val="0"/>
        <w:spacing w:line="360" w:lineRule="auto"/>
        <w:ind w:firstLine="1200" w:firstLineChars="500"/>
        <w:rPr>
          <w:rFonts w:ascii="Times New Roman" w:hAnsi="Times New Roman" w:cs="Times New Roman"/>
          <w:caps w:val="0"/>
          <w:smallCaps w:val="0"/>
          <w:color w:val="000000"/>
        </w:rPr>
      </w:pPr>
      <w:r>
        <w:rPr>
          <w:rFonts w:ascii="Times New Roman" w:hAnsi="Times New Roman" w:cs="Times New Roman"/>
          <w:caps w:val="0"/>
          <w:smallCaps w:val="0"/>
          <w:color w:val="000000"/>
        </w:rPr>
        <w:t>R</w:t>
      </w:r>
      <w:r>
        <w:rPr>
          <w:rFonts w:ascii="Times New Roman" w:hAnsi="Times New Roman" w:cs="Times New Roman"/>
          <w:caps w:val="0"/>
          <w:smallCaps w:val="0"/>
          <w:color w:val="000000"/>
          <w:vertAlign w:val="subscript"/>
        </w:rPr>
        <w:t>0</w:t>
      </w:r>
      <w:r>
        <w:rPr>
          <w:rFonts w:ascii="Times New Roman" w:hAnsi="Times New Roman" w:cs="Times New Roman"/>
          <w:caps w:val="0"/>
          <w:smallCaps w:val="0"/>
          <w:color w:val="000000"/>
        </w:rPr>
        <w:t>—现场流速悬浮物临界粒子累计百分比</w:t>
      </w:r>
      <w:r>
        <w:rPr>
          <w:rFonts w:hint="eastAsia" w:ascii="Times New Roman" w:hAnsi="Times New Roman" w:cs="Times New Roman"/>
          <w:caps w:val="0"/>
          <w:smallCaps w:val="0"/>
          <w:color w:val="000000"/>
        </w:rPr>
        <w:t>，</w:t>
      </w:r>
      <w:r>
        <w:rPr>
          <w:rFonts w:ascii="Times New Roman" w:hAnsi="Times New Roman" w:cs="Times New Roman"/>
          <w:caps w:val="0"/>
          <w:smallCaps w:val="0"/>
          <w:color w:val="000000"/>
        </w:rPr>
        <w:t>%；</w:t>
      </w:r>
    </w:p>
    <w:p>
      <w:pPr>
        <w:pStyle w:val="109"/>
        <w:tabs>
          <w:tab w:val="left" w:pos="900"/>
        </w:tabs>
        <w:adjustRightInd w:val="0"/>
        <w:snapToGrid w:val="0"/>
        <w:spacing w:line="360" w:lineRule="auto"/>
        <w:ind w:firstLine="480"/>
        <w:rPr>
          <w:rFonts w:ascii="Times New Roman" w:hAnsi="Times New Roman" w:cs="Times New Roman"/>
          <w:caps w:val="0"/>
          <w:smallCaps w:val="0"/>
          <w:color w:val="000000"/>
        </w:rPr>
      </w:pPr>
      <w:r>
        <w:rPr>
          <w:rFonts w:hint="eastAsia" w:ascii="Times New Roman" w:hAnsi="Times New Roman" w:cs="Times New Roman"/>
          <w:caps w:val="0"/>
          <w:smallCaps w:val="0"/>
          <w:color w:val="000000"/>
        </w:rPr>
        <w:t>根据</w:t>
      </w:r>
      <w:r>
        <w:rPr>
          <w:rFonts w:ascii="Times New Roman" w:hAnsi="Times New Roman" w:cs="Times New Roman"/>
          <w:caps w:val="0"/>
          <w:smallCaps w:val="0"/>
          <w:lang w:val="zh-CN"/>
        </w:rPr>
        <w:t>《水运工程建设项目环境影响评价指南》（JTS/T 105-2021）</w:t>
      </w:r>
      <w:r>
        <w:rPr>
          <w:rFonts w:hint="eastAsia" w:ascii="Times New Roman" w:hAnsi="Times New Roman" w:cs="Times New Roman"/>
          <w:caps w:val="0"/>
          <w:smallCaps w:val="0"/>
          <w:color w:val="000000"/>
        </w:rPr>
        <w:t>，各系数取值</w:t>
      </w:r>
      <w:r>
        <w:rPr>
          <w:rFonts w:ascii="Times New Roman" w:hAnsi="Times New Roman" w:cs="Times New Roman"/>
          <w:caps w:val="0"/>
          <w:smallCaps w:val="0"/>
          <w:color w:val="000000"/>
        </w:rPr>
        <w:t>按表</w:t>
      </w:r>
      <w:r>
        <w:rPr>
          <w:rFonts w:hint="eastAsia" w:ascii="Times New Roman" w:hAnsi="Times New Roman" w:cs="Times New Roman"/>
          <w:caps w:val="0"/>
          <w:smallCaps w:val="0"/>
          <w:color w:val="000000"/>
        </w:rPr>
        <w:t>3.</w:t>
      </w:r>
      <w:r>
        <w:rPr>
          <w:rFonts w:hint="eastAsia" w:cs="Times New Roman"/>
          <w:caps w:val="0"/>
          <w:smallCaps w:val="0"/>
          <w:color w:val="000000"/>
          <w:lang w:val="en-US" w:eastAsia="zh-CN"/>
        </w:rPr>
        <w:t>7</w:t>
      </w:r>
      <w:r>
        <w:rPr>
          <w:rFonts w:ascii="Times New Roman" w:hAnsi="Times New Roman" w:cs="Times New Roman"/>
          <w:caps w:val="0"/>
          <w:smallCaps w:val="0"/>
          <w:color w:val="000000"/>
        </w:rPr>
        <w:t>-3</w:t>
      </w:r>
      <w:r>
        <w:rPr>
          <w:rFonts w:hint="eastAsia" w:ascii="Times New Roman" w:hAnsi="Times New Roman" w:cs="Times New Roman"/>
          <w:caps w:val="0"/>
          <w:smallCaps w:val="0"/>
          <w:color w:val="000000"/>
        </w:rPr>
        <w:t>取值。</w:t>
      </w:r>
    </w:p>
    <w:p>
      <w:pPr>
        <w:pStyle w:val="135"/>
        <w:spacing w:line="276" w:lineRule="auto"/>
        <w:jc w:val="center"/>
        <w:rPr>
          <w:rFonts w:ascii="Times New Roman" w:hAnsi="Times New Roman" w:cs="Times New Roman"/>
          <w:bCs w:val="0"/>
          <w:caps w:val="0"/>
          <w:smallCaps w:val="0"/>
          <w:sz w:val="24"/>
          <w:szCs w:val="24"/>
        </w:rPr>
      </w:pPr>
      <w:r>
        <w:rPr>
          <w:rFonts w:ascii="Times New Roman" w:hAnsi="Times New Roman" w:cs="Times New Roman"/>
          <w:bCs w:val="0"/>
          <w:caps w:val="0"/>
          <w:smallCaps w:val="0"/>
          <w:sz w:val="24"/>
          <w:szCs w:val="24"/>
        </w:rPr>
        <w:t>表3.</w:t>
      </w:r>
      <w:r>
        <w:rPr>
          <w:rFonts w:hint="eastAsia" w:cs="Times New Roman"/>
          <w:bCs w:val="0"/>
          <w:caps w:val="0"/>
          <w:smallCaps w:val="0"/>
          <w:sz w:val="24"/>
          <w:szCs w:val="24"/>
          <w:lang w:val="en-US" w:eastAsia="zh-CN"/>
        </w:rPr>
        <w:t>7</w:t>
      </w:r>
      <w:r>
        <w:rPr>
          <w:rFonts w:ascii="Times New Roman" w:hAnsi="Times New Roman" w:cs="Times New Roman"/>
          <w:bCs w:val="0"/>
          <w:caps w:val="0"/>
          <w:smallCaps w:val="0"/>
          <w:sz w:val="24"/>
          <w:szCs w:val="24"/>
        </w:rPr>
        <w:t>-3疏浚悬浮物粒径分布参考值</w:t>
      </w:r>
    </w:p>
    <w:tbl>
      <w:tblPr>
        <w:tblStyle w:val="7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328"/>
        <w:gridCol w:w="1655"/>
        <w:gridCol w:w="1892"/>
        <w:gridCol w:w="318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2328"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b/>
                <w:caps w:val="0"/>
                <w:smallCaps w:val="0"/>
                <w:sz w:val="21"/>
                <w:szCs w:val="21"/>
              </w:rPr>
            </w:pPr>
            <w:r>
              <w:rPr>
                <w:rFonts w:ascii="Times New Roman" w:hAnsi="Times New Roman" w:cs="Times New Roman"/>
                <w:b/>
                <w:caps w:val="0"/>
                <w:smallCaps w:val="0"/>
                <w:sz w:val="21"/>
                <w:szCs w:val="21"/>
              </w:rPr>
              <w:t>施工项目</w:t>
            </w:r>
          </w:p>
        </w:tc>
        <w:tc>
          <w:tcPr>
            <w:tcW w:w="1655"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b/>
                <w:caps w:val="0"/>
                <w:smallCaps w:val="0"/>
                <w:sz w:val="21"/>
                <w:szCs w:val="21"/>
              </w:rPr>
            </w:pPr>
            <w:r>
              <w:rPr>
                <w:rFonts w:ascii="Times New Roman" w:hAnsi="Times New Roman" w:cs="Times New Roman"/>
                <w:b/>
                <w:caps w:val="0"/>
                <w:smallCaps w:val="0"/>
                <w:sz w:val="21"/>
                <w:szCs w:val="21"/>
              </w:rPr>
              <w:t>R</w:t>
            </w:r>
          </w:p>
        </w:tc>
        <w:tc>
          <w:tcPr>
            <w:tcW w:w="1892"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b/>
                <w:caps w:val="0"/>
                <w:smallCaps w:val="0"/>
                <w:sz w:val="21"/>
                <w:szCs w:val="21"/>
              </w:rPr>
            </w:pPr>
            <w:r>
              <w:rPr>
                <w:rFonts w:ascii="Times New Roman" w:hAnsi="Times New Roman" w:cs="Times New Roman"/>
                <w:b/>
                <w:caps w:val="0"/>
                <w:smallCaps w:val="0"/>
                <w:sz w:val="21"/>
                <w:szCs w:val="21"/>
              </w:rPr>
              <w:t>R</w:t>
            </w:r>
            <w:r>
              <w:rPr>
                <w:rFonts w:ascii="Times New Roman" w:hAnsi="Times New Roman" w:cs="Times New Roman"/>
                <w:b/>
                <w:caps w:val="0"/>
                <w:smallCaps w:val="0"/>
                <w:sz w:val="21"/>
                <w:szCs w:val="21"/>
                <w:vertAlign w:val="subscript"/>
              </w:rPr>
              <w:t>0</w:t>
            </w:r>
          </w:p>
        </w:tc>
        <w:tc>
          <w:tcPr>
            <w:tcW w:w="3185"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b/>
                <w:caps w:val="0"/>
                <w:smallCaps w:val="0"/>
                <w:sz w:val="21"/>
                <w:szCs w:val="21"/>
              </w:rPr>
            </w:pPr>
            <w:r>
              <w:rPr>
                <w:rFonts w:ascii="Times New Roman" w:hAnsi="Times New Roman" w:cs="Times New Roman"/>
                <w:b/>
                <w:caps w:val="0"/>
                <w:smallCaps w:val="0"/>
                <w:sz w:val="21"/>
                <w:szCs w:val="21"/>
              </w:rPr>
              <w:t>W</w:t>
            </w:r>
            <w:r>
              <w:rPr>
                <w:rFonts w:ascii="Times New Roman" w:hAnsi="Times New Roman" w:cs="Times New Roman"/>
                <w:b/>
                <w:caps w:val="0"/>
                <w:smallCaps w:val="0"/>
                <w:sz w:val="21"/>
                <w:szCs w:val="21"/>
                <w:vertAlign w:val="subscript"/>
              </w:rPr>
              <w:t>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328"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caps w:val="0"/>
                <w:smallCaps w:val="0"/>
                <w:sz w:val="21"/>
                <w:szCs w:val="21"/>
              </w:rPr>
            </w:pPr>
            <w:r>
              <w:rPr>
                <w:rFonts w:ascii="Times New Roman" w:hAnsi="Times New Roman" w:cs="Times New Roman"/>
                <w:caps w:val="0"/>
                <w:smallCaps w:val="0"/>
                <w:sz w:val="21"/>
                <w:szCs w:val="21"/>
              </w:rPr>
              <w:t>填筑</w:t>
            </w:r>
          </w:p>
        </w:tc>
        <w:tc>
          <w:tcPr>
            <w:tcW w:w="1655"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caps w:val="0"/>
                <w:smallCaps w:val="0"/>
                <w:sz w:val="21"/>
                <w:szCs w:val="21"/>
              </w:rPr>
            </w:pPr>
            <w:r>
              <w:rPr>
                <w:rFonts w:ascii="Times New Roman" w:hAnsi="Times New Roman" w:cs="Times New Roman"/>
                <w:caps w:val="0"/>
                <w:smallCaps w:val="0"/>
                <w:sz w:val="21"/>
                <w:szCs w:val="21"/>
              </w:rPr>
              <w:t>23.0%</w:t>
            </w:r>
          </w:p>
        </w:tc>
        <w:tc>
          <w:tcPr>
            <w:tcW w:w="1892"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caps w:val="0"/>
                <w:smallCaps w:val="0"/>
                <w:sz w:val="21"/>
                <w:szCs w:val="21"/>
              </w:rPr>
            </w:pPr>
            <w:r>
              <w:rPr>
                <w:rFonts w:ascii="Times New Roman" w:hAnsi="Times New Roman" w:cs="Times New Roman"/>
                <w:caps w:val="0"/>
                <w:smallCaps w:val="0"/>
                <w:sz w:val="21"/>
                <w:szCs w:val="21"/>
              </w:rPr>
              <w:t>36.55%</w:t>
            </w:r>
          </w:p>
        </w:tc>
        <w:tc>
          <w:tcPr>
            <w:tcW w:w="3185"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caps w:val="0"/>
                <w:smallCaps w:val="0"/>
                <w:sz w:val="21"/>
                <w:szCs w:val="21"/>
              </w:rPr>
            </w:pPr>
            <w:r>
              <w:rPr>
                <w:rFonts w:ascii="Times New Roman" w:hAnsi="Times New Roman" w:cs="Times New Roman"/>
                <w:caps w:val="0"/>
                <w:smallCaps w:val="0"/>
                <w:sz w:val="21"/>
                <w:szCs w:val="21"/>
              </w:rPr>
              <w:t>1.49×10</w:t>
            </w:r>
            <w:r>
              <w:rPr>
                <w:rFonts w:ascii="Times New Roman" w:hAnsi="Times New Roman" w:cs="Times New Roman"/>
                <w:caps w:val="0"/>
                <w:smallCaps w:val="0"/>
                <w:sz w:val="21"/>
                <w:szCs w:val="21"/>
                <w:vertAlign w:val="superscript"/>
              </w:rPr>
              <w:t>-3</w:t>
            </w:r>
            <w:r>
              <w:rPr>
                <w:rFonts w:ascii="Times New Roman" w:hAnsi="Times New Roman" w:cs="Times New Roman"/>
                <w:caps w:val="0"/>
                <w:smallCaps w:val="0"/>
                <w:sz w:val="21"/>
                <w:szCs w:val="21"/>
              </w:rPr>
              <w:t>t/m</w:t>
            </w:r>
            <w:r>
              <w:rPr>
                <w:rFonts w:ascii="Times New Roman" w:hAnsi="Times New Roman" w:cs="Times New Roman"/>
                <w:caps w:val="0"/>
                <w:smallCaps w:val="0"/>
                <w:sz w:val="21"/>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2328"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caps w:val="0"/>
                <w:smallCaps w:val="0"/>
                <w:sz w:val="21"/>
                <w:szCs w:val="21"/>
              </w:rPr>
            </w:pPr>
            <w:r>
              <w:rPr>
                <w:rFonts w:ascii="Times New Roman" w:hAnsi="Times New Roman" w:cs="Times New Roman"/>
                <w:caps w:val="0"/>
                <w:smallCaps w:val="0"/>
                <w:sz w:val="21"/>
                <w:szCs w:val="21"/>
              </w:rPr>
              <w:t>疏浚</w:t>
            </w:r>
          </w:p>
        </w:tc>
        <w:tc>
          <w:tcPr>
            <w:tcW w:w="1655"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caps w:val="0"/>
                <w:smallCaps w:val="0"/>
                <w:sz w:val="21"/>
                <w:szCs w:val="21"/>
              </w:rPr>
            </w:pPr>
            <w:r>
              <w:rPr>
                <w:rFonts w:ascii="Times New Roman" w:hAnsi="Times New Roman" w:cs="Times New Roman"/>
                <w:caps w:val="0"/>
                <w:smallCaps w:val="0"/>
                <w:sz w:val="21"/>
                <w:szCs w:val="21"/>
              </w:rPr>
              <w:t>89.2%</w:t>
            </w:r>
          </w:p>
        </w:tc>
        <w:tc>
          <w:tcPr>
            <w:tcW w:w="1892"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caps w:val="0"/>
                <w:smallCaps w:val="0"/>
                <w:sz w:val="21"/>
                <w:szCs w:val="21"/>
              </w:rPr>
            </w:pPr>
            <w:r>
              <w:rPr>
                <w:rFonts w:ascii="Times New Roman" w:hAnsi="Times New Roman" w:cs="Times New Roman"/>
                <w:caps w:val="0"/>
                <w:smallCaps w:val="0"/>
                <w:sz w:val="21"/>
                <w:szCs w:val="21"/>
              </w:rPr>
              <w:t>80.2%</w:t>
            </w:r>
          </w:p>
        </w:tc>
        <w:tc>
          <w:tcPr>
            <w:tcW w:w="3185" w:type="dxa"/>
            <w:tcMar>
              <w:top w:w="0" w:type="dxa"/>
              <w:left w:w="0" w:type="dxa"/>
              <w:bottom w:w="0" w:type="dxa"/>
              <w:right w:w="0" w:type="dxa"/>
            </w:tcMar>
            <w:vAlign w:val="center"/>
          </w:tcPr>
          <w:p>
            <w:pPr>
              <w:pStyle w:val="159"/>
              <w:adjustRightInd w:val="0"/>
              <w:snapToGrid w:val="0"/>
              <w:spacing w:line="240" w:lineRule="auto"/>
              <w:rPr>
                <w:rFonts w:ascii="Times New Roman" w:hAnsi="Times New Roman" w:cs="Times New Roman"/>
                <w:caps w:val="0"/>
                <w:smallCaps w:val="0"/>
                <w:sz w:val="21"/>
                <w:szCs w:val="21"/>
              </w:rPr>
            </w:pPr>
            <w:r>
              <w:rPr>
                <w:rFonts w:ascii="Times New Roman" w:hAnsi="Times New Roman" w:cs="Times New Roman"/>
                <w:caps w:val="0"/>
                <w:smallCaps w:val="0"/>
                <w:sz w:val="21"/>
                <w:szCs w:val="21"/>
              </w:rPr>
              <w:t>38.0×10</w:t>
            </w:r>
            <w:r>
              <w:rPr>
                <w:rFonts w:ascii="Times New Roman" w:hAnsi="Times New Roman" w:cs="Times New Roman"/>
                <w:caps w:val="0"/>
                <w:smallCaps w:val="0"/>
                <w:sz w:val="21"/>
                <w:szCs w:val="21"/>
                <w:vertAlign w:val="superscript"/>
              </w:rPr>
              <w:t>-3</w:t>
            </w:r>
            <w:r>
              <w:rPr>
                <w:rFonts w:ascii="Times New Roman" w:hAnsi="Times New Roman" w:cs="Times New Roman"/>
                <w:caps w:val="0"/>
                <w:smallCaps w:val="0"/>
                <w:sz w:val="21"/>
                <w:szCs w:val="21"/>
              </w:rPr>
              <w:t>t/m</w:t>
            </w:r>
            <w:r>
              <w:rPr>
                <w:rFonts w:ascii="Times New Roman" w:hAnsi="Times New Roman" w:cs="Times New Roman"/>
                <w:caps w:val="0"/>
                <w:smallCaps w:val="0"/>
                <w:sz w:val="21"/>
                <w:szCs w:val="21"/>
                <w:vertAlign w:val="superscript"/>
              </w:rPr>
              <w:t>3</w:t>
            </w:r>
          </w:p>
        </w:tc>
      </w:tr>
    </w:tbl>
    <w:p>
      <w:pPr>
        <w:pStyle w:val="109"/>
        <w:tabs>
          <w:tab w:val="left" w:pos="900"/>
        </w:tabs>
        <w:adjustRightInd w:val="0"/>
        <w:snapToGrid w:val="0"/>
        <w:spacing w:line="360" w:lineRule="auto"/>
        <w:ind w:firstLine="480"/>
        <w:rPr>
          <w:rFonts w:hint="eastAsia" w:ascii="Times New Roman" w:hAnsi="Times New Roman" w:cs="Times New Roman"/>
          <w:caps w:val="0"/>
          <w:smallCaps w:val="0"/>
          <w:color w:val="000000"/>
        </w:rPr>
      </w:pPr>
      <w:r>
        <w:rPr>
          <w:rFonts w:hint="eastAsia" w:ascii="Times New Roman" w:hAnsi="Times New Roman" w:cs="Times New Roman"/>
          <w:caps w:val="0"/>
          <w:smallCaps w:val="0"/>
          <w:color w:val="000000"/>
        </w:rPr>
        <w:t>根据</w:t>
      </w:r>
      <w:r>
        <w:rPr>
          <w:rFonts w:ascii="Times New Roman" w:hAnsi="Times New Roman" w:cs="Times New Roman"/>
          <w:caps w:val="0"/>
          <w:smallCaps w:val="0"/>
          <w:color w:val="000000"/>
        </w:rPr>
        <w:t>经验公式计算，港池疏浚时悬浮物产生量为6.76t/h，浓度为300~400mg/l。本项目疏浚量较少，疏浚时间较短，</w:t>
      </w:r>
      <w:r>
        <w:rPr>
          <w:rFonts w:hint="eastAsia" w:ascii="Times New Roman" w:hAnsi="Times New Roman" w:cs="Times New Roman"/>
          <w:caps w:val="0"/>
          <w:smallCaps w:val="0"/>
          <w:color w:val="000000"/>
        </w:rPr>
        <w:t>悬浮</w:t>
      </w:r>
      <w:r>
        <w:rPr>
          <w:rFonts w:ascii="Times New Roman" w:hAnsi="Times New Roman" w:cs="Times New Roman"/>
          <w:caps w:val="0"/>
          <w:smallCaps w:val="0"/>
          <w:color w:val="000000"/>
        </w:rPr>
        <w:t>物大部分在短距离的沉降后入河道，少部分随水流水平</w:t>
      </w:r>
      <w:r>
        <w:rPr>
          <w:rFonts w:hint="eastAsia" w:ascii="Times New Roman" w:hAnsi="Times New Roman" w:cs="Times New Roman"/>
          <w:caps w:val="0"/>
          <w:smallCaps w:val="0"/>
          <w:color w:val="000000"/>
        </w:rPr>
        <w:t>迁移</w:t>
      </w:r>
      <w:r>
        <w:rPr>
          <w:rFonts w:ascii="Times New Roman" w:hAnsi="Times New Roman" w:cs="Times New Roman"/>
          <w:caps w:val="0"/>
          <w:smallCaps w:val="0"/>
          <w:color w:val="000000"/>
        </w:rPr>
        <w:t>。因此</w:t>
      </w:r>
      <w:r>
        <w:rPr>
          <w:rFonts w:hint="eastAsia" w:ascii="Times New Roman" w:hAnsi="Times New Roman" w:cs="Times New Roman"/>
          <w:caps w:val="0"/>
          <w:smallCaps w:val="0"/>
          <w:color w:val="000000"/>
        </w:rPr>
        <w:t>，</w:t>
      </w:r>
      <w:r>
        <w:rPr>
          <w:rFonts w:ascii="Times New Roman" w:hAnsi="Times New Roman" w:cs="Times New Roman"/>
          <w:caps w:val="0"/>
          <w:smallCaps w:val="0"/>
          <w:color w:val="000000"/>
        </w:rPr>
        <w:t>疏浚产生的悬浮物对周边水环境</w:t>
      </w:r>
      <w:r>
        <w:rPr>
          <w:rFonts w:hint="eastAsia" w:ascii="Times New Roman" w:hAnsi="Times New Roman" w:cs="Times New Roman"/>
          <w:caps w:val="0"/>
          <w:smallCaps w:val="0"/>
          <w:color w:val="000000"/>
        </w:rPr>
        <w:t>及下游取水口</w:t>
      </w:r>
      <w:r>
        <w:rPr>
          <w:rFonts w:ascii="Times New Roman" w:hAnsi="Times New Roman" w:cs="Times New Roman"/>
          <w:caps w:val="0"/>
          <w:smallCaps w:val="0"/>
          <w:color w:val="000000"/>
        </w:rPr>
        <w:t>影响较小</w:t>
      </w:r>
      <w:r>
        <w:rPr>
          <w:rFonts w:hint="eastAsia" w:ascii="Times New Roman" w:hAnsi="Times New Roman" w:cs="Times New Roman"/>
          <w:caps w:val="0"/>
          <w:smallCaps w:val="0"/>
          <w:color w:val="000000"/>
        </w:rPr>
        <w:t>。</w:t>
      </w:r>
    </w:p>
    <w:p>
      <w:pPr>
        <w:pStyle w:val="109"/>
        <w:tabs>
          <w:tab w:val="left" w:pos="900"/>
        </w:tabs>
        <w:adjustRightInd w:val="0"/>
        <w:snapToGrid w:val="0"/>
        <w:spacing w:line="360" w:lineRule="auto"/>
        <w:ind w:firstLine="480"/>
        <w:rPr>
          <w:rFonts w:hint="eastAsia" w:ascii="Times New Roman" w:hAnsi="Times New Roman" w:cs="Times New Roman"/>
          <w:caps w:val="0"/>
          <w:smallCaps w:val="0"/>
          <w:color w:val="000000"/>
        </w:rPr>
      </w:pPr>
      <w:r>
        <w:rPr>
          <w:rFonts w:hint="eastAsia" w:ascii="Times New Roman" w:hAnsi="Times New Roman" w:cs="Times New Roman"/>
          <w:caps w:val="0"/>
          <w:smallCaps w:val="0"/>
          <w:color w:val="000000"/>
        </w:rPr>
        <w:t>疏浚物运去后方抛泥区，抛泥区进行围堰，围堰四周设置排水沟，下方设置集水池，集水沉淀</w:t>
      </w:r>
      <w:r>
        <w:rPr>
          <w:rFonts w:hint="eastAsia" w:ascii="Times New Roman" w:hAnsi="Times New Roman" w:cs="Times New Roman"/>
          <w:caps w:val="0"/>
          <w:smallCaps w:val="0"/>
          <w:color w:val="000000"/>
          <w:lang w:val="en-US" w:eastAsia="zh-CN"/>
        </w:rPr>
        <w:t>后用作施工区域洒水降尘</w:t>
      </w:r>
      <w:r>
        <w:rPr>
          <w:rFonts w:hint="eastAsia" w:cs="Times New Roman"/>
          <w:caps w:val="0"/>
          <w:smallCaps w:val="0"/>
          <w:color w:val="000000"/>
          <w:lang w:val="en-US" w:eastAsia="zh-CN"/>
        </w:rPr>
        <w:t>。</w:t>
      </w:r>
    </w:p>
    <w:p>
      <w:pPr>
        <w:pStyle w:val="109"/>
        <w:tabs>
          <w:tab w:val="left" w:pos="900"/>
        </w:tabs>
        <w:adjustRightInd w:val="0"/>
        <w:snapToGrid w:val="0"/>
        <w:spacing w:line="360" w:lineRule="auto"/>
        <w:ind w:firstLine="482"/>
        <w:rPr>
          <w:b/>
          <w:color w:val="000000"/>
        </w:rPr>
      </w:pPr>
      <w:r>
        <w:rPr>
          <w:b/>
          <w:color w:val="000000"/>
        </w:rPr>
        <w:t>2</w:t>
      </w:r>
      <w:r>
        <w:rPr>
          <w:rFonts w:hint="eastAsia"/>
          <w:b/>
          <w:color w:val="000000"/>
        </w:rPr>
        <w:t>、</w:t>
      </w:r>
      <w:r>
        <w:rPr>
          <w:b/>
          <w:color w:val="000000"/>
        </w:rPr>
        <w:t>水下方堆存产生的泥浆水</w:t>
      </w:r>
    </w:p>
    <w:p>
      <w:pPr>
        <w:pStyle w:val="109"/>
        <w:tabs>
          <w:tab w:val="left" w:pos="900"/>
        </w:tabs>
        <w:adjustRightInd w:val="0"/>
        <w:snapToGrid w:val="0"/>
        <w:spacing w:line="360" w:lineRule="auto"/>
        <w:ind w:firstLine="482"/>
        <w:rPr>
          <w:rFonts w:hint="eastAsia" w:cs="Times New Roman"/>
          <w:b/>
          <w:caps w:val="0"/>
          <w:smallCaps w:val="0"/>
          <w:color w:val="000000"/>
          <w:lang w:val="en-US" w:eastAsia="zh-CN"/>
        </w:rPr>
      </w:pPr>
      <w:r>
        <w:rPr>
          <w:color w:val="000000"/>
        </w:rPr>
        <w:t>本项目疏浚产生的水下方在码头</w:t>
      </w:r>
      <w:r>
        <w:rPr>
          <w:rFonts w:hint="eastAsia"/>
          <w:color w:val="000000"/>
        </w:rPr>
        <w:t>部</w:t>
      </w:r>
      <w:r>
        <w:rPr>
          <w:color w:val="000000"/>
        </w:rPr>
        <w:t>用地范围内堆存，经风干后，用于码头作业平台的回填土。由于水下方含水量较大</w:t>
      </w:r>
      <w:r>
        <w:rPr>
          <w:rFonts w:hint="eastAsia"/>
          <w:color w:val="000000"/>
        </w:rPr>
        <w:t>，</w:t>
      </w:r>
      <w:r>
        <w:rPr>
          <w:color w:val="000000"/>
        </w:rPr>
        <w:t>堆存过程中产生溢流的泥浆水</w:t>
      </w:r>
      <w:r>
        <w:rPr>
          <w:rFonts w:hint="eastAsia"/>
          <w:color w:val="000000"/>
        </w:rPr>
        <w:t>，</w:t>
      </w:r>
      <w:r>
        <w:rPr>
          <w:color w:val="000000"/>
        </w:rPr>
        <w:t>主要污染物为悬浮物。该部分土方约</w:t>
      </w:r>
      <w:r>
        <w:rPr>
          <w:rFonts w:hint="eastAsia"/>
          <w:color w:val="000000"/>
          <w:lang w:val="en-US" w:eastAsia="zh-CN"/>
        </w:rPr>
        <w:t>2.1147</w:t>
      </w:r>
      <w:r>
        <w:rPr>
          <w:color w:val="000000"/>
        </w:rPr>
        <w:t>万m</w:t>
      </w:r>
      <w:r>
        <w:rPr>
          <w:color w:val="000000"/>
          <w:vertAlign w:val="superscript"/>
        </w:rPr>
        <w:t>3</w:t>
      </w:r>
      <w:r>
        <w:rPr>
          <w:color w:val="000000"/>
        </w:rPr>
        <w:t>，含水量按30%计，约产生溢流泥浆水</w:t>
      </w:r>
      <w:r>
        <w:rPr>
          <w:rFonts w:hint="eastAsia"/>
          <w:color w:val="000000"/>
          <w:lang w:val="en-US" w:eastAsia="zh-CN"/>
        </w:rPr>
        <w:t>0.63</w:t>
      </w:r>
      <w:r>
        <w:rPr>
          <w:color w:val="000000"/>
        </w:rPr>
        <w:t>万m</w:t>
      </w:r>
      <w:r>
        <w:rPr>
          <w:color w:val="000000"/>
          <w:vertAlign w:val="superscript"/>
        </w:rPr>
        <w:t>3</w:t>
      </w:r>
      <w:r>
        <w:rPr>
          <w:color w:val="000000"/>
        </w:rPr>
        <w:t>。溢流泥浆水经堆场溢流堰流出，在堆场设置的沉淀池内沉淀后部分回用于施工现场抑尘用水等</w:t>
      </w:r>
      <w:r>
        <w:rPr>
          <w:rFonts w:hint="eastAsia"/>
          <w:color w:val="000000"/>
        </w:rPr>
        <w:t>，</w:t>
      </w:r>
      <w:r>
        <w:rPr>
          <w:color w:val="000000"/>
        </w:rPr>
        <w:t>其余部分排入</w:t>
      </w:r>
      <w:r>
        <w:rPr>
          <w:rFonts w:hint="eastAsia"/>
          <w:color w:val="000000"/>
        </w:rPr>
        <w:t>周边</w:t>
      </w:r>
      <w:r>
        <w:rPr>
          <w:color w:val="000000"/>
        </w:rPr>
        <w:t>沟渠。类比同类工程，经沉淀处理的泥浆水中悬浮物含量接近原水背景值，按70mg/L计，则本项目施工期泥浆水排放的悬浮物总量为0.</w:t>
      </w:r>
      <w:r>
        <w:rPr>
          <w:rFonts w:hint="eastAsia"/>
          <w:color w:val="000000"/>
          <w:lang w:val="en-US" w:eastAsia="zh-CN"/>
        </w:rPr>
        <w:t>441</w:t>
      </w:r>
      <w:r>
        <w:rPr>
          <w:color w:val="000000"/>
        </w:rPr>
        <w:t>t。</w:t>
      </w:r>
    </w:p>
    <w:p>
      <w:pPr>
        <w:pStyle w:val="109"/>
        <w:tabs>
          <w:tab w:val="left" w:pos="900"/>
        </w:tabs>
        <w:adjustRightInd w:val="0"/>
        <w:snapToGrid w:val="0"/>
        <w:spacing w:line="360" w:lineRule="auto"/>
        <w:ind w:firstLine="482"/>
        <w:rPr>
          <w:rFonts w:ascii="Times New Roman" w:hAnsi="Times New Roman" w:cs="Times New Roman" w:eastAsiaTheme="minorEastAsia"/>
          <w:b/>
          <w:caps w:val="0"/>
          <w:smallCaps w:val="0"/>
          <w:color w:val="000000"/>
        </w:rPr>
      </w:pPr>
      <w:r>
        <w:rPr>
          <w:rFonts w:hint="eastAsia" w:cs="Times New Roman"/>
          <w:b/>
          <w:caps w:val="0"/>
          <w:smallCaps w:val="0"/>
          <w:color w:val="000000"/>
          <w:lang w:val="en-US" w:eastAsia="zh-CN"/>
        </w:rPr>
        <w:t>3</w:t>
      </w:r>
      <w:r>
        <w:rPr>
          <w:rFonts w:hint="eastAsia" w:ascii="Times New Roman" w:hAnsi="Times New Roman" w:cs="Times New Roman"/>
          <w:b/>
          <w:caps w:val="0"/>
          <w:smallCaps w:val="0"/>
          <w:color w:val="000000"/>
        </w:rPr>
        <w:t>、</w:t>
      </w:r>
      <w:r>
        <w:rPr>
          <w:rFonts w:ascii="Times New Roman" w:hAnsi="Times New Roman" w:cs="Times New Roman" w:eastAsiaTheme="minorEastAsia"/>
          <w:b/>
          <w:caps w:val="0"/>
          <w:smallCaps w:val="0"/>
          <w:color w:val="000000"/>
        </w:rPr>
        <w:t>施工</w:t>
      </w:r>
      <w:r>
        <w:rPr>
          <w:rFonts w:hint="eastAsia" w:ascii="Times New Roman" w:hAnsi="Times New Roman" w:cs="Times New Roman" w:eastAsiaTheme="minorEastAsia"/>
          <w:b/>
          <w:caps w:val="0"/>
          <w:smallCaps w:val="0"/>
          <w:color w:val="000000"/>
        </w:rPr>
        <w:t>生产</w:t>
      </w:r>
      <w:r>
        <w:rPr>
          <w:rFonts w:ascii="Times New Roman" w:hAnsi="Times New Roman" w:cs="Times New Roman" w:eastAsiaTheme="minorEastAsia"/>
          <w:b/>
          <w:caps w:val="0"/>
          <w:smallCaps w:val="0"/>
          <w:color w:val="000000"/>
        </w:rPr>
        <w:t>废水</w:t>
      </w:r>
    </w:p>
    <w:p>
      <w:pPr>
        <w:pStyle w:val="109"/>
        <w:tabs>
          <w:tab w:val="left" w:pos="900"/>
        </w:tabs>
        <w:adjustRightInd w:val="0"/>
        <w:snapToGrid w:val="0"/>
        <w:spacing w:line="360" w:lineRule="auto"/>
        <w:ind w:firstLine="480"/>
        <w:rPr>
          <w:rFonts w:ascii="Times New Roman" w:hAnsi="Times New Roman" w:cs="Times New Roman"/>
          <w:caps w:val="0"/>
          <w:smallCaps w:val="0"/>
          <w:color w:val="000000"/>
        </w:rPr>
      </w:pPr>
      <w:r>
        <w:rPr>
          <w:rFonts w:hint="eastAsia" w:ascii="Times New Roman" w:hAnsi="Times New Roman" w:cs="Times New Roman"/>
          <w:caps w:val="0"/>
          <w:smallCaps w:val="0"/>
          <w:color w:val="000000"/>
        </w:rPr>
        <w:t>⑴</w:t>
      </w:r>
      <w:r>
        <w:rPr>
          <w:rFonts w:ascii="Times New Roman" w:hAnsi="Times New Roman" w:cs="Times New Roman"/>
          <w:caps w:val="0"/>
          <w:smallCaps w:val="0"/>
          <w:color w:val="000000"/>
        </w:rPr>
        <w:t>码头主体结构施工废水</w:t>
      </w:r>
    </w:p>
    <w:p>
      <w:pPr>
        <w:pStyle w:val="109"/>
        <w:tabs>
          <w:tab w:val="left" w:pos="900"/>
        </w:tabs>
        <w:adjustRightInd w:val="0"/>
        <w:snapToGrid w:val="0"/>
        <w:spacing w:line="360" w:lineRule="auto"/>
        <w:ind w:firstLine="480"/>
        <w:rPr>
          <w:rFonts w:ascii="Times New Roman" w:hAnsi="Times New Roman" w:cs="Times New Roman"/>
          <w:caps w:val="0"/>
          <w:smallCaps w:val="0"/>
          <w:color w:val="000000"/>
        </w:rPr>
      </w:pPr>
      <w:r>
        <w:rPr>
          <w:rFonts w:ascii="Times New Roman" w:hAnsi="Times New Roman" w:cs="Times New Roman"/>
          <w:caps w:val="0"/>
          <w:smallCaps w:val="0"/>
          <w:color w:val="000000"/>
        </w:rPr>
        <w:t>码头主体结构的水域施工会对河流底泥进行扰动，造成施工区域附近水中SS浓度增高，影响水体水质。本项目码头主体结构的水域施工采取围堰法，码头主体结构施工过程在围堰内完成，对围堰外水域的影响较小，对水体的扰动仅发生在围堰的安装和拆除过程。根据同类工程类比分析，围堰安装和拆除过程中，局部水域的SS浓度在80~160mg/L之间，但施工点下游100m范围外SS增量不超过50mg/L。</w:t>
      </w:r>
    </w:p>
    <w:p>
      <w:pPr>
        <w:pStyle w:val="109"/>
        <w:tabs>
          <w:tab w:val="left" w:pos="900"/>
        </w:tabs>
        <w:adjustRightInd w:val="0"/>
        <w:snapToGrid w:val="0"/>
        <w:spacing w:line="360" w:lineRule="auto"/>
        <w:ind w:firstLine="480"/>
        <w:rPr>
          <w:rFonts w:ascii="Times New Roman" w:hAnsi="Times New Roman" w:cs="Times New Roman"/>
          <w:caps w:val="0"/>
          <w:smallCaps w:val="0"/>
          <w:color w:val="000000"/>
        </w:rPr>
      </w:pPr>
      <w:r>
        <w:rPr>
          <w:rFonts w:hint="eastAsia" w:ascii="Times New Roman" w:hAnsi="Times New Roman" w:cs="Times New Roman"/>
          <w:caps w:val="0"/>
          <w:smallCaps w:val="0"/>
          <w:color w:val="000000"/>
        </w:rPr>
        <w:t>⑵</w:t>
      </w:r>
      <w:r>
        <w:rPr>
          <w:rFonts w:ascii="Times New Roman" w:hAnsi="Times New Roman" w:cs="Times New Roman"/>
          <w:caps w:val="0"/>
          <w:smallCaps w:val="0"/>
          <w:color w:val="000000"/>
        </w:rPr>
        <w:t>施工场地废水</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码头施工过程中的混凝土拌和等会产生一定数量的拌和废水，主要污染因子为SS，浓度可达到2000~4000mg/L，经简易沉淀池沉淀处理后回用于混凝土拌和，不排放。</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小部分预制件生产及混凝土构筑物浇筑和养护将产生废水，为间歇式排放。根据同类工程类比分析，工程产生碱性废水最大2t/d，污水中主要污染因子为SS、pH，SS浓度约500mg/L，pH值为8~9。</w:t>
      </w:r>
    </w:p>
    <w:p>
      <w:pPr>
        <w:pStyle w:val="109"/>
        <w:tabs>
          <w:tab w:val="left" w:pos="900"/>
        </w:tabs>
        <w:adjustRightInd w:val="0"/>
        <w:snapToGrid w:val="0"/>
        <w:spacing w:line="360" w:lineRule="auto"/>
        <w:ind w:firstLine="480"/>
        <w:rPr>
          <w:rFonts w:ascii="Times New Roman" w:hAnsi="Times New Roman" w:cs="Times New Roman"/>
          <w:caps w:val="0"/>
          <w:smallCaps w:val="0"/>
          <w:color w:val="000000"/>
        </w:rPr>
      </w:pPr>
      <w:r>
        <w:rPr>
          <w:rFonts w:ascii="Times New Roman" w:hAnsi="Times New Roman" w:cs="Times New Roman"/>
          <w:caps w:val="0"/>
          <w:smallCaps w:val="0"/>
          <w:color w:val="000000"/>
        </w:rPr>
        <w:t>施工机械跑、冒、滴、漏的污油及露天机械受雨水冲刷后产生的油水污染，施工场地砂石材料冲洗废水等</w:t>
      </w:r>
      <w:r>
        <w:rPr>
          <w:rFonts w:hint="eastAsia" w:ascii="Times New Roman" w:hAnsi="Times New Roman" w:cs="Times New Roman"/>
          <w:caps w:val="0"/>
          <w:smallCaps w:val="0"/>
          <w:color w:val="000000"/>
        </w:rPr>
        <w:t>；</w:t>
      </w:r>
      <w:r>
        <w:rPr>
          <w:rFonts w:ascii="Times New Roman" w:hAnsi="Times New Roman" w:cs="Times New Roman"/>
          <w:caps w:val="0"/>
          <w:smallCaps w:val="0"/>
          <w:color w:val="000000"/>
        </w:rPr>
        <w:t>施工废水量较小，污水中成分较为简单，</w:t>
      </w:r>
      <w:r>
        <w:rPr>
          <w:rFonts w:hint="eastAsia" w:ascii="Times New Roman" w:hAnsi="Times New Roman" w:cs="Times New Roman"/>
          <w:caps w:val="0"/>
          <w:smallCaps w:val="0"/>
          <w:color w:val="000000"/>
        </w:rPr>
        <w:t>一</w:t>
      </w:r>
      <w:r>
        <w:rPr>
          <w:rFonts w:ascii="Times New Roman" w:hAnsi="Times New Roman" w:cs="Times New Roman"/>
          <w:caps w:val="0"/>
          <w:smallCaps w:val="0"/>
          <w:color w:val="000000"/>
        </w:rPr>
        <w:t>般为SS和少量的石油类。</w:t>
      </w:r>
    </w:p>
    <w:p>
      <w:pPr>
        <w:pStyle w:val="109"/>
        <w:tabs>
          <w:tab w:val="left" w:pos="900"/>
        </w:tabs>
        <w:adjustRightInd w:val="0"/>
        <w:snapToGrid w:val="0"/>
        <w:spacing w:line="360" w:lineRule="auto"/>
        <w:ind w:firstLine="480"/>
        <w:rPr>
          <w:rFonts w:ascii="Times New Roman" w:hAnsi="Times New Roman" w:cs="Times New Roman"/>
          <w:caps w:val="0"/>
          <w:smallCaps w:val="0"/>
          <w:color w:val="000000"/>
        </w:rPr>
      </w:pPr>
      <w:r>
        <w:rPr>
          <w:rFonts w:ascii="Times New Roman" w:hAnsi="Times New Roman" w:cs="Times New Roman"/>
          <w:caps w:val="0"/>
          <w:smallCaps w:val="0"/>
          <w:color w:val="000000"/>
        </w:rPr>
        <w:t>此外</w:t>
      </w:r>
      <w:r>
        <w:rPr>
          <w:rFonts w:hint="eastAsia" w:ascii="Times New Roman" w:hAnsi="Times New Roman" w:cs="Times New Roman"/>
          <w:caps w:val="0"/>
          <w:smallCaps w:val="0"/>
          <w:color w:val="000000"/>
        </w:rPr>
        <w:t>，</w:t>
      </w:r>
      <w:r>
        <w:rPr>
          <w:rFonts w:ascii="Times New Roman" w:hAnsi="Times New Roman" w:cs="Times New Roman"/>
          <w:caps w:val="0"/>
          <w:smallCaps w:val="0"/>
          <w:color w:val="000000"/>
        </w:rPr>
        <w:t>施工机械冲洗将产生少量冲洗废水</w:t>
      </w:r>
      <w:r>
        <w:rPr>
          <w:rFonts w:hint="eastAsia" w:ascii="Times New Roman" w:hAnsi="Times New Roman" w:cs="Times New Roman"/>
          <w:caps w:val="0"/>
          <w:smallCaps w:val="0"/>
          <w:color w:val="000000"/>
        </w:rPr>
        <w:t>，</w:t>
      </w:r>
      <w:r>
        <w:rPr>
          <w:rFonts w:ascii="Times New Roman" w:hAnsi="Times New Roman" w:cs="Times New Roman"/>
          <w:caps w:val="0"/>
          <w:smallCaps w:val="0"/>
          <w:color w:val="000000"/>
        </w:rPr>
        <w:t>施工机械按5部计</w:t>
      </w:r>
      <w:r>
        <w:rPr>
          <w:rFonts w:hint="eastAsia" w:ascii="Times New Roman" w:hAnsi="Times New Roman" w:cs="Times New Roman"/>
          <w:caps w:val="0"/>
          <w:smallCaps w:val="0"/>
          <w:color w:val="000000"/>
        </w:rPr>
        <w:t>，</w:t>
      </w:r>
      <w:r>
        <w:rPr>
          <w:rFonts w:ascii="Times New Roman" w:hAnsi="Times New Roman" w:cs="Times New Roman"/>
          <w:caps w:val="0"/>
          <w:smallCaps w:val="0"/>
          <w:color w:val="000000"/>
        </w:rPr>
        <w:t>每部冲洗水量按500L/部计，每天冲洗1次，则施工机械冲洗废水发生量为2.5m/d。参照《公路建设项目环境影响评价规范》</w:t>
      </w:r>
      <w:r>
        <w:rPr>
          <w:rFonts w:hint="eastAsia" w:ascii="Times New Roman" w:hAnsi="Times New Roman" w:cs="Times New Roman"/>
          <w:caps w:val="0"/>
          <w:smallCaps w:val="0"/>
          <w:color w:val="000000"/>
        </w:rPr>
        <w:t>（</w:t>
      </w:r>
      <w:r>
        <w:rPr>
          <w:rFonts w:ascii="Times New Roman" w:hAnsi="Times New Roman" w:cs="Times New Roman"/>
          <w:caps w:val="0"/>
          <w:smallCaps w:val="0"/>
          <w:color w:val="000000"/>
        </w:rPr>
        <w:t>JBG-B03-2006</w:t>
      </w:r>
      <w:r>
        <w:rPr>
          <w:rFonts w:hint="eastAsia" w:ascii="Times New Roman" w:hAnsi="Times New Roman" w:cs="Times New Roman"/>
          <w:caps w:val="0"/>
          <w:smallCaps w:val="0"/>
          <w:color w:val="000000"/>
        </w:rPr>
        <w:t>）</w:t>
      </w:r>
      <w:r>
        <w:rPr>
          <w:rFonts w:ascii="Times New Roman" w:hAnsi="Times New Roman" w:cs="Times New Roman"/>
          <w:caps w:val="0"/>
          <w:smallCaps w:val="0"/>
          <w:color w:val="000000"/>
        </w:rPr>
        <w:t>冲洗汽车污水成分参考值，施工机械废水的主要污染物浓度为COD200mg/L、SS2000mg/L、石油类30mg/L。采用隔油池、沉淀池处理施工机械冲洗废水，处理达标后回用于施工机械冲洗，不外排。</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hint="eastAsia" w:cs="Times New Roman" w:eastAsiaTheme="minorEastAsia"/>
          <w:b/>
          <w:caps w:val="0"/>
          <w:smallCaps w:val="0"/>
          <w:color w:val="000000"/>
          <w:sz w:val="24"/>
          <w:szCs w:val="24"/>
          <w:lang w:val="en-US" w:eastAsia="zh-CN"/>
        </w:rPr>
        <w:t>4</w:t>
      </w:r>
      <w:r>
        <w:rPr>
          <w:rFonts w:ascii="Times New Roman" w:hAnsi="Times New Roman" w:cs="Times New Roman" w:eastAsiaTheme="minorEastAsia"/>
          <w:b/>
          <w:caps w:val="0"/>
          <w:smallCaps w:val="0"/>
          <w:color w:val="000000"/>
          <w:sz w:val="24"/>
          <w:szCs w:val="24"/>
        </w:rPr>
        <w:t>、管线试压废水</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管道工程分段试压以测试管道的强度和严密性，试压介质为洁净水。</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管道工程试压一般采用无腐蚀性的清洁水进行分段试压，试压水进行重复利用，试压水重复利用率可达50%以上。管道工程投入使用之前应采用清管设施进行清管。本项目只在管道运行初期清管，运行过程中无清管和扫气，清管的合格标准为管道末端排出的水是无泥沙、无铁屑的洁净水。</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hint="eastAsia"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、施工船舶污水</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施工船舶污水包括船舶舱底油污水和船舶生活污水。船舶水上施工按</w:t>
      </w:r>
      <w:r>
        <w:rPr>
          <w:rFonts w:hint="eastAsia" w:ascii="Times New Roman" w:hAnsi="Times New Roman" w:cs="Times New Roman" w:eastAsiaTheme="minorEastAsia"/>
          <w:caps w:val="0"/>
          <w:smallCaps w:val="0"/>
          <w:color w:val="000000"/>
          <w:sz w:val="24"/>
          <w:szCs w:val="24"/>
        </w:rPr>
        <w:t>60</w:t>
      </w:r>
      <w:r>
        <w:rPr>
          <w:rFonts w:ascii="Times New Roman" w:hAnsi="Times New Roman" w:cs="Times New Roman" w:eastAsiaTheme="minorEastAsia"/>
          <w:caps w:val="0"/>
          <w:smallCaps w:val="0"/>
          <w:color w:val="000000"/>
          <w:sz w:val="24"/>
          <w:szCs w:val="24"/>
        </w:rPr>
        <w:t>天计。</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caps w:val="0"/>
          <w:smallCaps w:val="0"/>
          <w:color w:val="000000"/>
          <w:sz w:val="24"/>
          <w:szCs w:val="24"/>
        </w:rPr>
        <w:t>⑴</w:t>
      </w:r>
      <w:r>
        <w:rPr>
          <w:rFonts w:ascii="Times New Roman" w:hAnsi="Times New Roman" w:cs="Times New Roman" w:eastAsiaTheme="minorEastAsia"/>
          <w:caps w:val="0"/>
          <w:smallCaps w:val="0"/>
          <w:color w:val="000000"/>
          <w:sz w:val="24"/>
          <w:szCs w:val="24"/>
        </w:rPr>
        <w:t>根据</w:t>
      </w:r>
      <w:r>
        <w:rPr>
          <w:rFonts w:ascii="Times New Roman" w:hAnsi="Times New Roman" w:cs="Times New Roman" w:eastAsiaTheme="minorEastAsia"/>
          <w:caps w:val="0"/>
          <w:smallCaps w:val="0"/>
          <w:color w:val="000000"/>
          <w:sz w:val="24"/>
        </w:rPr>
        <w:t>《</w:t>
      </w:r>
      <w:r>
        <w:rPr>
          <w:rFonts w:hint="eastAsia" w:ascii="Times New Roman" w:hAnsi="Times New Roman" w:cs="Times New Roman" w:eastAsiaTheme="minorEastAsia"/>
          <w:caps w:val="0"/>
          <w:smallCaps w:val="0"/>
          <w:color w:val="000000"/>
          <w:sz w:val="24"/>
        </w:rPr>
        <w:t>水运工程环境保护设计规范</w:t>
      </w:r>
      <w:r>
        <w:rPr>
          <w:rFonts w:ascii="Times New Roman" w:hAnsi="Times New Roman" w:cs="Times New Roman" w:eastAsiaTheme="minorEastAsia"/>
          <w:caps w:val="0"/>
          <w:smallCaps w:val="0"/>
          <w:color w:val="000000"/>
          <w:sz w:val="24"/>
        </w:rPr>
        <w:t>》（JTS149-</w:t>
      </w:r>
      <w:r>
        <w:rPr>
          <w:rFonts w:hint="eastAsia" w:ascii="Times New Roman" w:hAnsi="Times New Roman" w:cs="Times New Roman" w:eastAsiaTheme="minorEastAsia"/>
          <w:caps w:val="0"/>
          <w:smallCaps w:val="0"/>
          <w:color w:val="000000"/>
          <w:sz w:val="24"/>
          <w:lang w:val="en-US" w:eastAsia="zh-CN"/>
        </w:rPr>
        <w:t>2018</w:t>
      </w:r>
      <w:r>
        <w:rPr>
          <w:rFonts w:ascii="Times New Roman" w:hAnsi="Times New Roman" w:cs="Times New Roman" w:eastAsiaTheme="minorEastAsia"/>
          <w:caps w:val="0"/>
          <w:smallCaps w:val="0"/>
          <w:color w:val="000000"/>
          <w:sz w:val="24"/>
        </w:rPr>
        <w:t>）</w:t>
      </w:r>
      <w:r>
        <w:rPr>
          <w:rFonts w:ascii="Times New Roman" w:hAnsi="Times New Roman" w:cs="Times New Roman" w:eastAsiaTheme="minorEastAsia"/>
          <w:caps w:val="0"/>
          <w:smallCaps w:val="0"/>
          <w:color w:val="000000"/>
          <w:sz w:val="24"/>
          <w:szCs w:val="24"/>
        </w:rPr>
        <w:t>，1000~3000吨级船舶舱底油污水水量为0.27~0.81t/d•艘，本项目施工船舶多为1000吨级，按</w:t>
      </w:r>
      <w:r>
        <w:rPr>
          <w:rFonts w:hint="eastAsia" w:ascii="Times New Roman" w:hAnsi="Times New Roman" w:cs="Times New Roman" w:eastAsiaTheme="minorEastAsia"/>
          <w:caps w:val="0"/>
          <w:smallCaps w:val="0"/>
          <w:color w:val="000000"/>
          <w:sz w:val="24"/>
          <w:szCs w:val="24"/>
        </w:rPr>
        <w:t>2</w:t>
      </w:r>
      <w:r>
        <w:rPr>
          <w:rFonts w:ascii="Times New Roman" w:hAnsi="Times New Roman" w:cs="Times New Roman" w:eastAsiaTheme="minorEastAsia"/>
          <w:caps w:val="0"/>
          <w:smallCaps w:val="0"/>
          <w:color w:val="000000"/>
          <w:sz w:val="24"/>
          <w:szCs w:val="24"/>
        </w:rPr>
        <w:t>艘施工船舶同时工作估算，施工船舶舱底油污水产生量约为0.</w:t>
      </w:r>
      <w:r>
        <w:rPr>
          <w:rFonts w:hint="eastAsia" w:ascii="Times New Roman" w:hAnsi="Times New Roman" w:cs="Times New Roman" w:eastAsiaTheme="minorEastAsia"/>
          <w:caps w:val="0"/>
          <w:smallCaps w:val="0"/>
          <w:color w:val="000000"/>
          <w:sz w:val="24"/>
          <w:szCs w:val="24"/>
        </w:rPr>
        <w:t>54</w:t>
      </w:r>
      <w:r>
        <w:rPr>
          <w:rFonts w:ascii="Times New Roman" w:hAnsi="Times New Roman" w:cs="Times New Roman" w:eastAsiaTheme="minorEastAsia"/>
          <w:caps w:val="0"/>
          <w:smallCaps w:val="0"/>
          <w:color w:val="000000"/>
          <w:sz w:val="24"/>
          <w:szCs w:val="24"/>
        </w:rPr>
        <w:t>t/d，共产生污水</w:t>
      </w:r>
      <w:r>
        <w:rPr>
          <w:rFonts w:hint="eastAsia" w:ascii="Times New Roman" w:hAnsi="Times New Roman" w:cs="Times New Roman" w:eastAsiaTheme="minorEastAsia"/>
          <w:caps w:val="0"/>
          <w:smallCaps w:val="0"/>
          <w:color w:val="000000"/>
          <w:sz w:val="24"/>
          <w:szCs w:val="24"/>
        </w:rPr>
        <w:t>32.4</w:t>
      </w:r>
      <w:r>
        <w:rPr>
          <w:rFonts w:ascii="Times New Roman" w:hAnsi="Times New Roman" w:cs="Times New Roman" w:eastAsiaTheme="minorEastAsia"/>
          <w:caps w:val="0"/>
          <w:smallCaps w:val="0"/>
          <w:color w:val="000000"/>
          <w:sz w:val="24"/>
          <w:szCs w:val="24"/>
        </w:rPr>
        <w:t>t。污水中石油类平均浓度为5000mg/L，石油类产生量为</w:t>
      </w:r>
      <w:r>
        <w:rPr>
          <w:rFonts w:hint="eastAsia" w:ascii="Times New Roman" w:hAnsi="Times New Roman" w:cs="Times New Roman" w:eastAsiaTheme="minorEastAsia"/>
          <w:caps w:val="0"/>
          <w:smallCaps w:val="0"/>
          <w:color w:val="000000"/>
          <w:sz w:val="24"/>
          <w:szCs w:val="24"/>
        </w:rPr>
        <w:t>2.7</w:t>
      </w:r>
      <w:r>
        <w:rPr>
          <w:rFonts w:ascii="Times New Roman" w:hAnsi="Times New Roman" w:cs="Times New Roman" w:eastAsiaTheme="minorEastAsia"/>
          <w:caps w:val="0"/>
          <w:smallCaps w:val="0"/>
          <w:color w:val="000000"/>
          <w:sz w:val="24"/>
          <w:szCs w:val="24"/>
        </w:rPr>
        <w:t>kg/d，根据规定，船舶舱底油污水需经自带的油水分离器处理，石油类的浓度不大于15mg/L。</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caps w:val="0"/>
          <w:smallCaps w:val="0"/>
          <w:color w:val="000000"/>
          <w:sz w:val="24"/>
          <w:szCs w:val="24"/>
        </w:rPr>
        <w:t>⑵</w:t>
      </w:r>
      <w:r>
        <w:rPr>
          <w:rFonts w:ascii="Times New Roman" w:hAnsi="Times New Roman" w:cs="Times New Roman" w:eastAsiaTheme="minorEastAsia"/>
          <w:caps w:val="0"/>
          <w:smallCaps w:val="0"/>
          <w:color w:val="000000"/>
          <w:sz w:val="24"/>
          <w:szCs w:val="24"/>
        </w:rPr>
        <w:t>船舶生活污水发生量按120L/d•人，施工船舶工作人员按</w:t>
      </w:r>
      <w:r>
        <w:rPr>
          <w:rFonts w:hint="eastAsia" w:ascii="Times New Roman" w:hAnsi="Times New Roman" w:cs="Times New Roman" w:eastAsiaTheme="minorEastAsia"/>
          <w:caps w:val="0"/>
          <w:smallCaps w:val="0"/>
          <w:color w:val="000000"/>
          <w:sz w:val="24"/>
          <w:szCs w:val="24"/>
        </w:rPr>
        <w:t>15</w:t>
      </w:r>
      <w:r>
        <w:rPr>
          <w:rFonts w:ascii="Times New Roman" w:hAnsi="Times New Roman" w:cs="Times New Roman" w:eastAsiaTheme="minorEastAsia"/>
          <w:caps w:val="0"/>
          <w:smallCaps w:val="0"/>
          <w:color w:val="000000"/>
          <w:sz w:val="24"/>
          <w:szCs w:val="24"/>
        </w:rPr>
        <w:t>人计，排污系数取0.8，船舶上工作人员施工期船舶生活污水量为</w:t>
      </w:r>
      <w:r>
        <w:rPr>
          <w:rFonts w:hint="eastAsia" w:ascii="Times New Roman" w:hAnsi="Times New Roman" w:cs="Times New Roman" w:eastAsiaTheme="minorEastAsia"/>
          <w:caps w:val="0"/>
          <w:smallCaps w:val="0"/>
          <w:color w:val="000000"/>
          <w:sz w:val="24"/>
          <w:szCs w:val="24"/>
        </w:rPr>
        <w:t>10</w:t>
      </w:r>
      <w:r>
        <w:rPr>
          <w:rFonts w:hint="eastAsia" w:ascii="Times New Roman" w:hAnsi="Times New Roman" w:cs="Times New Roman" w:eastAsiaTheme="minorEastAsia"/>
          <w:caps w:val="0"/>
          <w:smallCaps w:val="0"/>
          <w:color w:val="000000"/>
          <w:sz w:val="24"/>
          <w:szCs w:val="24"/>
          <w:lang w:val="en-US" w:eastAsia="zh-CN"/>
        </w:rPr>
        <w:t>1</w:t>
      </w:r>
      <w:r>
        <w:rPr>
          <w:rFonts w:ascii="Times New Roman" w:hAnsi="Times New Roman" w:cs="Times New Roman" w:eastAsiaTheme="minorEastAsia"/>
          <w:caps w:val="0"/>
          <w:smallCaps w:val="0"/>
          <w:color w:val="000000"/>
          <w:sz w:val="24"/>
          <w:szCs w:val="24"/>
        </w:rPr>
        <w:t>m</w:t>
      </w:r>
      <w:r>
        <w:rPr>
          <w:rFonts w:ascii="Times New Roman" w:hAnsi="Times New Roman" w:cs="Times New Roman" w:eastAsiaTheme="minorEastAsia"/>
          <w:caps w:val="0"/>
          <w:smallCaps w:val="0"/>
          <w:color w:val="000000"/>
          <w:sz w:val="24"/>
          <w:szCs w:val="24"/>
          <w:vertAlign w:val="superscript"/>
        </w:rPr>
        <w:t>3</w:t>
      </w:r>
      <w:r>
        <w:rPr>
          <w:rFonts w:ascii="Times New Roman" w:hAnsi="Times New Roman" w:cs="Times New Roman" w:eastAsiaTheme="minorEastAsia"/>
          <w:caps w:val="0"/>
          <w:smallCaps w:val="0"/>
          <w:color w:val="000000"/>
          <w:sz w:val="24"/>
          <w:szCs w:val="24"/>
        </w:rPr>
        <w:t>，污水中主要污染因子为COD和BOD</w:t>
      </w:r>
      <w:r>
        <w:rPr>
          <w:rFonts w:ascii="Times New Roman" w:hAnsi="Times New Roman" w:cs="Times New Roman" w:eastAsiaTheme="minorEastAsia"/>
          <w:caps w:val="0"/>
          <w:smallCaps w:val="0"/>
          <w:color w:val="000000"/>
          <w:sz w:val="24"/>
          <w:szCs w:val="24"/>
          <w:vertAlign w:val="subscript"/>
        </w:rPr>
        <w:t>5</w:t>
      </w:r>
      <w:r>
        <w:rPr>
          <w:rFonts w:ascii="Times New Roman" w:hAnsi="Times New Roman" w:cs="Times New Roman" w:eastAsiaTheme="minorEastAsia"/>
          <w:caps w:val="0"/>
          <w:smallCaps w:val="0"/>
          <w:color w:val="000000"/>
          <w:sz w:val="24"/>
          <w:szCs w:val="24"/>
        </w:rPr>
        <w:t>，根据同类项目有关资料类比分析，其污染物浓度COD取400mg/L、BOD取200mg/L、氨氮浓度取40mg/L、SS取300mg/L。</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根据</w:t>
      </w:r>
      <w:r>
        <w:rPr>
          <w:rFonts w:ascii="Times New Roman" w:hAnsi="Times New Roman" w:cs="Times New Roman"/>
          <w:caps w:val="0"/>
          <w:smallCaps w:val="0"/>
          <w:lang w:val="zh-CN"/>
        </w:rPr>
        <w:t>《水运工程建设项目环境影响评价指南》</w:t>
      </w:r>
      <w:r>
        <w:rPr>
          <w:rFonts w:ascii="Times New Roman" w:hAnsi="Times New Roman" w:cs="Times New Roman" w:eastAsiaTheme="minorEastAsia"/>
          <w:caps w:val="0"/>
          <w:smallCaps w:val="0"/>
          <w:color w:val="000000"/>
          <w:sz w:val="24"/>
          <w:szCs w:val="24"/>
        </w:rPr>
        <w:t>，船舶应设置与船舶污水、生活污水发生量相当的储存容器，本项目船舶生活污水和含油废水经船主收集送海事部门指定单位收集并负责处理。建设单位在施工招标时，应明确施工单位落实船舶油污水处理责任。其污染物排放情况具体见表3.</w:t>
      </w:r>
      <w:r>
        <w:rPr>
          <w:rFonts w:hint="eastAsia" w:cs="Times New Roman" w:eastAsiaTheme="minorEastAsia"/>
          <w:caps w:val="0"/>
          <w:smallCaps w:val="0"/>
          <w:color w:val="000000"/>
          <w:sz w:val="24"/>
          <w:szCs w:val="24"/>
          <w:lang w:val="en-US" w:eastAsia="zh-CN"/>
        </w:rPr>
        <w:t>7</w:t>
      </w:r>
      <w:r>
        <w:rPr>
          <w:rFonts w:ascii="Times New Roman" w:hAnsi="Times New Roman" w:cs="Times New Roman" w:eastAsiaTheme="minorEastAsia"/>
          <w:caps w:val="0"/>
          <w:smallCaps w:val="0"/>
          <w:color w:val="000000"/>
          <w:sz w:val="24"/>
          <w:szCs w:val="24"/>
        </w:rPr>
        <w:t>-4。</w:t>
      </w:r>
    </w:p>
    <w:p>
      <w:pPr>
        <w:tabs>
          <w:tab w:val="left" w:pos="900"/>
        </w:tabs>
        <w:adjustRightInd w:val="0"/>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-4施工期船舶废水污染产生情况表</w:t>
      </w:r>
    </w:p>
    <w:tbl>
      <w:tblPr>
        <w:tblStyle w:val="71"/>
        <w:tblW w:w="501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24"/>
        <w:gridCol w:w="836"/>
        <w:gridCol w:w="492"/>
        <w:gridCol w:w="488"/>
        <w:gridCol w:w="492"/>
        <w:gridCol w:w="488"/>
        <w:gridCol w:w="492"/>
        <w:gridCol w:w="488"/>
        <w:gridCol w:w="492"/>
        <w:gridCol w:w="592"/>
        <w:gridCol w:w="492"/>
        <w:gridCol w:w="413"/>
        <w:gridCol w:w="194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80"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458"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废水量</w:t>
            </w:r>
          </w:p>
        </w:tc>
        <w:tc>
          <w:tcPr>
            <w:tcW w:w="536"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w:t>
            </w:r>
          </w:p>
        </w:tc>
        <w:tc>
          <w:tcPr>
            <w:tcW w:w="536"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BOD</w:t>
            </w:r>
            <w:r>
              <w:rPr>
                <w:rFonts w:ascii="Times New Roman" w:hAnsi="Times New Roman" w:cs="Times New Roman"/>
                <w:caps w:val="0"/>
                <w:smallCaps w:val="0"/>
                <w:vertAlign w:val="subscript"/>
              </w:rPr>
              <w:t>5</w:t>
            </w:r>
          </w:p>
        </w:tc>
        <w:tc>
          <w:tcPr>
            <w:tcW w:w="536"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w:t>
            </w:r>
          </w:p>
        </w:tc>
        <w:tc>
          <w:tcPr>
            <w:tcW w:w="593"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氨氮</w:t>
            </w:r>
          </w:p>
        </w:tc>
        <w:tc>
          <w:tcPr>
            <w:tcW w:w="495"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石油类</w:t>
            </w:r>
          </w:p>
        </w:tc>
        <w:tc>
          <w:tcPr>
            <w:tcW w:w="1062"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处理方式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80"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458"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w:t>
            </w:r>
            <w:r>
              <w:rPr>
                <w:rFonts w:ascii="Times New Roman" w:hAnsi="Times New Roman" w:cs="Times New Roman"/>
                <w:caps w:val="0"/>
                <w:smallCaps w:val="0"/>
                <w:vertAlign w:val="superscript"/>
              </w:rPr>
              <w:t>3</w:t>
            </w:r>
            <w:r>
              <w:rPr>
                <w:rFonts w:ascii="Times New Roman" w:hAnsi="Times New Roman" w:cs="Times New Roman"/>
                <w:caps w:val="0"/>
                <w:smallCaps w:val="0"/>
              </w:rPr>
              <w:t>/d</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267"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kg/d</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267"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kg/d</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267"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kg/d</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324"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kg/d</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22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kg/d</w:t>
            </w:r>
          </w:p>
        </w:tc>
        <w:tc>
          <w:tcPr>
            <w:tcW w:w="1062" w:type="pct"/>
            <w:vMerge w:val="continue"/>
            <w:tcMar>
              <w:left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8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船舶含油污水</w:t>
            </w:r>
          </w:p>
        </w:tc>
        <w:tc>
          <w:tcPr>
            <w:tcW w:w="458"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54</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1000</w:t>
            </w:r>
          </w:p>
        </w:tc>
        <w:tc>
          <w:tcPr>
            <w:tcW w:w="267"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54</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267"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267"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324"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5000</w:t>
            </w:r>
          </w:p>
        </w:tc>
        <w:tc>
          <w:tcPr>
            <w:tcW w:w="225"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2.7</w:t>
            </w:r>
          </w:p>
        </w:tc>
        <w:tc>
          <w:tcPr>
            <w:tcW w:w="1062"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海事部门环保船收集处理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78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船舶生活污水</w:t>
            </w:r>
          </w:p>
        </w:tc>
        <w:tc>
          <w:tcPr>
            <w:tcW w:w="458"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1.8</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400</w:t>
            </w:r>
          </w:p>
        </w:tc>
        <w:tc>
          <w:tcPr>
            <w:tcW w:w="267"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0.72</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200</w:t>
            </w:r>
          </w:p>
        </w:tc>
        <w:tc>
          <w:tcPr>
            <w:tcW w:w="267"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36</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300</w:t>
            </w:r>
          </w:p>
        </w:tc>
        <w:tc>
          <w:tcPr>
            <w:tcW w:w="267"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0.54</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w:t>
            </w:r>
          </w:p>
        </w:tc>
        <w:tc>
          <w:tcPr>
            <w:tcW w:w="324"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072</w:t>
            </w:r>
          </w:p>
        </w:tc>
        <w:tc>
          <w:tcPr>
            <w:tcW w:w="269"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22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1062" w:type="pct"/>
            <w:vMerge w:val="continue"/>
            <w:tcMar>
              <w:left w:w="0" w:type="dxa"/>
              <w:right w:w="0" w:type="dxa"/>
            </w:tcMar>
            <w:vAlign w:val="center"/>
          </w:tcPr>
          <w:p>
            <w:pPr>
              <w:pStyle w:val="117"/>
              <w:bidi w:val="0"/>
              <w:rPr>
                <w:rFonts w:ascii="Times New Roman" w:hAnsi="Times New Roman" w:cs="Times New Roman"/>
                <w:caps w:val="0"/>
                <w:smallCaps w:val="0"/>
              </w:rPr>
            </w:pPr>
          </w:p>
        </w:tc>
      </w:tr>
    </w:tbl>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hint="eastAsia" w:cs="Times New Roman" w:eastAsiaTheme="minorEastAsia"/>
          <w:b/>
          <w:caps w:val="0"/>
          <w:smallCaps w:val="0"/>
          <w:color w:val="000000"/>
          <w:sz w:val="24"/>
          <w:szCs w:val="24"/>
          <w:lang w:val="en-US" w:eastAsia="zh-CN"/>
        </w:rPr>
        <w:t>6</w:t>
      </w:r>
      <w:r>
        <w:rPr>
          <w:rFonts w:ascii="Times New Roman" w:hAnsi="Times New Roman" w:cs="Times New Roman" w:eastAsiaTheme="minorEastAsia"/>
          <w:b/>
          <w:caps w:val="0"/>
          <w:smallCaps w:val="0"/>
          <w:color w:val="000000"/>
          <w:sz w:val="24"/>
          <w:szCs w:val="24"/>
        </w:rPr>
        <w:t>、</w:t>
      </w:r>
      <w:r>
        <w:rPr>
          <w:rFonts w:hint="eastAsia" w:ascii="Times New Roman" w:hAnsi="Times New Roman" w:cs="Times New Roman" w:eastAsiaTheme="minorEastAsia"/>
          <w:b/>
          <w:caps w:val="0"/>
          <w:smallCaps w:val="0"/>
          <w:color w:val="000000"/>
          <w:sz w:val="24"/>
          <w:szCs w:val="24"/>
        </w:rPr>
        <w:t>引桥、</w:t>
      </w:r>
      <w:r>
        <w:rPr>
          <w:rFonts w:ascii="Times New Roman" w:hAnsi="Times New Roman" w:cs="Times New Roman" w:eastAsiaTheme="minorEastAsia"/>
          <w:b/>
          <w:caps w:val="0"/>
          <w:smallCaps w:val="0"/>
          <w:color w:val="000000"/>
          <w:sz w:val="24"/>
          <w:szCs w:val="24"/>
        </w:rPr>
        <w:t>管线施工生活污水</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施工人员生活用水量取120L/人•d，污水排放系数取0.8，污染物浓度取COD取400mg/L、BOD</w:t>
      </w:r>
      <w:r>
        <w:rPr>
          <w:rFonts w:ascii="Times New Roman" w:hAnsi="Times New Roman" w:cs="Times New Roman" w:eastAsiaTheme="minorEastAsia"/>
          <w:caps w:val="0"/>
          <w:smallCaps w:val="0"/>
          <w:color w:val="000000"/>
          <w:sz w:val="24"/>
          <w:szCs w:val="24"/>
          <w:vertAlign w:val="subscript"/>
        </w:rPr>
        <w:t>5</w:t>
      </w:r>
      <w:r>
        <w:rPr>
          <w:rFonts w:ascii="Times New Roman" w:hAnsi="Times New Roman" w:cs="Times New Roman" w:eastAsiaTheme="minorEastAsia"/>
          <w:caps w:val="0"/>
          <w:smallCaps w:val="0"/>
          <w:color w:val="000000"/>
          <w:sz w:val="24"/>
          <w:szCs w:val="24"/>
        </w:rPr>
        <w:t>取200mg/L、氨氮浓度取40mg/L、SS取300mg/L。施工高峰期施工人数约</w:t>
      </w:r>
      <w:r>
        <w:rPr>
          <w:rFonts w:hint="eastAsia" w:ascii="Times New Roman" w:hAnsi="Times New Roman" w:cs="Times New Roman" w:eastAsiaTheme="minorEastAsia"/>
          <w:caps w:val="0"/>
          <w:smallCaps w:val="0"/>
          <w:color w:val="000000"/>
          <w:sz w:val="24"/>
          <w:szCs w:val="24"/>
        </w:rPr>
        <w:t>15</w:t>
      </w:r>
      <w:r>
        <w:rPr>
          <w:rFonts w:ascii="Times New Roman" w:hAnsi="Times New Roman" w:cs="Times New Roman" w:eastAsiaTheme="minorEastAsia"/>
          <w:caps w:val="0"/>
          <w:smallCaps w:val="0"/>
          <w:color w:val="000000"/>
          <w:sz w:val="24"/>
          <w:szCs w:val="24"/>
        </w:rPr>
        <w:t>人。施工生活设施</w:t>
      </w:r>
      <w:r>
        <w:rPr>
          <w:rFonts w:hint="eastAsia" w:ascii="Times New Roman" w:hAnsi="Times New Roman" w:cs="Times New Roman" w:eastAsiaTheme="minorEastAsia"/>
          <w:caps w:val="0"/>
          <w:smallCaps w:val="0"/>
          <w:color w:val="000000"/>
          <w:sz w:val="24"/>
          <w:szCs w:val="24"/>
        </w:rPr>
        <w:t>依托后方罐区</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施工人员产生的生活污水经罐区化粪池</w:t>
      </w:r>
      <w:r>
        <w:rPr>
          <w:rFonts w:ascii="Times New Roman" w:hAnsi="Times New Roman" w:cs="Times New Roman" w:eastAsiaTheme="minorEastAsia"/>
          <w:caps w:val="0"/>
          <w:smallCaps w:val="0"/>
          <w:color w:val="000000"/>
          <w:sz w:val="24"/>
          <w:szCs w:val="24"/>
        </w:rPr>
        <w:t>处理后</w:t>
      </w:r>
      <w:r>
        <w:rPr>
          <w:rFonts w:hint="eastAsia" w:ascii="Times New Roman" w:hAnsi="Times New Roman" w:cs="Times New Roman" w:eastAsiaTheme="minorEastAsia"/>
          <w:caps w:val="0"/>
          <w:smallCaps w:val="0"/>
          <w:color w:val="000000"/>
          <w:sz w:val="24"/>
          <w:szCs w:val="24"/>
          <w:lang w:eastAsia="zh-CN"/>
        </w:rPr>
        <w:t>，排入市政管网</w:t>
      </w:r>
      <w:r>
        <w:rPr>
          <w:rFonts w:ascii="Times New Roman" w:hAnsi="Times New Roman" w:cs="Times New Roman" w:eastAsiaTheme="minorEastAsia"/>
          <w:caps w:val="0"/>
          <w:smallCaps w:val="0"/>
          <w:color w:val="000000"/>
          <w:sz w:val="24"/>
          <w:szCs w:val="24"/>
        </w:rPr>
        <w:t>。</w:t>
      </w:r>
    </w:p>
    <w:p>
      <w:pPr>
        <w:tabs>
          <w:tab w:val="left" w:pos="900"/>
        </w:tabs>
        <w:adjustRightInd w:val="0"/>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-5施工期生活污水污染发生情况表</w:t>
      </w:r>
    </w:p>
    <w:tbl>
      <w:tblPr>
        <w:tblStyle w:val="71"/>
        <w:tblW w:w="5032"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126"/>
        <w:gridCol w:w="1126"/>
        <w:gridCol w:w="642"/>
        <w:gridCol w:w="643"/>
        <w:gridCol w:w="642"/>
        <w:gridCol w:w="642"/>
        <w:gridCol w:w="2"/>
        <w:gridCol w:w="640"/>
        <w:gridCol w:w="642"/>
        <w:gridCol w:w="4"/>
        <w:gridCol w:w="638"/>
        <w:gridCol w:w="649"/>
        <w:gridCol w:w="176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615"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615"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废水量（m</w:t>
            </w:r>
            <w:r>
              <w:rPr>
                <w:rFonts w:ascii="Times New Roman" w:hAnsi="Times New Roman" w:cs="Times New Roman"/>
                <w:caps w:val="0"/>
                <w:smallCaps w:val="0"/>
                <w:vertAlign w:val="superscript"/>
              </w:rPr>
              <w:t>3</w:t>
            </w:r>
            <w:r>
              <w:rPr>
                <w:rFonts w:ascii="Times New Roman" w:hAnsi="Times New Roman" w:cs="Times New Roman"/>
                <w:caps w:val="0"/>
                <w:smallCaps w:val="0"/>
              </w:rPr>
              <w:t>/d）</w:t>
            </w:r>
          </w:p>
        </w:tc>
        <w:tc>
          <w:tcPr>
            <w:tcW w:w="701"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w:t>
            </w:r>
          </w:p>
        </w:tc>
        <w:tc>
          <w:tcPr>
            <w:tcW w:w="701" w:type="pct"/>
            <w:gridSpan w:val="3"/>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BOD</w:t>
            </w:r>
            <w:r>
              <w:rPr>
                <w:rFonts w:ascii="Times New Roman" w:hAnsi="Times New Roman" w:cs="Times New Roman"/>
                <w:caps w:val="0"/>
                <w:smallCaps w:val="0"/>
                <w:vertAlign w:val="subscript"/>
              </w:rPr>
              <w:t>5</w:t>
            </w:r>
          </w:p>
        </w:tc>
        <w:tc>
          <w:tcPr>
            <w:tcW w:w="701" w:type="pct"/>
            <w:gridSpan w:val="3"/>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w:t>
            </w:r>
          </w:p>
        </w:tc>
        <w:tc>
          <w:tcPr>
            <w:tcW w:w="702"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氨氮</w:t>
            </w:r>
          </w:p>
        </w:tc>
        <w:tc>
          <w:tcPr>
            <w:tcW w:w="961"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处理方式</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tblHeader/>
          <w:jc w:val="center"/>
        </w:trPr>
        <w:tc>
          <w:tcPr>
            <w:tcW w:w="615"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615"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kg/d</w:t>
            </w: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kg/d</w:t>
            </w:r>
          </w:p>
        </w:tc>
        <w:tc>
          <w:tcPr>
            <w:tcW w:w="350"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kg/d</w:t>
            </w:r>
          </w:p>
        </w:tc>
        <w:tc>
          <w:tcPr>
            <w:tcW w:w="350"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353"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kg/d</w:t>
            </w:r>
          </w:p>
        </w:tc>
        <w:tc>
          <w:tcPr>
            <w:tcW w:w="961" w:type="pct"/>
            <w:vMerge w:val="continue"/>
            <w:tcMar>
              <w:left w:w="0" w:type="dxa"/>
              <w:right w:w="0" w:type="dxa"/>
            </w:tcMar>
            <w:vAlign w:val="center"/>
          </w:tcPr>
          <w:p>
            <w:pPr>
              <w:pStyle w:val="117"/>
              <w:bidi w:val="0"/>
              <w:rPr>
                <w:rFonts w:ascii="Times New Roman" w:hAnsi="Times New Roman" w:cs="Times New Roman"/>
                <w:caps w:val="0"/>
                <w:smallCaps w:val="0"/>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615" w:type="pct"/>
            <w:tcMar>
              <w:left w:w="0" w:type="dxa"/>
              <w:right w:w="0" w:type="dxa"/>
            </w:tcMar>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生活污水</w:t>
            </w:r>
          </w:p>
        </w:tc>
        <w:tc>
          <w:tcPr>
            <w:tcW w:w="615"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1.8</w:t>
            </w: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400</w:t>
            </w: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0.72</w:t>
            </w: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200</w:t>
            </w: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36</w:t>
            </w:r>
          </w:p>
        </w:tc>
        <w:tc>
          <w:tcPr>
            <w:tcW w:w="350"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300</w:t>
            </w:r>
          </w:p>
        </w:tc>
        <w:tc>
          <w:tcPr>
            <w:tcW w:w="350"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0.54</w:t>
            </w:r>
          </w:p>
        </w:tc>
        <w:tc>
          <w:tcPr>
            <w:tcW w:w="350"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w:t>
            </w:r>
          </w:p>
        </w:tc>
        <w:tc>
          <w:tcPr>
            <w:tcW w:w="353"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072</w:t>
            </w:r>
          </w:p>
        </w:tc>
        <w:tc>
          <w:tcPr>
            <w:tcW w:w="961" w:type="pct"/>
            <w:tcMar>
              <w:left w:w="0" w:type="dxa"/>
              <w:right w:w="0" w:type="dxa"/>
            </w:tcMar>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化粪池处理后排入市政管网</w:t>
            </w:r>
          </w:p>
        </w:tc>
      </w:tr>
    </w:tbl>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废气</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施工期使用外购商品混凝土，现场不设拌合站。施工期废气主要是各种施工机械、运输车辆产生的扬尘、临时建筑材料堆场在空气作用下的起尘，此外，还有施工机械、运输车辆排放的尾气等，废气中的污染物主要为CO、HC（碳氢化合物）、NOx和PM（颗粒物）。</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1、施工扬尘</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码头施工期间的场地平整、土方回填、建材装卸等产生的施工扬尘会使周围大气中的悬浮微粒浓度增加，局部地区污染加剧。根据同类工地现场监测，施工作业场地附近地面粉尘浓度可达1.5mg/m</w:t>
      </w:r>
      <w:r>
        <w:rPr>
          <w:rFonts w:ascii="Times New Roman" w:hAnsi="Times New Roman" w:cs="Times New Roman" w:eastAsiaTheme="minorEastAsia"/>
          <w:caps w:val="0"/>
          <w:smallCaps w:val="0"/>
          <w:color w:val="000000"/>
          <w:sz w:val="24"/>
          <w:szCs w:val="24"/>
          <w:vertAlign w:val="superscript"/>
        </w:rPr>
        <w:t>3</w:t>
      </w:r>
      <w:r>
        <w:rPr>
          <w:rFonts w:ascii="Times New Roman" w:hAnsi="Times New Roman" w:cs="Times New Roman" w:eastAsiaTheme="minorEastAsia"/>
          <w:caps w:val="0"/>
          <w:smallCaps w:val="0"/>
          <w:color w:val="000000"/>
          <w:sz w:val="24"/>
          <w:szCs w:val="24"/>
        </w:rPr>
        <w:t>~30mg/m</w:t>
      </w:r>
      <w:r>
        <w:rPr>
          <w:rFonts w:ascii="Times New Roman" w:hAnsi="Times New Roman" w:cs="Times New Roman" w:eastAsiaTheme="minorEastAsia"/>
          <w:caps w:val="0"/>
          <w:smallCaps w:val="0"/>
          <w:color w:val="000000"/>
          <w:sz w:val="24"/>
          <w:szCs w:val="24"/>
          <w:vertAlign w:val="superscript"/>
        </w:rPr>
        <w:t>3</w:t>
      </w:r>
      <w:r>
        <w:rPr>
          <w:rFonts w:ascii="Times New Roman" w:hAnsi="Times New Roman" w:cs="Times New Roman" w:eastAsiaTheme="minorEastAsia"/>
          <w:caps w:val="0"/>
          <w:smallCaps w:val="0"/>
          <w:color w:val="000000"/>
          <w:sz w:val="24"/>
          <w:szCs w:val="24"/>
        </w:rPr>
        <w:t>，距离施工现场约200m外的TSP浓度一般低于0.5mg/m</w:t>
      </w:r>
      <w:r>
        <w:rPr>
          <w:rFonts w:ascii="Times New Roman" w:hAnsi="Times New Roman" w:cs="Times New Roman" w:eastAsiaTheme="minorEastAsia"/>
          <w:caps w:val="0"/>
          <w:smallCaps w:val="0"/>
          <w:color w:val="000000"/>
          <w:sz w:val="24"/>
          <w:szCs w:val="24"/>
          <w:vertAlign w:val="superscript"/>
        </w:rPr>
        <w:t>3</w:t>
      </w:r>
      <w:r>
        <w:rPr>
          <w:rFonts w:ascii="Times New Roman" w:hAnsi="Times New Roman" w:cs="Times New Roman" w:eastAsiaTheme="minorEastAsia"/>
          <w:caps w:val="0"/>
          <w:smallCaps w:val="0"/>
          <w:color w:val="000000"/>
          <w:sz w:val="24"/>
          <w:szCs w:val="24"/>
        </w:rPr>
        <w:t>。</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2、运输扬尘</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据有关文献资料介绍，施工车辆行驶产生的施工道路扬尘占总扬尘量的60%以上。车辆行驶产生的扬尘，在完全干燥情况下，可按下列经验公式计算。</w:t>
      </w:r>
    </w:p>
    <w:p>
      <w:pPr>
        <w:tabs>
          <w:tab w:val="left" w:pos="900"/>
        </w:tabs>
        <w:adjustRightInd w:val="0"/>
        <w:snapToGrid w:val="0"/>
        <w:spacing w:line="360" w:lineRule="auto"/>
        <w:jc w:val="center"/>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drawing>
          <wp:inline distT="0" distB="0" distL="0" distR="0">
            <wp:extent cx="2409825" cy="239395"/>
            <wp:effectExtent l="0" t="0" r="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42"/>
                    <a:stretch>
                      <a:fillRect/>
                    </a:stretch>
                  </pic:blipFill>
                  <pic:spPr>
                    <a:xfrm>
                      <a:off x="0" y="0"/>
                      <a:ext cx="2466951" cy="245692"/>
                    </a:xfrm>
                    <a:prstGeom prst="rect">
                      <a:avLst/>
                    </a:prstGeom>
                  </pic:spPr>
                </pic:pic>
              </a:graphicData>
            </a:graphic>
          </wp:inline>
        </w:drawing>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式中：Q—车辆行驶产生的扬尘，kg/km；</w:t>
      </w:r>
    </w:p>
    <w:p>
      <w:pPr>
        <w:tabs>
          <w:tab w:val="left" w:pos="900"/>
        </w:tabs>
        <w:adjustRightInd w:val="0"/>
        <w:snapToGrid w:val="0"/>
        <w:spacing w:line="360" w:lineRule="auto"/>
        <w:ind w:firstLine="1200" w:firstLineChars="5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V—车辆行驶速度，km/h；</w:t>
      </w:r>
    </w:p>
    <w:p>
      <w:pPr>
        <w:tabs>
          <w:tab w:val="left" w:pos="900"/>
        </w:tabs>
        <w:adjustRightInd w:val="0"/>
        <w:snapToGrid w:val="0"/>
        <w:spacing w:line="360" w:lineRule="auto"/>
        <w:ind w:firstLine="1200" w:firstLineChars="5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W—车辆载重量，t；</w:t>
      </w:r>
    </w:p>
    <w:p>
      <w:pPr>
        <w:tabs>
          <w:tab w:val="left" w:pos="900"/>
        </w:tabs>
        <w:adjustRightInd w:val="0"/>
        <w:snapToGrid w:val="0"/>
        <w:spacing w:line="360" w:lineRule="auto"/>
        <w:ind w:firstLine="1200" w:firstLineChars="5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P—道路表面粉尘量，kg/m</w:t>
      </w:r>
      <w:r>
        <w:rPr>
          <w:rFonts w:ascii="Times New Roman" w:hAnsi="Times New Roman" w:cs="Times New Roman" w:eastAsiaTheme="minorEastAsia"/>
          <w:caps w:val="0"/>
          <w:smallCaps w:val="0"/>
          <w:color w:val="000000"/>
          <w:sz w:val="24"/>
          <w:szCs w:val="24"/>
          <w:vertAlign w:val="superscript"/>
        </w:rPr>
        <w:t>2</w:t>
      </w:r>
      <w:r>
        <w:rPr>
          <w:rFonts w:ascii="Times New Roman" w:hAnsi="Times New Roman" w:cs="Times New Roman" w:eastAsiaTheme="minorEastAsia"/>
          <w:caps w:val="0"/>
          <w:smallCaps w:val="0"/>
          <w:color w:val="000000"/>
          <w:sz w:val="24"/>
          <w:szCs w:val="24"/>
        </w:rPr>
        <w:t>。</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本项目施工现场以单辆车行驶产生的扬尘量计算源强，结果见表3.</w:t>
      </w:r>
      <w:r>
        <w:rPr>
          <w:rFonts w:hint="eastAsia" w:cs="Times New Roman" w:eastAsiaTheme="minorEastAsia"/>
          <w:caps w:val="0"/>
          <w:smallCaps w:val="0"/>
          <w:color w:val="000000"/>
          <w:sz w:val="24"/>
          <w:szCs w:val="24"/>
          <w:lang w:val="en-US" w:eastAsia="zh-CN"/>
        </w:rPr>
        <w:t>7</w:t>
      </w:r>
      <w:r>
        <w:rPr>
          <w:rFonts w:ascii="Times New Roman" w:hAnsi="Times New Roman" w:cs="Times New Roman" w:eastAsiaTheme="minorEastAsia"/>
          <w:caps w:val="0"/>
          <w:smallCaps w:val="0"/>
          <w:color w:val="000000"/>
          <w:sz w:val="24"/>
          <w:szCs w:val="24"/>
        </w:rPr>
        <w:t>-6。</w:t>
      </w:r>
    </w:p>
    <w:p>
      <w:pPr>
        <w:tabs>
          <w:tab w:val="left" w:pos="900"/>
        </w:tabs>
        <w:adjustRightInd w:val="0"/>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-6单辆运输车辆产生的扬尘计算结果表</w:t>
      </w:r>
    </w:p>
    <w:tbl>
      <w:tblPr>
        <w:tblStyle w:val="71"/>
        <w:tblW w:w="5000"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760"/>
        <w:gridCol w:w="1858"/>
        <w:gridCol w:w="1840"/>
        <w:gridCol w:w="1791"/>
        <w:gridCol w:w="1851"/>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6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参数</w:t>
            </w:r>
          </w:p>
        </w:tc>
        <w:tc>
          <w:tcPr>
            <w:tcW w:w="102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Q（kg/km）</w:t>
            </w:r>
          </w:p>
        </w:tc>
        <w:tc>
          <w:tcPr>
            <w:tcW w:w="101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V（km/h）</w:t>
            </w:r>
          </w:p>
        </w:tc>
        <w:tc>
          <w:tcPr>
            <w:tcW w:w="9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w:t>
            </w:r>
          </w:p>
        </w:tc>
        <w:tc>
          <w:tcPr>
            <w:tcW w:w="101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P（kg/m</w:t>
            </w:r>
            <w:r>
              <w:rPr>
                <w:rFonts w:ascii="Times New Roman" w:hAnsi="Times New Roman" w:cs="Times New Roman"/>
                <w:caps w:val="0"/>
                <w:smallCaps w:val="0"/>
                <w:vertAlign w:val="superscript"/>
              </w:rPr>
              <w:t>2</w:t>
            </w:r>
            <w:r>
              <w:rPr>
                <w:rFonts w:ascii="Times New Roman" w:hAnsi="Times New Roman" w:cs="Times New Roman"/>
                <w:caps w:val="0"/>
                <w:smallCaps w:val="0"/>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96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计算结果</w:t>
            </w:r>
          </w:p>
        </w:tc>
        <w:tc>
          <w:tcPr>
            <w:tcW w:w="102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0.287</w:t>
            </w:r>
          </w:p>
        </w:tc>
        <w:tc>
          <w:tcPr>
            <w:tcW w:w="101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w:t>
            </w:r>
          </w:p>
        </w:tc>
        <w:tc>
          <w:tcPr>
            <w:tcW w:w="984"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c>
          <w:tcPr>
            <w:tcW w:w="101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r>
    </w:tbl>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根据有关资料，一辆10</w:t>
      </w:r>
      <w:r>
        <w:rPr>
          <w:rFonts w:hint="eastAsia" w:ascii="Times New Roman" w:hAnsi="Times New Roman" w:cs="Times New Roman" w:eastAsiaTheme="minorEastAsia"/>
          <w:caps w:val="0"/>
          <w:smallCaps w:val="0"/>
          <w:color w:val="000000"/>
          <w:sz w:val="24"/>
          <w:szCs w:val="24"/>
        </w:rPr>
        <w:t>t</w:t>
      </w:r>
      <w:r>
        <w:rPr>
          <w:rFonts w:ascii="Times New Roman" w:hAnsi="Times New Roman" w:cs="Times New Roman" w:eastAsiaTheme="minorEastAsia"/>
          <w:caps w:val="0"/>
          <w:smallCaps w:val="0"/>
          <w:color w:val="000000"/>
          <w:sz w:val="24"/>
          <w:szCs w:val="24"/>
        </w:rPr>
        <w:t>卡车，通过一段长度为1km的路面时，在不同路面清洁程度，不同行驶速度情况下，产生的扬尘量见表3.</w:t>
      </w:r>
      <w:r>
        <w:rPr>
          <w:rFonts w:hint="eastAsia" w:cs="Times New Roman" w:eastAsiaTheme="minorEastAsia"/>
          <w:caps w:val="0"/>
          <w:smallCaps w:val="0"/>
          <w:color w:val="000000"/>
          <w:sz w:val="24"/>
          <w:szCs w:val="24"/>
          <w:lang w:val="en-US" w:eastAsia="zh-CN"/>
        </w:rPr>
        <w:t>7</w:t>
      </w:r>
      <w:r>
        <w:rPr>
          <w:rFonts w:ascii="Times New Roman" w:hAnsi="Times New Roman" w:cs="Times New Roman" w:eastAsiaTheme="minorEastAsia"/>
          <w:caps w:val="0"/>
          <w:smallCaps w:val="0"/>
          <w:color w:val="000000"/>
          <w:sz w:val="24"/>
          <w:szCs w:val="24"/>
        </w:rPr>
        <w:t>-7。</w:t>
      </w:r>
    </w:p>
    <w:p>
      <w:pPr>
        <w:tabs>
          <w:tab w:val="left" w:pos="900"/>
        </w:tabs>
        <w:wordWrap/>
        <w:adjustRightInd w:val="0"/>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-7</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b/>
          <w:caps w:val="0"/>
          <w:smallCaps w:val="0"/>
          <w:color w:val="000000"/>
          <w:sz w:val="24"/>
          <w:szCs w:val="24"/>
        </w:rPr>
        <w:t>不同车速和地面清洁度程度的车辆扬尘表</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caps w:val="0"/>
          <w:smallCaps w:val="0"/>
          <w:color w:val="000000"/>
          <w:sz w:val="24"/>
          <w:szCs w:val="24"/>
        </w:rPr>
        <w:t>单位：kg/辆•km</w:t>
      </w:r>
    </w:p>
    <w:tbl>
      <w:tblPr>
        <w:tblStyle w:val="71"/>
        <w:tblW w:w="907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969"/>
        <w:gridCol w:w="1183"/>
        <w:gridCol w:w="1185"/>
        <w:gridCol w:w="1185"/>
        <w:gridCol w:w="1183"/>
        <w:gridCol w:w="1185"/>
        <w:gridCol w:w="118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969" w:type="dxa"/>
            <w:tcBorders>
              <w:top w:val="single" w:color="000000" w:sz="12" w:space="0"/>
              <w:bottom w:val="single" w:color="000000" w:sz="4" w:space="0"/>
              <w:tl2br w:val="single" w:color="000000" w:sz="4" w:space="0"/>
            </w:tcBorders>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      </w:t>
            </w:r>
            <w:r>
              <w:rPr>
                <w:rFonts w:ascii="Times New Roman" w:hAnsi="Times New Roman" w:cs="Times New Roman"/>
                <w:caps w:val="0"/>
                <w:smallCaps w:val="0"/>
              </w:rPr>
              <w:t>P（kg/m</w:t>
            </w:r>
            <w:r>
              <w:rPr>
                <w:rFonts w:ascii="Times New Roman" w:hAnsi="Times New Roman" w:cs="Times New Roman"/>
                <w:caps w:val="0"/>
                <w:smallCaps w:val="0"/>
                <w:vertAlign w:val="superscript"/>
              </w:rPr>
              <w:t>2</w:t>
            </w:r>
            <w:r>
              <w:rPr>
                <w:rFonts w:ascii="Times New Roman" w:hAnsi="Times New Roman" w:cs="Times New Roman"/>
                <w:caps w:val="0"/>
                <w:smallCaps w:val="0"/>
              </w:rPr>
              <w:t>）</w:t>
            </w:r>
          </w:p>
          <w:p>
            <w:pPr>
              <w:pStyle w:val="117"/>
              <w:bidi w:val="0"/>
              <w:jc w:val="both"/>
              <w:rPr>
                <w:rFonts w:ascii="Times New Roman" w:hAnsi="Times New Roman" w:cs="Times New Roman"/>
                <w:caps w:val="0"/>
                <w:smallCaps w:val="0"/>
              </w:rPr>
            </w:pPr>
            <w:r>
              <w:rPr>
                <w:rFonts w:ascii="Times New Roman" w:hAnsi="Times New Roman" w:cs="Times New Roman"/>
                <w:caps w:val="0"/>
                <w:smallCaps w:val="0"/>
              </w:rPr>
              <w:t>车速km/h</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0.4</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0.5</w:t>
            </w:r>
          </w:p>
        </w:tc>
        <w:tc>
          <w:tcPr>
            <w:tcW w:w="1180"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969" w:type="dxa"/>
            <w:tcBorders>
              <w:top w:val="single" w:color="000000" w:sz="4" w:space="0"/>
            </w:tcBorders>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0.0510</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0.0859</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0.1164</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0.1444</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0.1707</w:t>
            </w:r>
          </w:p>
        </w:tc>
        <w:tc>
          <w:tcPr>
            <w:tcW w:w="1180"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0.2871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969"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0.1021</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0.1717</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0.2328</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0.2888</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0.3414</w:t>
            </w:r>
          </w:p>
        </w:tc>
        <w:tc>
          <w:tcPr>
            <w:tcW w:w="1180"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0.5742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969"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0.1532</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0.2576</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0.3491</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0.4332</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0.5121</w:t>
            </w:r>
          </w:p>
        </w:tc>
        <w:tc>
          <w:tcPr>
            <w:tcW w:w="1180"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0.8613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0" w:hRule="atLeast"/>
          <w:jc w:val="center"/>
        </w:trPr>
        <w:tc>
          <w:tcPr>
            <w:tcW w:w="1969"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25</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0.2553</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0.4293</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0.5819</w:t>
            </w:r>
          </w:p>
        </w:tc>
        <w:tc>
          <w:tcPr>
            <w:tcW w:w="1183"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0.7220</w:t>
            </w:r>
          </w:p>
        </w:tc>
        <w:tc>
          <w:tcPr>
            <w:tcW w:w="118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0.8536</w:t>
            </w:r>
          </w:p>
        </w:tc>
        <w:tc>
          <w:tcPr>
            <w:tcW w:w="1180"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1.4355</w:t>
            </w:r>
          </w:p>
        </w:tc>
      </w:tr>
    </w:tbl>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从表3.</w:t>
      </w:r>
      <w:r>
        <w:rPr>
          <w:rFonts w:hint="eastAsia" w:cs="Times New Roman" w:eastAsiaTheme="minorEastAsia"/>
          <w:caps w:val="0"/>
          <w:smallCaps w:val="0"/>
          <w:color w:val="000000"/>
          <w:sz w:val="24"/>
          <w:szCs w:val="24"/>
          <w:lang w:val="en-US" w:eastAsia="zh-CN"/>
        </w:rPr>
        <w:t>7</w:t>
      </w:r>
      <w:r>
        <w:rPr>
          <w:rFonts w:ascii="Times New Roman" w:hAnsi="Times New Roman" w:cs="Times New Roman" w:eastAsiaTheme="minorEastAsia"/>
          <w:caps w:val="0"/>
          <w:smallCaps w:val="0"/>
          <w:color w:val="000000"/>
          <w:sz w:val="24"/>
          <w:szCs w:val="24"/>
        </w:rPr>
        <w:t>-7可见，在同样路面清洁程度的条件下，车速越快，扬尘量越大；在同样车速条件下，路面越脏，则扬尘量越大。因此，限速行驶和保持路面的清洁是减少车辆行驶扬尘源强的有效措施。</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3、施工船舶、车辆和机械废气</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施工车辆废气：汽车的汽柴油发动机排放的尾气主要污染物为SO</w:t>
      </w:r>
      <w:r>
        <w:rPr>
          <w:rFonts w:ascii="Times New Roman" w:hAnsi="Times New Roman" w:cs="Times New Roman" w:eastAsiaTheme="minorEastAsia"/>
          <w:caps w:val="0"/>
          <w:smallCaps w:val="0"/>
          <w:color w:val="000000"/>
          <w:sz w:val="24"/>
          <w:szCs w:val="24"/>
          <w:vertAlign w:val="subscript"/>
        </w:rPr>
        <w:t>2</w:t>
      </w:r>
      <w:r>
        <w:rPr>
          <w:rFonts w:ascii="Times New Roman" w:hAnsi="Times New Roman" w:cs="Times New Roman" w:eastAsiaTheme="minorEastAsia"/>
          <w:caps w:val="0"/>
          <w:smallCaps w:val="0"/>
          <w:color w:val="000000"/>
          <w:sz w:val="24"/>
          <w:szCs w:val="24"/>
        </w:rPr>
        <w:t>、CO、C</w:t>
      </w:r>
      <w:r>
        <w:rPr>
          <w:rFonts w:ascii="Times New Roman" w:hAnsi="Times New Roman" w:cs="Times New Roman" w:eastAsiaTheme="minorEastAsia"/>
          <w:caps w:val="0"/>
          <w:smallCaps w:val="0"/>
          <w:color w:val="000000"/>
          <w:sz w:val="24"/>
          <w:szCs w:val="24"/>
          <w:vertAlign w:val="subscript"/>
        </w:rPr>
        <w:t>x</w:t>
      </w:r>
      <w:r>
        <w:rPr>
          <w:rFonts w:ascii="Times New Roman" w:hAnsi="Times New Roman" w:cs="Times New Roman" w:eastAsiaTheme="minorEastAsia"/>
          <w:caps w:val="0"/>
          <w:smallCaps w:val="0"/>
          <w:color w:val="000000"/>
          <w:sz w:val="24"/>
          <w:szCs w:val="24"/>
        </w:rPr>
        <w:t>H</w:t>
      </w:r>
      <w:r>
        <w:rPr>
          <w:rFonts w:ascii="Times New Roman" w:hAnsi="Times New Roman" w:cs="Times New Roman" w:eastAsiaTheme="minorEastAsia"/>
          <w:caps w:val="0"/>
          <w:smallCaps w:val="0"/>
          <w:color w:val="000000"/>
          <w:sz w:val="24"/>
          <w:szCs w:val="24"/>
          <w:vertAlign w:val="subscript"/>
        </w:rPr>
        <w:t>y</w:t>
      </w:r>
      <w:r>
        <w:rPr>
          <w:rFonts w:ascii="Times New Roman" w:hAnsi="Times New Roman" w:cs="Times New Roman" w:eastAsiaTheme="minorEastAsia"/>
          <w:caps w:val="0"/>
          <w:smallCaps w:val="0"/>
          <w:color w:val="000000"/>
          <w:sz w:val="24"/>
          <w:szCs w:val="24"/>
        </w:rPr>
        <w:t>和NO</w:t>
      </w:r>
      <w:r>
        <w:rPr>
          <w:rFonts w:ascii="Times New Roman" w:hAnsi="Times New Roman" w:cs="Times New Roman" w:eastAsiaTheme="minorEastAsia"/>
          <w:caps w:val="0"/>
          <w:smallCaps w:val="0"/>
          <w:color w:val="000000"/>
          <w:sz w:val="24"/>
          <w:szCs w:val="24"/>
          <w:vertAlign w:val="subscript"/>
        </w:rPr>
        <w:t>x</w:t>
      </w:r>
      <w:r>
        <w:rPr>
          <w:rFonts w:ascii="Times New Roman" w:hAnsi="Times New Roman" w:cs="Times New Roman" w:eastAsiaTheme="minorEastAsia"/>
          <w:caps w:val="0"/>
          <w:smallCaps w:val="0"/>
          <w:color w:val="000000"/>
          <w:sz w:val="24"/>
          <w:szCs w:val="24"/>
        </w:rPr>
        <w:t>。一般施工采用柴油汽车，按8t载重车型为例，其污染物排放情况具体见表3.</w:t>
      </w:r>
      <w:r>
        <w:rPr>
          <w:rFonts w:hint="eastAsia" w:cs="Times New Roman" w:eastAsiaTheme="minorEastAsia"/>
          <w:caps w:val="0"/>
          <w:smallCaps w:val="0"/>
          <w:color w:val="000000"/>
          <w:sz w:val="24"/>
          <w:szCs w:val="24"/>
          <w:lang w:val="en-US" w:eastAsia="zh-CN"/>
        </w:rPr>
        <w:t>7</w:t>
      </w:r>
      <w:r>
        <w:rPr>
          <w:rFonts w:ascii="Times New Roman" w:hAnsi="Times New Roman" w:cs="Times New Roman" w:eastAsiaTheme="minorEastAsia"/>
          <w:caps w:val="0"/>
          <w:smallCaps w:val="0"/>
          <w:color w:val="000000"/>
          <w:sz w:val="24"/>
          <w:szCs w:val="24"/>
        </w:rPr>
        <w:t>-8。</w:t>
      </w:r>
    </w:p>
    <w:p>
      <w:pPr>
        <w:tabs>
          <w:tab w:val="left" w:pos="900"/>
        </w:tabs>
        <w:adjustRightInd w:val="0"/>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-8机动车污染物排放情况</w:t>
      </w:r>
    </w:p>
    <w:tbl>
      <w:tblPr>
        <w:tblStyle w:val="71"/>
        <w:tblW w:w="9075"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1767"/>
        <w:gridCol w:w="2325"/>
        <w:gridCol w:w="2118"/>
        <w:gridCol w:w="286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97" w:hRule="atLeast"/>
          <w:tblHeader/>
          <w:jc w:val="center"/>
        </w:trPr>
        <w:tc>
          <w:tcPr>
            <w:tcW w:w="1767" w:type="dxa"/>
            <w:tcBorders>
              <w:top w:val="single" w:color="000000" w:sz="12" w:space="0"/>
              <w:bottom w:val="single" w:color="000000" w:sz="4" w:space="0"/>
              <w:tl2br w:val="single" w:color="000000" w:sz="4" w:space="0"/>
            </w:tcBorders>
            <w:tcMar>
              <w:top w:w="0" w:type="dxa"/>
              <w:left w:w="0" w:type="dxa"/>
              <w:bottom w:w="0" w:type="dxa"/>
              <w:right w:w="0" w:type="dxa"/>
            </w:tcMar>
          </w:tcPr>
          <w:p>
            <w:pPr>
              <w:pStyle w:val="117"/>
              <w:bidi w:val="0"/>
              <w:rPr>
                <w:rFonts w:ascii="Times New Roman" w:hAnsi="Times New Roman" w:cs="Times New Roman"/>
                <w:caps w:val="0"/>
                <w:smallCaps w:val="0"/>
              </w:rPr>
            </w:pPr>
            <w:r>
              <w:rPr>
                <w:rFonts w:ascii="Times New Roman" w:hAnsi="Times New Roman" w:cs="Times New Roman"/>
                <w:caps w:val="0"/>
                <w:smallCaps w:val="0"/>
              </w:rPr>
              <w:t>类别</w:t>
            </w:r>
          </w:p>
          <w:p>
            <w:pPr>
              <w:pStyle w:val="117"/>
              <w:bidi w:val="0"/>
              <w:rPr>
                <w:rFonts w:ascii="Times New Roman" w:hAnsi="Times New Roman" w:cs="Times New Roman"/>
                <w:caps w:val="0"/>
                <w:smallCaps w:val="0"/>
              </w:rPr>
            </w:pPr>
            <w:r>
              <w:rPr>
                <w:rFonts w:ascii="Times New Roman" w:hAnsi="Times New Roman" w:cs="Times New Roman"/>
                <w:caps w:val="0"/>
                <w:smallCaps w:val="0"/>
              </w:rPr>
              <w:t>污染物</w:t>
            </w:r>
          </w:p>
        </w:tc>
        <w:tc>
          <w:tcPr>
            <w:tcW w:w="232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污染物排放量</w:t>
            </w:r>
          </w:p>
          <w:p>
            <w:pPr>
              <w:pStyle w:val="117"/>
              <w:bidi w:val="0"/>
              <w:rPr>
                <w:rFonts w:ascii="Times New Roman" w:hAnsi="Times New Roman" w:cs="Times New Roman"/>
                <w:caps w:val="0"/>
                <w:smallCaps w:val="0"/>
              </w:rPr>
            </w:pPr>
            <w:r>
              <w:rPr>
                <w:rFonts w:ascii="Times New Roman" w:hAnsi="Times New Roman" w:cs="Times New Roman"/>
                <w:caps w:val="0"/>
                <w:smallCaps w:val="0"/>
              </w:rPr>
              <w:t>（g/L汽油）</w:t>
            </w:r>
          </w:p>
        </w:tc>
        <w:tc>
          <w:tcPr>
            <w:tcW w:w="2118"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污染物排放量</w:t>
            </w:r>
          </w:p>
          <w:p>
            <w:pPr>
              <w:pStyle w:val="117"/>
              <w:bidi w:val="0"/>
              <w:rPr>
                <w:rFonts w:ascii="Times New Roman" w:hAnsi="Times New Roman" w:cs="Times New Roman"/>
                <w:caps w:val="0"/>
                <w:smallCaps w:val="0"/>
              </w:rPr>
            </w:pPr>
            <w:r>
              <w:rPr>
                <w:rFonts w:ascii="Times New Roman" w:hAnsi="Times New Roman" w:cs="Times New Roman"/>
                <w:caps w:val="0"/>
                <w:smallCaps w:val="0"/>
              </w:rPr>
              <w:t>（g/L柴油）</w:t>
            </w:r>
          </w:p>
        </w:tc>
        <w:tc>
          <w:tcPr>
            <w:tcW w:w="286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8吨柴油载重车排放量</w:t>
            </w:r>
          </w:p>
          <w:p>
            <w:pPr>
              <w:pStyle w:val="117"/>
              <w:bidi w:val="0"/>
              <w:rPr>
                <w:rFonts w:ascii="Times New Roman" w:hAnsi="Times New Roman" w:cs="Times New Roman"/>
                <w:caps w:val="0"/>
                <w:smallCaps w:val="0"/>
              </w:rPr>
            </w:pPr>
            <w:r>
              <w:rPr>
                <w:rFonts w:ascii="Times New Roman" w:hAnsi="Times New Roman" w:cs="Times New Roman"/>
                <w:caps w:val="0"/>
                <w:smallCaps w:val="0"/>
              </w:rPr>
              <w:t>（g/100km）</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48" w:hRule="atLeast"/>
          <w:jc w:val="center"/>
        </w:trPr>
        <w:tc>
          <w:tcPr>
            <w:tcW w:w="1767" w:type="dxa"/>
            <w:tcBorders>
              <w:top w:val="single" w:color="000000" w:sz="4" w:space="0"/>
            </w:tcBorders>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SO2</w:t>
            </w:r>
          </w:p>
        </w:tc>
        <w:tc>
          <w:tcPr>
            <w:tcW w:w="232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0.295</w:t>
            </w:r>
          </w:p>
        </w:tc>
        <w:tc>
          <w:tcPr>
            <w:tcW w:w="2118"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3.24</w:t>
            </w:r>
          </w:p>
        </w:tc>
        <w:tc>
          <w:tcPr>
            <w:tcW w:w="286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97.82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1767"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w:t>
            </w:r>
          </w:p>
        </w:tc>
        <w:tc>
          <w:tcPr>
            <w:tcW w:w="232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169.0</w:t>
            </w:r>
          </w:p>
        </w:tc>
        <w:tc>
          <w:tcPr>
            <w:tcW w:w="2118"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27.0</w:t>
            </w:r>
          </w:p>
        </w:tc>
        <w:tc>
          <w:tcPr>
            <w:tcW w:w="286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815.13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1767"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NOX</w:t>
            </w:r>
          </w:p>
        </w:tc>
        <w:tc>
          <w:tcPr>
            <w:tcW w:w="232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21.1</w:t>
            </w:r>
          </w:p>
        </w:tc>
        <w:tc>
          <w:tcPr>
            <w:tcW w:w="2118"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44.4</w:t>
            </w:r>
          </w:p>
        </w:tc>
        <w:tc>
          <w:tcPr>
            <w:tcW w:w="286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1340.44</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38" w:hRule="atLeast"/>
          <w:jc w:val="center"/>
        </w:trPr>
        <w:tc>
          <w:tcPr>
            <w:tcW w:w="1767"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烃类</w:t>
            </w:r>
          </w:p>
        </w:tc>
        <w:tc>
          <w:tcPr>
            <w:tcW w:w="232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33.3</w:t>
            </w:r>
          </w:p>
        </w:tc>
        <w:tc>
          <w:tcPr>
            <w:tcW w:w="2118"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4.44</w:t>
            </w:r>
          </w:p>
        </w:tc>
        <w:tc>
          <w:tcPr>
            <w:tcW w:w="2865" w:type="dxa"/>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134.04</w:t>
            </w:r>
          </w:p>
        </w:tc>
      </w:tr>
    </w:tbl>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施工机械废气：施工燃油机械产生的含CO、NOx、烃类、SO</w:t>
      </w:r>
      <w:r>
        <w:rPr>
          <w:rFonts w:ascii="Times New Roman" w:hAnsi="Times New Roman" w:cs="Times New Roman" w:eastAsiaTheme="minorEastAsia"/>
          <w:caps w:val="0"/>
          <w:smallCaps w:val="0"/>
          <w:color w:val="000000"/>
          <w:sz w:val="24"/>
          <w:szCs w:val="24"/>
          <w:vertAlign w:val="subscript"/>
        </w:rPr>
        <w:t>2</w:t>
      </w:r>
      <w:r>
        <w:rPr>
          <w:rFonts w:ascii="Times New Roman" w:hAnsi="Times New Roman" w:cs="Times New Roman" w:eastAsiaTheme="minorEastAsia"/>
          <w:caps w:val="0"/>
          <w:smallCaps w:val="0"/>
          <w:color w:val="000000"/>
          <w:sz w:val="24"/>
          <w:szCs w:val="24"/>
        </w:rPr>
        <w:t>等废气对大气环境也将产生一定的影响。</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施工船舶运行过程中排放少量燃油废气，主要污染因子为SO</w:t>
      </w:r>
      <w:r>
        <w:rPr>
          <w:rFonts w:ascii="Times New Roman" w:hAnsi="Times New Roman" w:cs="Times New Roman" w:eastAsiaTheme="minorEastAsia"/>
          <w:caps w:val="0"/>
          <w:smallCaps w:val="0"/>
          <w:color w:val="000000"/>
          <w:sz w:val="24"/>
          <w:szCs w:val="24"/>
          <w:vertAlign w:val="subscript"/>
        </w:rPr>
        <w:t>2</w:t>
      </w:r>
      <w:r>
        <w:rPr>
          <w:rFonts w:ascii="Times New Roman" w:hAnsi="Times New Roman" w:cs="Times New Roman" w:eastAsiaTheme="minorEastAsia"/>
          <w:caps w:val="0"/>
          <w:smallCaps w:val="0"/>
          <w:color w:val="000000"/>
          <w:sz w:val="24"/>
          <w:szCs w:val="24"/>
        </w:rPr>
        <w:t>、NO</w:t>
      </w:r>
      <w:r>
        <w:rPr>
          <w:rFonts w:ascii="Times New Roman" w:hAnsi="Times New Roman" w:cs="Times New Roman" w:eastAsiaTheme="minorEastAsia"/>
          <w:caps w:val="0"/>
          <w:smallCaps w:val="0"/>
          <w:color w:val="000000"/>
          <w:sz w:val="24"/>
          <w:szCs w:val="24"/>
          <w:vertAlign w:val="subscript"/>
        </w:rPr>
        <w:t>X</w:t>
      </w:r>
      <w:r>
        <w:rPr>
          <w:rFonts w:ascii="Times New Roman" w:hAnsi="Times New Roman" w:cs="Times New Roman" w:eastAsiaTheme="minorEastAsia"/>
          <w:caps w:val="0"/>
          <w:smallCaps w:val="0"/>
          <w:color w:val="000000"/>
          <w:sz w:val="24"/>
          <w:szCs w:val="24"/>
        </w:rPr>
        <w:t>和烃类等。</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hint="eastAsia" w:ascii="Times New Roman" w:hAnsi="Times New Roman" w:cs="Times New Roman" w:eastAsiaTheme="minorEastAsia"/>
          <w:b/>
          <w:caps w:val="0"/>
          <w:smallCaps w:val="0"/>
          <w:color w:val="000000"/>
          <w:sz w:val="24"/>
          <w:szCs w:val="24"/>
        </w:rPr>
        <w:t>4、</w:t>
      </w:r>
      <w:r>
        <w:rPr>
          <w:rFonts w:ascii="Times New Roman" w:hAnsi="Times New Roman" w:cs="Times New Roman" w:eastAsiaTheme="minorEastAsia"/>
          <w:b/>
          <w:caps w:val="0"/>
          <w:smallCaps w:val="0"/>
          <w:color w:val="000000"/>
          <w:sz w:val="24"/>
          <w:szCs w:val="24"/>
        </w:rPr>
        <w:t>恶臭气体</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施工期大气污染物</w:t>
      </w:r>
      <w:r>
        <w:rPr>
          <w:rFonts w:hint="eastAsia" w:ascii="Times New Roman" w:hAnsi="Times New Roman" w:cs="Times New Roman" w:eastAsiaTheme="minorEastAsia"/>
          <w:caps w:val="0"/>
          <w:smallCaps w:val="0"/>
          <w:color w:val="000000"/>
          <w:sz w:val="24"/>
          <w:szCs w:val="24"/>
          <w:lang w:eastAsia="zh-CN"/>
        </w:rPr>
        <w:t>有</w:t>
      </w:r>
      <w:r>
        <w:rPr>
          <w:rFonts w:ascii="Times New Roman" w:hAnsi="Times New Roman" w:cs="Times New Roman" w:eastAsiaTheme="minorEastAsia"/>
          <w:caps w:val="0"/>
          <w:smallCaps w:val="0"/>
          <w:color w:val="000000"/>
          <w:sz w:val="24"/>
          <w:szCs w:val="24"/>
        </w:rPr>
        <w:t>疏浚底泥产生的恶臭，来自于无组织排放的面源污染。</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底泥在</w:t>
      </w:r>
      <w:r>
        <w:rPr>
          <w:rFonts w:hint="eastAsia" w:ascii="Times New Roman" w:hAnsi="Times New Roman" w:cs="Times New Roman" w:eastAsiaTheme="minorEastAsia"/>
          <w:caps w:val="0"/>
          <w:smallCaps w:val="0"/>
          <w:color w:val="000000"/>
          <w:sz w:val="24"/>
          <w:szCs w:val="24"/>
          <w:lang w:eastAsia="zh-CN"/>
        </w:rPr>
        <w:t>装车和运输过程中</w:t>
      </w:r>
      <w:r>
        <w:rPr>
          <w:rFonts w:ascii="Times New Roman" w:hAnsi="Times New Roman" w:cs="Times New Roman" w:eastAsiaTheme="minorEastAsia"/>
          <w:caps w:val="0"/>
          <w:smallCaps w:val="0"/>
          <w:color w:val="000000"/>
          <w:sz w:val="24"/>
          <w:szCs w:val="24"/>
        </w:rPr>
        <w:t>会产生NH</w:t>
      </w:r>
      <w:r>
        <w:rPr>
          <w:rFonts w:ascii="Times New Roman" w:hAnsi="Times New Roman" w:cs="Times New Roman" w:eastAsiaTheme="minorEastAsia"/>
          <w:caps w:val="0"/>
          <w:smallCaps w:val="0"/>
          <w:color w:val="000000"/>
          <w:sz w:val="24"/>
          <w:szCs w:val="24"/>
          <w:vertAlign w:val="subscript"/>
        </w:rPr>
        <w:t>3</w:t>
      </w:r>
      <w:r>
        <w:rPr>
          <w:rFonts w:ascii="Times New Roman" w:hAnsi="Times New Roman" w:cs="Times New Roman" w:eastAsiaTheme="minorEastAsia"/>
          <w:caps w:val="0"/>
          <w:smallCaps w:val="0"/>
          <w:color w:val="000000"/>
          <w:sz w:val="24"/>
          <w:szCs w:val="24"/>
        </w:rPr>
        <w:t>、H</w:t>
      </w:r>
      <w:r>
        <w:rPr>
          <w:rFonts w:ascii="Times New Roman" w:hAnsi="Times New Roman" w:cs="Times New Roman" w:eastAsiaTheme="minorEastAsia"/>
          <w:caps w:val="0"/>
          <w:smallCaps w:val="0"/>
          <w:color w:val="000000"/>
          <w:sz w:val="24"/>
          <w:szCs w:val="24"/>
          <w:vertAlign w:val="subscript"/>
        </w:rPr>
        <w:t>2</w:t>
      </w:r>
      <w:r>
        <w:rPr>
          <w:rFonts w:ascii="Times New Roman" w:hAnsi="Times New Roman" w:cs="Times New Roman" w:eastAsiaTheme="minorEastAsia"/>
          <w:caps w:val="0"/>
          <w:smallCaps w:val="0"/>
          <w:color w:val="000000"/>
          <w:sz w:val="24"/>
          <w:szCs w:val="24"/>
        </w:rPr>
        <w:t>S等恶臭性气体，使人在嗅觉感官上产生不适，并对人体健康有一定影响。类比同类项目，由疏浚底泥产生的恶臭污染物源强见表3.</w:t>
      </w:r>
      <w:r>
        <w:rPr>
          <w:rFonts w:hint="eastAsia" w:cs="Times New Roman" w:eastAsiaTheme="minorEastAsia"/>
          <w:caps w:val="0"/>
          <w:smallCaps w:val="0"/>
          <w:color w:val="000000"/>
          <w:sz w:val="24"/>
          <w:szCs w:val="24"/>
          <w:lang w:val="en-US" w:eastAsia="zh-CN"/>
        </w:rPr>
        <w:t>7</w:t>
      </w:r>
      <w:r>
        <w:rPr>
          <w:rFonts w:ascii="Times New Roman" w:hAnsi="Times New Roman" w:cs="Times New Roman" w:eastAsiaTheme="minorEastAsia"/>
          <w:caps w:val="0"/>
          <w:smallCaps w:val="0"/>
          <w:color w:val="000000"/>
          <w:sz w:val="24"/>
          <w:szCs w:val="24"/>
        </w:rPr>
        <w:t>-9。</w:t>
      </w:r>
    </w:p>
    <w:p>
      <w:pPr>
        <w:tabs>
          <w:tab w:val="left" w:pos="900"/>
        </w:tabs>
        <w:adjustRightInd w:val="0"/>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-9恶臭污染物源强</w:t>
      </w:r>
    </w:p>
    <w:tbl>
      <w:tblPr>
        <w:tblStyle w:val="72"/>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3034"/>
        <w:gridCol w:w="303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667"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恶臭</w:t>
            </w:r>
            <w:r>
              <w:rPr>
                <w:rFonts w:ascii="Times New Roman" w:hAnsi="Times New Roman" w:cs="Times New Roman"/>
                <w:caps w:val="0"/>
                <w:smallCaps w:val="0"/>
              </w:rPr>
              <w:t>污染物因子</w:t>
            </w:r>
          </w:p>
        </w:tc>
        <w:tc>
          <w:tcPr>
            <w:tcW w:w="3333" w:type="pct"/>
            <w:gridSpan w:val="2"/>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恶臭</w:t>
            </w:r>
            <w:r>
              <w:rPr>
                <w:rFonts w:ascii="Times New Roman" w:hAnsi="Times New Roman" w:cs="Times New Roman"/>
                <w:caps w:val="0"/>
                <w:smallCaps w:val="0"/>
              </w:rPr>
              <w:t>污染物源强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667"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66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单位</w:t>
            </w:r>
          </w:p>
        </w:tc>
        <w:tc>
          <w:tcPr>
            <w:tcW w:w="166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数值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66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NH</w:t>
            </w:r>
            <w:r>
              <w:rPr>
                <w:rFonts w:ascii="Times New Roman" w:hAnsi="Times New Roman" w:cs="Times New Roman"/>
                <w:caps w:val="0"/>
                <w:smallCaps w:val="0"/>
                <w:vertAlign w:val="subscript"/>
              </w:rPr>
              <w:t>3</w:t>
            </w:r>
          </w:p>
        </w:tc>
        <w:tc>
          <w:tcPr>
            <w:tcW w:w="166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w:t>
            </w:r>
            <w:r>
              <w:rPr>
                <w:rFonts w:hint="eastAsia" w:ascii="Times New Roman" w:hAnsi="Times New Roman" w:cs="Times New Roman"/>
                <w:caps w:val="0"/>
                <w:smallCaps w:val="0"/>
              </w:rPr>
              <w:t>g</w:t>
            </w:r>
            <w:r>
              <w:rPr>
                <w:rFonts w:ascii="Times New Roman" w:hAnsi="Times New Roman" w:cs="Times New Roman"/>
                <w:caps w:val="0"/>
                <w:smallCaps w:val="0"/>
              </w:rPr>
              <w:t>/s</w:t>
            </w:r>
          </w:p>
        </w:tc>
        <w:tc>
          <w:tcPr>
            <w:tcW w:w="166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359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166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H</w:t>
            </w:r>
            <w:r>
              <w:rPr>
                <w:rFonts w:ascii="Times New Roman" w:hAnsi="Times New Roman" w:cs="Times New Roman"/>
                <w:caps w:val="0"/>
                <w:smallCaps w:val="0"/>
                <w:vertAlign w:val="subscript"/>
              </w:rPr>
              <w:t>2</w:t>
            </w:r>
            <w:r>
              <w:rPr>
                <w:rFonts w:ascii="Times New Roman" w:hAnsi="Times New Roman" w:cs="Times New Roman"/>
                <w:caps w:val="0"/>
                <w:smallCaps w:val="0"/>
              </w:rPr>
              <w:t>S</w:t>
            </w:r>
          </w:p>
        </w:tc>
        <w:tc>
          <w:tcPr>
            <w:tcW w:w="166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w:t>
            </w:r>
            <w:r>
              <w:rPr>
                <w:rFonts w:hint="eastAsia" w:ascii="Times New Roman" w:hAnsi="Times New Roman" w:cs="Times New Roman"/>
                <w:caps w:val="0"/>
                <w:smallCaps w:val="0"/>
              </w:rPr>
              <w:t>g</w:t>
            </w:r>
            <w:r>
              <w:rPr>
                <w:rFonts w:ascii="Times New Roman" w:hAnsi="Times New Roman" w:cs="Times New Roman"/>
                <w:caps w:val="0"/>
                <w:smallCaps w:val="0"/>
              </w:rPr>
              <w:t>/s</w:t>
            </w:r>
          </w:p>
        </w:tc>
        <w:tc>
          <w:tcPr>
            <w:tcW w:w="166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1.4</w:t>
            </w:r>
          </w:p>
        </w:tc>
      </w:tr>
    </w:tbl>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噪声</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kern w:val="0"/>
          <w:sz w:val="20"/>
          <w:szCs w:val="20"/>
        </w:rPr>
      </w:pPr>
      <w:r>
        <w:rPr>
          <w:rFonts w:ascii="Times New Roman" w:hAnsi="Times New Roman" w:cs="Times New Roman" w:eastAsiaTheme="minorEastAsia"/>
          <w:caps w:val="0"/>
          <w:smallCaps w:val="0"/>
          <w:color w:val="000000"/>
          <w:sz w:val="24"/>
          <w:szCs w:val="24"/>
        </w:rPr>
        <w:t>施工过程中，施工机械、车辆等将产生一定的噪声，参照</w:t>
      </w:r>
      <w:r>
        <w:rPr>
          <w:rFonts w:ascii="Times New Roman" w:hAnsi="Times New Roman" w:cs="Times New Roman" w:eastAsiaTheme="minorEastAsia"/>
          <w:caps w:val="0"/>
          <w:smallCaps w:val="0"/>
          <w:color w:val="000000"/>
          <w:sz w:val="24"/>
        </w:rPr>
        <w:t>《</w:t>
      </w:r>
      <w:r>
        <w:rPr>
          <w:rFonts w:hint="eastAsia" w:ascii="Times New Roman" w:hAnsi="Times New Roman" w:cs="Times New Roman" w:eastAsiaTheme="minorEastAsia"/>
          <w:caps w:val="0"/>
          <w:smallCaps w:val="0"/>
          <w:color w:val="000000"/>
          <w:sz w:val="24"/>
        </w:rPr>
        <w:t>水运工程环境保护设计规范</w:t>
      </w:r>
      <w:r>
        <w:rPr>
          <w:rFonts w:ascii="Times New Roman" w:hAnsi="Times New Roman" w:cs="Times New Roman" w:eastAsiaTheme="minorEastAsia"/>
          <w:caps w:val="0"/>
          <w:smallCaps w:val="0"/>
          <w:color w:val="000000"/>
          <w:sz w:val="24"/>
        </w:rPr>
        <w:t>》（JTS149-</w:t>
      </w:r>
      <w:r>
        <w:rPr>
          <w:rFonts w:hint="eastAsia" w:ascii="Times New Roman" w:hAnsi="Times New Roman" w:cs="Times New Roman" w:eastAsiaTheme="minorEastAsia"/>
          <w:caps w:val="0"/>
          <w:smallCaps w:val="0"/>
          <w:color w:val="000000"/>
          <w:sz w:val="24"/>
          <w:lang w:val="en-US" w:eastAsia="zh-CN"/>
        </w:rPr>
        <w:t>2018</w:t>
      </w:r>
      <w:r>
        <w:rPr>
          <w:rFonts w:ascii="Times New Roman" w:hAnsi="Times New Roman" w:cs="Times New Roman" w:eastAsiaTheme="minorEastAsia"/>
          <w:caps w:val="0"/>
          <w:smallCaps w:val="0"/>
          <w:color w:val="000000"/>
          <w:sz w:val="24"/>
        </w:rPr>
        <w:t>）</w:t>
      </w:r>
      <w:r>
        <w:rPr>
          <w:rFonts w:ascii="Times New Roman" w:hAnsi="Times New Roman" w:cs="Times New Roman" w:eastAsiaTheme="minorEastAsia"/>
          <w:caps w:val="0"/>
          <w:smallCaps w:val="0"/>
          <w:color w:val="000000"/>
          <w:sz w:val="24"/>
          <w:szCs w:val="24"/>
        </w:rPr>
        <w:t>，噪声源强见表3.</w:t>
      </w:r>
      <w:r>
        <w:rPr>
          <w:rFonts w:hint="eastAsia" w:cs="Times New Roman" w:eastAsiaTheme="minorEastAsia"/>
          <w:caps w:val="0"/>
          <w:smallCaps w:val="0"/>
          <w:color w:val="000000"/>
          <w:sz w:val="24"/>
          <w:szCs w:val="24"/>
          <w:lang w:val="en-US" w:eastAsia="zh-CN"/>
        </w:rPr>
        <w:t>7</w:t>
      </w:r>
      <w:r>
        <w:rPr>
          <w:rFonts w:ascii="Times New Roman" w:hAnsi="Times New Roman" w:cs="Times New Roman" w:eastAsiaTheme="minorEastAsia"/>
          <w:caps w:val="0"/>
          <w:smallCaps w:val="0"/>
          <w:color w:val="000000"/>
          <w:sz w:val="24"/>
          <w:szCs w:val="24"/>
        </w:rPr>
        <w:t>-10</w:t>
      </w:r>
      <w:r>
        <w:rPr>
          <w:rFonts w:ascii="Times New Roman" w:hAnsi="Times New Roman" w:cs="Times New Roman" w:eastAsiaTheme="minorEastAsia"/>
          <w:caps w:val="0"/>
          <w:smallCaps w:val="0"/>
          <w:kern w:val="0"/>
          <w:sz w:val="24"/>
          <w:szCs w:val="24"/>
        </w:rPr>
        <w:t>。</w:t>
      </w:r>
    </w:p>
    <w:tbl>
      <w:tblPr>
        <w:tblStyle w:val="71"/>
        <w:tblpPr w:leftFromText="180" w:rightFromText="180" w:vertAnchor="text" w:horzAnchor="page" w:tblpX="1397" w:tblpY="359"/>
        <w:tblOverlap w:val="never"/>
        <w:tblW w:w="5032"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2003"/>
        <w:gridCol w:w="2274"/>
        <w:gridCol w:w="2228"/>
        <w:gridCol w:w="180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46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1093"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施工阶段</w:t>
            </w: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主要噪声源名称</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测点与机械距离</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声压级dB(A)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1"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093"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码头水域施工</w:t>
            </w: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8.8kw小型船舶</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1m</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1"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093"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17.6kw小型船舶</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1m</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461"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093"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挖掘机</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5m</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461"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093"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装载机</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5m</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461"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093"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卡车</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1m</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461"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w:t>
            </w:r>
          </w:p>
        </w:tc>
        <w:tc>
          <w:tcPr>
            <w:tcW w:w="1093"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上部结构浇注</w:t>
            </w: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混凝土搅拌机</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1m</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1"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093"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振捣机</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1m</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461"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3</w:t>
            </w:r>
          </w:p>
        </w:tc>
        <w:tc>
          <w:tcPr>
            <w:tcW w:w="1093" w:type="pct"/>
            <w:vMerge w:val="restar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设备及管道安装</w:t>
            </w: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切割机</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1m</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61"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093"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c>
          <w:tcPr>
            <w:tcW w:w="1241"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电焊机</w:t>
            </w:r>
          </w:p>
        </w:tc>
        <w:tc>
          <w:tcPr>
            <w:tcW w:w="1216"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1m</w:t>
            </w:r>
          </w:p>
        </w:tc>
        <w:tc>
          <w:tcPr>
            <w:tcW w:w="987"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84</w:t>
            </w:r>
          </w:p>
        </w:tc>
      </w:tr>
    </w:tbl>
    <w:p>
      <w:pPr>
        <w:tabs>
          <w:tab w:val="left" w:pos="900"/>
        </w:tabs>
        <w:adjustRightInd w:val="0"/>
        <w:snapToGrid w:val="0"/>
        <w:spacing w:line="276" w:lineRule="auto"/>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-10施工噪声源强一览表</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固体废弃物</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本项目是</w:t>
      </w:r>
      <w:r>
        <w:rPr>
          <w:rFonts w:hint="eastAsia" w:ascii="Times New Roman" w:hAnsi="Times New Roman" w:cs="Times New Roman" w:eastAsiaTheme="minorEastAsia"/>
          <w:caps w:val="0"/>
          <w:smallCaps w:val="0"/>
          <w:color w:val="000000"/>
          <w:sz w:val="24"/>
          <w:szCs w:val="24"/>
          <w:lang w:eastAsia="zh-CN"/>
        </w:rPr>
        <w:t>对现有码头</w:t>
      </w:r>
      <w:r>
        <w:rPr>
          <w:rFonts w:ascii="Times New Roman" w:hAnsi="Times New Roman" w:cs="Times New Roman" w:eastAsiaTheme="minorEastAsia"/>
          <w:caps w:val="0"/>
          <w:smallCaps w:val="0"/>
          <w:color w:val="000000"/>
          <w:sz w:val="24"/>
          <w:szCs w:val="24"/>
        </w:rPr>
        <w:t>的提质改造，拟对原码头</w:t>
      </w:r>
      <w:r>
        <w:rPr>
          <w:rFonts w:hint="eastAsia" w:ascii="Times New Roman" w:hAnsi="Times New Roman" w:cs="Times New Roman" w:eastAsiaTheme="minorEastAsia"/>
          <w:caps w:val="0"/>
          <w:smallCaps w:val="0"/>
          <w:color w:val="000000"/>
          <w:sz w:val="24"/>
          <w:szCs w:val="24"/>
        </w:rPr>
        <w:t>废弃复绿</w:t>
      </w:r>
      <w:r>
        <w:rPr>
          <w:rFonts w:ascii="Times New Roman" w:hAnsi="Times New Roman" w:cs="Times New Roman" w:eastAsiaTheme="minorEastAsia"/>
          <w:caps w:val="0"/>
          <w:smallCaps w:val="0"/>
          <w:color w:val="000000"/>
          <w:sz w:val="24"/>
          <w:szCs w:val="24"/>
        </w:rPr>
        <w:t>后重建，在此过程中不会涉及大型土石方工程，产生的</w:t>
      </w:r>
      <w:r>
        <w:rPr>
          <w:rFonts w:ascii="Times New Roman" w:hAnsi="Times New Roman" w:cs="Times New Roman" w:eastAsiaTheme="minorEastAsia"/>
          <w:caps w:val="0"/>
          <w:smallCaps w:val="0"/>
          <w:sz w:val="24"/>
          <w:szCs w:val="24"/>
        </w:rPr>
        <w:t>固体废弃物主要为码头桩基施工产生少量河流底泥、施工建筑材料垃圾及</w:t>
      </w:r>
      <w:r>
        <w:rPr>
          <w:rFonts w:ascii="Times New Roman" w:hAnsi="Times New Roman" w:cs="Times New Roman" w:eastAsiaTheme="minorEastAsia"/>
          <w:caps w:val="0"/>
          <w:smallCaps w:val="0"/>
          <w:color w:val="000000"/>
          <w:sz w:val="24"/>
          <w:szCs w:val="24"/>
        </w:rPr>
        <w:t>施工人员生活垃圾。</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1、港池疏浚量</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码头</w:t>
      </w:r>
      <w:r>
        <w:rPr>
          <w:rFonts w:ascii="Times New Roman" w:hAnsi="Times New Roman" w:cs="Times New Roman" w:eastAsiaTheme="minorEastAsia"/>
          <w:caps w:val="0"/>
          <w:smallCaps w:val="0"/>
          <w:color w:val="000000"/>
          <w:sz w:val="24"/>
          <w:szCs w:val="24"/>
        </w:rPr>
        <w:t>前沿港池疏浚产生疏浚量约</w:t>
      </w:r>
      <w:r>
        <w:rPr>
          <w:rFonts w:hint="eastAsia" w:ascii="Times New Roman" w:hAnsi="Times New Roman" w:cs="Times New Roman" w:eastAsiaTheme="minorEastAsia"/>
          <w:caps w:val="0"/>
          <w:smallCaps w:val="0"/>
          <w:color w:val="000000"/>
          <w:sz w:val="24"/>
          <w:szCs w:val="24"/>
          <w:lang w:val="en-US" w:eastAsia="zh-CN"/>
        </w:rPr>
        <w:t>2.1147</w:t>
      </w:r>
      <w:r>
        <w:rPr>
          <w:rFonts w:hint="eastAsia" w:ascii="Times New Roman" w:hAnsi="Times New Roman" w:cs="Times New Roman" w:eastAsiaTheme="minorEastAsia"/>
          <w:caps w:val="0"/>
          <w:smallCaps w:val="0"/>
          <w:color w:val="000000"/>
          <w:sz w:val="24"/>
          <w:szCs w:val="24"/>
        </w:rPr>
        <w:t>万</w:t>
      </w:r>
      <w:r>
        <w:rPr>
          <w:rFonts w:ascii="Times New Roman" w:hAnsi="Times New Roman" w:cs="Times New Roman" w:eastAsiaTheme="minorEastAsia"/>
          <w:caps w:val="0"/>
          <w:smallCaps w:val="0"/>
          <w:color w:val="000000"/>
          <w:sz w:val="24"/>
          <w:szCs w:val="24"/>
        </w:rPr>
        <w:t>m</w:t>
      </w:r>
      <w:r>
        <w:rPr>
          <w:rFonts w:ascii="Times New Roman" w:hAnsi="Times New Roman" w:cs="Times New Roman" w:eastAsiaTheme="minorEastAsia"/>
          <w:caps w:val="0"/>
          <w:smallCaps w:val="0"/>
          <w:color w:val="000000"/>
          <w:sz w:val="24"/>
          <w:szCs w:val="24"/>
          <w:vertAlign w:val="superscript"/>
        </w:rPr>
        <w:t>3</w:t>
      </w:r>
      <w:r>
        <w:rPr>
          <w:rFonts w:hint="eastAsia" w:ascii="Times New Roman" w:hAnsi="Times New Roman" w:cs="Times New Roman" w:eastAsiaTheme="minorEastAsia"/>
          <w:caps w:val="0"/>
          <w:smallCaps w:val="0"/>
          <w:color w:val="000000"/>
          <w:sz w:val="24"/>
          <w:szCs w:val="24"/>
        </w:rPr>
        <w:t>。</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hint="eastAsia" w:ascii="Times New Roman" w:hAnsi="Times New Roman" w:cs="Times New Roman" w:eastAsiaTheme="minorEastAsia"/>
          <w:b/>
          <w:caps w:val="0"/>
          <w:smallCaps w:val="0"/>
          <w:color w:val="000000"/>
          <w:sz w:val="24"/>
          <w:szCs w:val="24"/>
        </w:rPr>
        <w:t>2</w:t>
      </w:r>
      <w:r>
        <w:rPr>
          <w:rFonts w:ascii="Times New Roman" w:hAnsi="Times New Roman" w:cs="Times New Roman" w:eastAsiaTheme="minorEastAsia"/>
          <w:b/>
          <w:caps w:val="0"/>
          <w:smallCaps w:val="0"/>
          <w:color w:val="000000"/>
          <w:sz w:val="24"/>
          <w:szCs w:val="24"/>
        </w:rPr>
        <w:t>、桩基钻渣</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本次提质改造需在</w:t>
      </w:r>
      <w:r>
        <w:rPr>
          <w:rFonts w:hint="eastAsia" w:ascii="Times New Roman" w:hAnsi="Times New Roman" w:cs="Times New Roman" w:eastAsiaTheme="minorEastAsia"/>
          <w:caps w:val="0"/>
          <w:smallCaps w:val="0"/>
          <w:color w:val="000000"/>
          <w:sz w:val="24"/>
          <w:szCs w:val="24"/>
        </w:rPr>
        <w:t>6</w:t>
      </w:r>
      <w:r>
        <w:rPr>
          <w:rFonts w:ascii="Times New Roman" w:hAnsi="Times New Roman" w:cs="Times New Roman" w:eastAsiaTheme="minorEastAsia"/>
          <w:caps w:val="0"/>
          <w:smallCaps w:val="0"/>
          <w:color w:val="000000"/>
          <w:sz w:val="24"/>
          <w:szCs w:val="24"/>
        </w:rPr>
        <w:t>处撑杆墩设置直径</w:t>
      </w:r>
      <w:r>
        <w:rPr>
          <w:rFonts w:hint="eastAsia" w:ascii="Times New Roman" w:hAnsi="Times New Roman" w:cs="Times New Roman" w:eastAsiaTheme="minorEastAsia"/>
          <w:caps w:val="0"/>
          <w:smallCaps w:val="0"/>
          <w:color w:val="000000"/>
          <w:sz w:val="24"/>
          <w:szCs w:val="24"/>
        </w:rPr>
        <w:t>1.2</w:t>
      </w:r>
      <w:r>
        <w:rPr>
          <w:rFonts w:ascii="Times New Roman" w:hAnsi="Times New Roman" w:cs="Times New Roman" w:eastAsiaTheme="minorEastAsia"/>
          <w:caps w:val="0"/>
          <w:smallCaps w:val="0"/>
          <w:color w:val="000000"/>
          <w:sz w:val="24"/>
          <w:szCs w:val="24"/>
        </w:rPr>
        <w:t>m钻孔灌注桩共</w:t>
      </w:r>
      <w:r>
        <w:rPr>
          <w:rFonts w:hint="eastAsia" w:ascii="Times New Roman" w:hAnsi="Times New Roman" w:cs="Times New Roman" w:eastAsiaTheme="minorEastAsia"/>
          <w:caps w:val="0"/>
          <w:smallCaps w:val="0"/>
          <w:color w:val="000000"/>
          <w:sz w:val="24"/>
          <w:szCs w:val="24"/>
        </w:rPr>
        <w:t>22</w:t>
      </w:r>
      <w:r>
        <w:rPr>
          <w:rFonts w:ascii="Times New Roman" w:hAnsi="Times New Roman" w:cs="Times New Roman" w:eastAsiaTheme="minorEastAsia"/>
          <w:caps w:val="0"/>
          <w:smallCaps w:val="0"/>
          <w:color w:val="000000"/>
          <w:sz w:val="24"/>
          <w:szCs w:val="24"/>
        </w:rPr>
        <w:t>根，埋深</w:t>
      </w:r>
      <w:r>
        <w:rPr>
          <w:rFonts w:hint="eastAsia" w:ascii="Times New Roman" w:hAnsi="Times New Roman" w:cs="Times New Roman" w:eastAsiaTheme="minorEastAsia"/>
          <w:caps w:val="0"/>
          <w:smallCaps w:val="0"/>
          <w:color w:val="000000"/>
          <w:sz w:val="24"/>
          <w:szCs w:val="24"/>
        </w:rPr>
        <w:t>平均</w:t>
      </w:r>
      <w:r>
        <w:rPr>
          <w:rFonts w:ascii="Times New Roman" w:hAnsi="Times New Roman" w:cs="Times New Roman" w:eastAsiaTheme="minorEastAsia"/>
          <w:caps w:val="0"/>
          <w:smallCaps w:val="0"/>
          <w:color w:val="000000"/>
          <w:sz w:val="24"/>
          <w:szCs w:val="24"/>
        </w:rPr>
        <w:t>约3</w:t>
      </w:r>
      <w:r>
        <w:rPr>
          <w:rFonts w:hint="eastAsia" w:ascii="Times New Roman" w:hAnsi="Times New Roman" w:cs="Times New Roman" w:eastAsiaTheme="minorEastAsia"/>
          <w:caps w:val="0"/>
          <w:smallCaps w:val="0"/>
          <w:color w:val="000000"/>
          <w:sz w:val="24"/>
          <w:szCs w:val="24"/>
        </w:rPr>
        <w:t>0</w:t>
      </w:r>
      <w:r>
        <w:rPr>
          <w:rFonts w:ascii="Times New Roman" w:hAnsi="Times New Roman" w:cs="Times New Roman" w:eastAsiaTheme="minorEastAsia"/>
          <w:caps w:val="0"/>
          <w:smallCaps w:val="0"/>
          <w:color w:val="000000"/>
          <w:sz w:val="24"/>
          <w:szCs w:val="24"/>
        </w:rPr>
        <w:t>m；据此，产生桩基钻渣约</w:t>
      </w:r>
      <w:r>
        <w:rPr>
          <w:rFonts w:hint="eastAsia" w:ascii="Times New Roman" w:hAnsi="Times New Roman" w:cs="Times New Roman" w:eastAsiaTheme="minorEastAsia"/>
          <w:caps w:val="0"/>
          <w:smallCaps w:val="0"/>
          <w:color w:val="000000"/>
          <w:sz w:val="24"/>
          <w:szCs w:val="24"/>
        </w:rPr>
        <w:t>746</w:t>
      </w:r>
      <w:r>
        <w:rPr>
          <w:rFonts w:ascii="Times New Roman" w:hAnsi="Times New Roman" w:cs="Times New Roman" w:eastAsiaTheme="minorEastAsia"/>
          <w:caps w:val="0"/>
          <w:smallCaps w:val="0"/>
          <w:color w:val="000000"/>
          <w:sz w:val="24"/>
          <w:szCs w:val="24"/>
        </w:rPr>
        <w:t>m</w:t>
      </w:r>
      <w:r>
        <w:rPr>
          <w:rFonts w:ascii="Times New Roman" w:hAnsi="Times New Roman" w:cs="Times New Roman" w:eastAsiaTheme="minorEastAsia"/>
          <w:caps w:val="0"/>
          <w:smallCaps w:val="0"/>
          <w:color w:val="000000"/>
          <w:sz w:val="24"/>
          <w:szCs w:val="24"/>
          <w:vertAlign w:val="superscript"/>
        </w:rPr>
        <w:t>3</w:t>
      </w:r>
      <w:r>
        <w:rPr>
          <w:rFonts w:ascii="Times New Roman" w:hAnsi="Times New Roman" w:cs="Times New Roman" w:eastAsiaTheme="minorEastAsia"/>
          <w:caps w:val="0"/>
          <w:smallCaps w:val="0"/>
          <w:color w:val="000000"/>
          <w:sz w:val="24"/>
          <w:szCs w:val="24"/>
        </w:rPr>
        <w:t>。</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hint="eastAsia" w:ascii="Times New Roman" w:hAnsi="Times New Roman" w:cs="Times New Roman" w:eastAsiaTheme="minorEastAsia"/>
          <w:b/>
          <w:caps w:val="0"/>
          <w:smallCaps w:val="0"/>
          <w:color w:val="000000"/>
          <w:sz w:val="24"/>
          <w:szCs w:val="24"/>
        </w:rPr>
        <w:t>3</w:t>
      </w:r>
      <w:r>
        <w:rPr>
          <w:rFonts w:ascii="Times New Roman" w:hAnsi="Times New Roman" w:cs="Times New Roman" w:eastAsiaTheme="minorEastAsia"/>
          <w:b/>
          <w:caps w:val="0"/>
          <w:smallCaps w:val="0"/>
          <w:color w:val="000000"/>
          <w:sz w:val="24"/>
          <w:szCs w:val="24"/>
        </w:rPr>
        <w:t>、施工建筑垃圾</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根据国内港口建设项目施工现场调查资料估算，项目码头施工建筑垃圾发生总量约为</w:t>
      </w:r>
      <w:r>
        <w:rPr>
          <w:rFonts w:hint="eastAsia" w:ascii="Times New Roman" w:hAnsi="Times New Roman" w:cs="Times New Roman" w:eastAsiaTheme="minorEastAsia"/>
          <w:caps w:val="0"/>
          <w:smallCaps w:val="0"/>
          <w:color w:val="000000"/>
          <w:sz w:val="24"/>
          <w:szCs w:val="24"/>
        </w:rPr>
        <w:t>39.38</w:t>
      </w:r>
      <w:r>
        <w:rPr>
          <w:rFonts w:ascii="Times New Roman" w:hAnsi="Times New Roman" w:cs="Times New Roman" w:eastAsiaTheme="minorEastAsia"/>
          <w:caps w:val="0"/>
          <w:smallCaps w:val="0"/>
          <w:color w:val="000000"/>
          <w:sz w:val="24"/>
          <w:szCs w:val="24"/>
        </w:rPr>
        <w:t>t。管线施工过程焊接作业中产生废焊条、防腐作业中产生废防腐材料，一般由施工单位当天清理带走。</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5、生活垃圾</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施工期施工人员按</w:t>
      </w:r>
      <w:r>
        <w:rPr>
          <w:rFonts w:hint="eastAsia" w:ascii="Times New Roman" w:hAnsi="Times New Roman" w:cs="Times New Roman" w:eastAsiaTheme="minorEastAsia"/>
          <w:caps w:val="0"/>
          <w:smallCaps w:val="0"/>
          <w:color w:val="000000"/>
          <w:sz w:val="24"/>
          <w:szCs w:val="24"/>
        </w:rPr>
        <w:t>30</w:t>
      </w:r>
      <w:r>
        <w:rPr>
          <w:rFonts w:ascii="Times New Roman" w:hAnsi="Times New Roman" w:cs="Times New Roman" w:eastAsiaTheme="minorEastAsia"/>
          <w:caps w:val="0"/>
          <w:smallCaps w:val="0"/>
          <w:color w:val="000000"/>
          <w:sz w:val="24"/>
          <w:szCs w:val="24"/>
        </w:rPr>
        <w:t>人/天计算，人均生活垃圾发生量按1.0kg/天估算，施工期生活垃圾发生量为0.0</w:t>
      </w:r>
      <w:r>
        <w:rPr>
          <w:rFonts w:hint="eastAsia" w:ascii="Times New Roman" w:hAnsi="Times New Roman" w:cs="Times New Roman" w:eastAsiaTheme="minorEastAsia"/>
          <w:caps w:val="0"/>
          <w:smallCaps w:val="0"/>
          <w:color w:val="000000"/>
          <w:sz w:val="24"/>
          <w:szCs w:val="24"/>
        </w:rPr>
        <w:t>3</w:t>
      </w:r>
      <w:r>
        <w:rPr>
          <w:rFonts w:ascii="Times New Roman" w:hAnsi="Times New Roman" w:cs="Times New Roman" w:eastAsiaTheme="minorEastAsia"/>
          <w:caps w:val="0"/>
          <w:smallCaps w:val="0"/>
          <w:color w:val="000000"/>
          <w:sz w:val="24"/>
          <w:szCs w:val="24"/>
        </w:rPr>
        <w:t>t/d，工程施工期为</w:t>
      </w:r>
      <w:r>
        <w:rPr>
          <w:rFonts w:hint="eastAsia" w:ascii="Times New Roman" w:hAnsi="Times New Roman" w:cs="Times New Roman" w:eastAsiaTheme="minorEastAsia"/>
          <w:caps w:val="0"/>
          <w:smallCaps w:val="0"/>
          <w:color w:val="000000"/>
          <w:sz w:val="24"/>
          <w:szCs w:val="24"/>
        </w:rPr>
        <w:t>3</w:t>
      </w:r>
      <w:r>
        <w:rPr>
          <w:rFonts w:ascii="Times New Roman" w:hAnsi="Times New Roman" w:cs="Times New Roman" w:eastAsiaTheme="minorEastAsia"/>
          <w:caps w:val="0"/>
          <w:smallCaps w:val="0"/>
          <w:color w:val="000000"/>
          <w:sz w:val="24"/>
          <w:szCs w:val="24"/>
        </w:rPr>
        <w:t>个月，则整个施工期生活垃圾发生量为</w:t>
      </w:r>
      <w:r>
        <w:rPr>
          <w:rFonts w:hint="eastAsia" w:ascii="Times New Roman" w:hAnsi="Times New Roman" w:cs="Times New Roman" w:eastAsiaTheme="minorEastAsia"/>
          <w:caps w:val="0"/>
          <w:smallCaps w:val="0"/>
          <w:color w:val="000000"/>
          <w:sz w:val="24"/>
          <w:szCs w:val="24"/>
        </w:rPr>
        <w:t>2.7</w:t>
      </w:r>
      <w:r>
        <w:rPr>
          <w:rFonts w:ascii="Times New Roman" w:hAnsi="Times New Roman" w:cs="Times New Roman" w:eastAsiaTheme="minorEastAsia"/>
          <w:caps w:val="0"/>
          <w:smallCaps w:val="0"/>
          <w:color w:val="000000"/>
          <w:sz w:val="24"/>
          <w:szCs w:val="24"/>
        </w:rPr>
        <w:t>t。</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生态环境影响</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码头建造时，施工作业产生的悬浮泥沙、施工船只以及其它施工机械排放的油污水、生活污水的排放会对水生生态造成一定程度的污染。</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施工过程中施工区域及邻近江段中的鱼类将受到惊吓而远离施工现场。</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营运期污染源分析</w:t>
      </w:r>
    </w:p>
    <w:p>
      <w:pPr>
        <w:autoSpaceDE w:val="0"/>
        <w:autoSpaceDN w:val="0"/>
        <w:spacing w:line="360" w:lineRule="auto"/>
        <w:ind w:firstLine="480" w:firstLineChars="200"/>
        <w:jc w:val="left"/>
        <w:rPr>
          <w:rFonts w:ascii="Times New Roman" w:hAnsi="Times New Roman" w:cs="Times New Roman" w:eastAsiaTheme="minorEastAsia"/>
          <w:caps w:val="0"/>
          <w:smallCaps w:val="0"/>
          <w:color w:val="000000"/>
          <w:sz w:val="24"/>
          <w:szCs w:val="24"/>
          <w:u w:val="none"/>
        </w:rPr>
      </w:pPr>
      <w:r>
        <w:rPr>
          <w:rFonts w:ascii="Times New Roman" w:hAnsi="Times New Roman" w:cs="Times New Roman"/>
          <w:caps w:val="0"/>
          <w:smallCaps w:val="0"/>
          <w:kern w:val="0"/>
          <w:sz w:val="24"/>
          <w:u w:val="none"/>
        </w:rPr>
        <w:t>本报告只针对码头</w:t>
      </w:r>
      <w:r>
        <w:rPr>
          <w:rFonts w:hint="eastAsia" w:ascii="Times New Roman" w:hAnsi="Times New Roman" w:cs="Times New Roman"/>
          <w:caps w:val="0"/>
          <w:smallCaps w:val="0"/>
          <w:kern w:val="0"/>
          <w:sz w:val="24"/>
          <w:u w:val="none"/>
        </w:rPr>
        <w:t>工</w:t>
      </w:r>
      <w:r>
        <w:rPr>
          <w:rFonts w:ascii="Times New Roman" w:hAnsi="Times New Roman" w:cs="Times New Roman"/>
          <w:caps w:val="0"/>
          <w:smallCaps w:val="0"/>
          <w:kern w:val="0"/>
          <w:sz w:val="24"/>
          <w:u w:val="none"/>
        </w:rPr>
        <w:t>程进行环境影响评价，不涉及后方库区的评价内容，因此不考虑后方库区贮罐</w:t>
      </w:r>
      <w:r>
        <w:rPr>
          <w:rFonts w:hint="eastAsia" w:ascii="Times New Roman" w:hAnsi="Times New Roman" w:cs="Times New Roman"/>
          <w:caps w:val="0"/>
          <w:smallCaps w:val="0"/>
          <w:kern w:val="0"/>
          <w:sz w:val="24"/>
          <w:u w:val="none"/>
          <w:lang w:eastAsia="zh-CN"/>
        </w:rPr>
        <w:t>、</w:t>
      </w:r>
      <w:r>
        <w:rPr>
          <w:rFonts w:hint="eastAsia" w:ascii="Times New Roman" w:hAnsi="Times New Roman" w:cs="Times New Roman"/>
          <w:caps w:val="0"/>
          <w:smallCaps w:val="0"/>
          <w:kern w:val="0"/>
          <w:sz w:val="24"/>
          <w:u w:val="none"/>
          <w:lang w:val="en-US" w:eastAsia="zh-CN"/>
        </w:rPr>
        <w:t>锅炉</w:t>
      </w:r>
      <w:r>
        <w:rPr>
          <w:rFonts w:hint="eastAsia" w:ascii="Times New Roman" w:hAnsi="Times New Roman" w:cs="Times New Roman"/>
          <w:caps w:val="0"/>
          <w:smallCaps w:val="0"/>
          <w:kern w:val="0"/>
          <w:sz w:val="24"/>
          <w:u w:val="none"/>
          <w:lang w:eastAsia="zh-CN"/>
        </w:rPr>
        <w:t>、</w:t>
      </w:r>
      <w:r>
        <w:rPr>
          <w:rFonts w:hint="eastAsia" w:ascii="Times New Roman" w:hAnsi="Times New Roman" w:cs="Times New Roman"/>
          <w:caps w:val="0"/>
          <w:smallCaps w:val="0"/>
          <w:kern w:val="0"/>
          <w:sz w:val="24"/>
          <w:u w:val="none"/>
          <w:lang w:val="en-US" w:eastAsia="zh-CN"/>
        </w:rPr>
        <w:t>污水池等</w:t>
      </w:r>
      <w:r>
        <w:rPr>
          <w:rFonts w:ascii="Times New Roman" w:hAnsi="Times New Roman" w:cs="Times New Roman"/>
          <w:caps w:val="0"/>
          <w:smallCaps w:val="0"/>
          <w:kern w:val="0"/>
          <w:sz w:val="24"/>
          <w:u w:val="none"/>
        </w:rPr>
        <w:t>污染源。</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废水</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本项目产生的废水主要为船舶废水（船舶舱底油污水、船舶生活污水）、趸船冲洗废水以及码头员工生活污水。</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1、船舶废水</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hint="eastAsia" w:ascii="Times New Roman" w:hAnsi="Times New Roman" w:cs="Times New Roman"/>
          <w:caps w:val="0"/>
          <w:smallCaps w:val="0"/>
          <w:color w:val="000000"/>
          <w:sz w:val="24"/>
          <w:szCs w:val="24"/>
          <w:u w:val="single"/>
        </w:rPr>
        <w:t>⑴</w:t>
      </w:r>
      <w:r>
        <w:rPr>
          <w:rFonts w:ascii="Times New Roman" w:hAnsi="Times New Roman" w:cs="Times New Roman" w:eastAsiaTheme="minorEastAsia"/>
          <w:caps w:val="0"/>
          <w:smallCaps w:val="0"/>
          <w:color w:val="000000"/>
          <w:sz w:val="24"/>
          <w:szCs w:val="24"/>
          <w:u w:val="single"/>
        </w:rPr>
        <w:t>船舶舱底油污水</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u w:val="single"/>
        </w:rPr>
      </w:pPr>
      <w:r>
        <w:rPr>
          <w:rFonts w:hint="eastAsia" w:ascii="Times New Roman" w:hAnsi="Times New Roman" w:cs="Times New Roman" w:eastAsiaTheme="minorEastAsia"/>
          <w:caps w:val="0"/>
          <w:smallCaps w:val="0"/>
          <w:color w:val="000000"/>
          <w:sz w:val="24"/>
          <w:szCs w:val="24"/>
          <w:u w:val="single"/>
        </w:rPr>
        <w:t>船舶机舱水是由于机舱内各种阀件和管路中漏出的水与轮机在运转过程中的润滑油、燃烧油等混合在一起的污油水。其水量与船舶的新旧有关，还与航行、停泊作业时间的长短和维修及管理状况有关。根据《海洋与港口船舶防污染技术》中内容可知，机舱水每天产生量一般为该船总吨位的0.02%-0.05%左右，本项目取平均值0.035%计，则船舶含油污水产生量为0.</w:t>
      </w:r>
      <w:r>
        <w:rPr>
          <w:rFonts w:hint="eastAsia" w:ascii="Times New Roman" w:hAnsi="Times New Roman" w:cs="Times New Roman" w:eastAsiaTheme="minorEastAsia"/>
          <w:caps w:val="0"/>
          <w:smallCaps w:val="0"/>
          <w:color w:val="000000"/>
          <w:sz w:val="24"/>
          <w:szCs w:val="24"/>
          <w:u w:val="single"/>
          <w:lang w:val="en-US" w:eastAsia="zh-CN"/>
        </w:rPr>
        <w:t>96</w:t>
      </w:r>
      <w:r>
        <w:rPr>
          <w:rFonts w:hint="eastAsia" w:ascii="Times New Roman" w:hAnsi="Times New Roman" w:cs="Times New Roman" w:eastAsiaTheme="minorEastAsia"/>
          <w:caps w:val="0"/>
          <w:smallCaps w:val="0"/>
          <w:color w:val="000000"/>
          <w:sz w:val="24"/>
          <w:szCs w:val="24"/>
          <w:u w:val="single"/>
        </w:rPr>
        <w:t>t/d（231t/a）。船舶机舱水水质较为复杂，它是多种油类的混合物含油量一般在5000mg/L左右，经到港船舶含油废水处理系统油水分离器处理后，含油废水经到港船舶自备的油水分离器隔油处理后排入趸船含油废水储</w:t>
      </w:r>
      <w:r>
        <w:rPr>
          <w:rFonts w:hint="eastAsia" w:ascii="Times New Roman" w:hAnsi="Times New Roman" w:cs="Times New Roman" w:eastAsiaTheme="minorEastAsia"/>
          <w:caps w:val="0"/>
          <w:smallCaps w:val="0"/>
          <w:color w:val="000000"/>
          <w:sz w:val="24"/>
          <w:szCs w:val="24"/>
          <w:u w:val="single"/>
          <w:lang w:eastAsia="zh-CN"/>
        </w:rPr>
        <w:t>仓</w:t>
      </w:r>
      <w:r>
        <w:rPr>
          <w:rFonts w:hint="eastAsia" w:ascii="Times New Roman" w:hAnsi="Times New Roman" w:cs="Times New Roman" w:eastAsiaTheme="minorEastAsia"/>
          <w:caps w:val="0"/>
          <w:smallCaps w:val="0"/>
          <w:color w:val="000000"/>
          <w:sz w:val="24"/>
          <w:szCs w:val="24"/>
          <w:u w:val="single"/>
        </w:rPr>
        <w:t>，定期由海事部门环保船接收处理。废油渣由专用油桶收集后交有资质单位处理。</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caps w:val="0"/>
          <w:smallCaps w:val="0"/>
          <w:color w:val="000000"/>
          <w:sz w:val="24"/>
          <w:szCs w:val="24"/>
        </w:rPr>
        <w:t>⑵</w:t>
      </w:r>
      <w:r>
        <w:rPr>
          <w:rFonts w:ascii="Times New Roman" w:hAnsi="Times New Roman" w:cs="Times New Roman" w:eastAsiaTheme="minorEastAsia"/>
          <w:caps w:val="0"/>
          <w:smallCaps w:val="0"/>
          <w:color w:val="000000"/>
          <w:sz w:val="24"/>
          <w:szCs w:val="24"/>
        </w:rPr>
        <w:t>船舶生活废水</w:t>
      </w:r>
    </w:p>
    <w:p>
      <w:pPr>
        <w:pStyle w:val="137"/>
        <w:spacing w:line="360" w:lineRule="auto"/>
        <w:ind w:firstLine="482"/>
        <w:rPr>
          <w:rFonts w:ascii="Times New Roman" w:hAnsi="Times New Roman" w:cs="Times New Roman"/>
          <w:caps w:val="0"/>
          <w:smallCaps w:val="0"/>
          <w:sz w:val="24"/>
          <w:szCs w:val="24"/>
        </w:rPr>
      </w:pPr>
      <w:r>
        <w:rPr>
          <w:rFonts w:hint="eastAsia" w:ascii="Times New Roman" w:hAnsi="Times New Roman" w:cs="Times New Roman"/>
          <w:caps w:val="0"/>
          <w:smallCaps w:val="0"/>
          <w:sz w:val="24"/>
          <w:szCs w:val="24"/>
        </w:rPr>
        <w:t>本项目年最大货物吞吐量为25万吨，设计船型为2000吨级，则到港船只数为125艘，到港船舶按日平均0.5艘船计算，船员以6人/艘估算，用水量按145L/人•d计，则船舶员工生活用水量为0.435m</w:t>
      </w:r>
      <w:r>
        <w:rPr>
          <w:rFonts w:hint="eastAsia" w:ascii="Times New Roman" w:hAnsi="Times New Roman" w:cs="Times New Roman"/>
          <w:caps w:val="0"/>
          <w:smallCaps w:val="0"/>
          <w:sz w:val="24"/>
          <w:szCs w:val="24"/>
          <w:vertAlign w:val="superscript"/>
        </w:rPr>
        <w:t>3</w:t>
      </w:r>
      <w:r>
        <w:rPr>
          <w:rFonts w:hint="eastAsia" w:ascii="Times New Roman" w:hAnsi="Times New Roman" w:cs="Times New Roman"/>
          <w:caps w:val="0"/>
          <w:smallCaps w:val="0"/>
          <w:sz w:val="24"/>
          <w:szCs w:val="24"/>
        </w:rPr>
        <w:t>/d（108.75t/a）。生活污水排放量按用水量的80%计，则船舶员工生活污水的产生量为0.348t/d（87t/a），生活污水主要污染物为COD、SS、氨氮，COD、SS、氨氮平均产生浓度分别为350mg/L、150mg/L、30mg/L，产生量分别为0.03t/a，0.013t/a，0.0026t/a。生活污水经船舶自备生活污水处理装置处理后排入趸船生活污水</w:t>
      </w:r>
      <w:r>
        <w:rPr>
          <w:rFonts w:hint="eastAsia" w:ascii="Times New Roman" w:hAnsi="Times New Roman" w:cs="Times New Roman"/>
          <w:caps w:val="0"/>
          <w:smallCaps w:val="0"/>
          <w:sz w:val="24"/>
          <w:szCs w:val="24"/>
          <w:lang w:eastAsia="zh-CN"/>
        </w:rPr>
        <w:t>舱</w:t>
      </w:r>
      <w:r>
        <w:rPr>
          <w:rFonts w:hint="eastAsia" w:ascii="Times New Roman" w:hAnsi="Times New Roman" w:cs="Times New Roman"/>
          <w:caps w:val="0"/>
          <w:smallCaps w:val="0"/>
          <w:sz w:val="24"/>
          <w:szCs w:val="24"/>
        </w:rPr>
        <w:t>，定期由海事部门环保船接收处理。</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根据《1973年国际防止船舶造成污染公约及其1978议定》（交通部令2005年第11号）、《中华人民共和国防治船舶污染内河水域环境管理规定》（2006年1月1日），船舶生活废水不得在码头水域随意排放，船舶生活污水应在指定有处理能力的码头排放。</w:t>
      </w:r>
    </w:p>
    <w:p>
      <w:pPr>
        <w:spacing w:line="360" w:lineRule="auto"/>
        <w:ind w:firstLine="482" w:firstLineChars="200"/>
        <w:rPr>
          <w:rFonts w:hint="eastAsia" w:ascii="Times New Roman" w:hAnsi="Times New Roman" w:cs="Times New Roman" w:eastAsiaTheme="minorEastAsia"/>
          <w:b/>
          <w:caps w:val="0"/>
          <w:smallCaps w:val="0"/>
          <w:color w:val="000000"/>
          <w:sz w:val="24"/>
          <w:szCs w:val="24"/>
          <w:lang w:val="en-US" w:eastAsia="zh-CN"/>
        </w:rPr>
      </w:pPr>
      <w:r>
        <w:rPr>
          <w:rFonts w:hint="eastAsia" w:ascii="Times New Roman" w:hAnsi="Times New Roman" w:cs="Times New Roman" w:eastAsiaTheme="minorEastAsia"/>
          <w:b/>
          <w:caps w:val="0"/>
          <w:smallCaps w:val="0"/>
          <w:color w:val="000000"/>
          <w:sz w:val="24"/>
          <w:szCs w:val="24"/>
          <w:lang w:val="en-US" w:eastAsia="zh-CN"/>
        </w:rPr>
        <w:t>2、趸船冲洗水</w:t>
      </w:r>
    </w:p>
    <w:p>
      <w:pPr>
        <w:spacing w:line="360" w:lineRule="auto"/>
        <w:ind w:firstLine="480" w:firstLineChars="200"/>
        <w:rPr>
          <w:rFonts w:hint="eastAsia" w:ascii="Times New Roman" w:hAnsi="Times New Roman" w:cs="Times New Roman" w:eastAsiaTheme="minorEastAsia"/>
          <w:b/>
          <w:caps w:val="0"/>
          <w:smallCaps w:val="0"/>
          <w:color w:val="000000"/>
          <w:sz w:val="24"/>
          <w:szCs w:val="24"/>
          <w:u w:val="single"/>
          <w:lang w:eastAsia="zh-CN"/>
        </w:rPr>
      </w:pPr>
      <w:r>
        <w:rPr>
          <w:rFonts w:ascii="Times New Roman" w:hAnsi="Times New Roman" w:cs="Times New Roman"/>
          <w:caps w:val="0"/>
          <w:smallCaps w:val="0"/>
          <w:kern w:val="0"/>
          <w:sz w:val="24"/>
          <w:u w:val="single"/>
        </w:rPr>
        <w:t>本项目项目趸船面积</w:t>
      </w:r>
      <w:r>
        <w:rPr>
          <w:rFonts w:hint="eastAsia" w:ascii="Times New Roman" w:hAnsi="Times New Roman" w:cs="Times New Roman"/>
          <w:caps w:val="0"/>
          <w:smallCaps w:val="0"/>
          <w:kern w:val="0"/>
          <w:sz w:val="24"/>
          <w:u w:val="single"/>
          <w:lang w:val="en-US" w:eastAsia="zh-CN"/>
        </w:rPr>
        <w:t>720</w:t>
      </w:r>
      <w:r>
        <w:rPr>
          <w:rFonts w:ascii="Times New Roman" w:hAnsi="Times New Roman" w:cs="Times New Roman"/>
          <w:caps w:val="0"/>
          <w:smallCaps w:val="0"/>
          <w:kern w:val="0"/>
          <w:sz w:val="24"/>
          <w:u w:val="single"/>
        </w:rPr>
        <w:t>m</w:t>
      </w:r>
      <w:r>
        <w:rPr>
          <w:rFonts w:ascii="Times New Roman" w:hAnsi="Times New Roman" w:cs="Times New Roman"/>
          <w:caps w:val="0"/>
          <w:smallCaps w:val="0"/>
          <w:kern w:val="0"/>
          <w:sz w:val="24"/>
          <w:u w:val="single"/>
          <w:vertAlign w:val="superscript"/>
        </w:rPr>
        <w:t>2</w:t>
      </w:r>
      <w:r>
        <w:rPr>
          <w:rFonts w:ascii="Times New Roman" w:hAnsi="Times New Roman" w:cs="Times New Roman"/>
          <w:caps w:val="0"/>
          <w:smallCaps w:val="0"/>
          <w:kern w:val="0"/>
          <w:sz w:val="24"/>
          <w:u w:val="single"/>
        </w:rPr>
        <w:t>，其地面的冲洗水按照2m</w:t>
      </w:r>
      <w:r>
        <w:rPr>
          <w:rFonts w:ascii="Times New Roman" w:hAnsi="Times New Roman" w:cs="Times New Roman"/>
          <w:caps w:val="0"/>
          <w:smallCaps w:val="0"/>
          <w:kern w:val="0"/>
          <w:sz w:val="24"/>
          <w:u w:val="single"/>
          <w:vertAlign w:val="superscript"/>
        </w:rPr>
        <w:t>3</w:t>
      </w:r>
      <w:r>
        <w:rPr>
          <w:rFonts w:ascii="Times New Roman" w:hAnsi="Times New Roman" w:cs="Times New Roman"/>
          <w:caps w:val="0"/>
          <w:smallCaps w:val="0"/>
          <w:kern w:val="0"/>
          <w:sz w:val="24"/>
          <w:u w:val="single"/>
        </w:rPr>
        <w:t>/d</w:t>
      </w:r>
      <w:r>
        <w:rPr>
          <w:rFonts w:hint="eastAsia" w:ascii="Times New Roman" w:hAnsi="Times New Roman" w:cs="Times New Roman"/>
          <w:caps w:val="0"/>
          <w:smallCaps w:val="0"/>
          <w:kern w:val="0"/>
          <w:sz w:val="24"/>
          <w:u w:val="single"/>
          <w:lang w:eastAsia="zh-CN"/>
        </w:rPr>
        <w:t>计</w:t>
      </w:r>
      <w:r>
        <w:rPr>
          <w:rFonts w:ascii="Times New Roman" w:hAnsi="Times New Roman" w:cs="Times New Roman"/>
          <w:caps w:val="0"/>
          <w:smallCaps w:val="0"/>
          <w:kern w:val="0"/>
          <w:sz w:val="24"/>
          <w:u w:val="single"/>
        </w:rPr>
        <w:t>，冲洗废水产生量为1.6m</w:t>
      </w:r>
      <w:r>
        <w:rPr>
          <w:rFonts w:ascii="Times New Roman" w:hAnsi="Times New Roman" w:cs="Times New Roman"/>
          <w:caps w:val="0"/>
          <w:smallCaps w:val="0"/>
          <w:kern w:val="0"/>
          <w:sz w:val="24"/>
          <w:u w:val="single"/>
          <w:vertAlign w:val="superscript"/>
        </w:rPr>
        <w:t>3</w:t>
      </w:r>
      <w:r>
        <w:rPr>
          <w:rFonts w:ascii="Times New Roman" w:hAnsi="Times New Roman" w:cs="Times New Roman"/>
          <w:caps w:val="0"/>
          <w:smallCaps w:val="0"/>
          <w:kern w:val="0"/>
          <w:sz w:val="24"/>
          <w:u w:val="single"/>
        </w:rPr>
        <w:t>/d</w:t>
      </w:r>
      <w:r>
        <w:rPr>
          <w:rFonts w:hint="eastAsia" w:ascii="Times New Roman" w:hAnsi="Times New Roman" w:cs="Times New Roman"/>
          <w:caps w:val="0"/>
          <w:smallCaps w:val="0"/>
          <w:kern w:val="0"/>
          <w:sz w:val="24"/>
          <w:u w:val="single"/>
          <w:lang w:eastAsia="zh-CN"/>
        </w:rPr>
        <w:t>（</w:t>
      </w:r>
      <w:r>
        <w:rPr>
          <w:rFonts w:hint="eastAsia" w:ascii="Times New Roman" w:hAnsi="Times New Roman" w:cs="Times New Roman"/>
          <w:caps w:val="0"/>
          <w:smallCaps w:val="0"/>
          <w:kern w:val="0"/>
          <w:sz w:val="24"/>
          <w:u w:val="single"/>
          <w:lang w:val="en-US" w:eastAsia="zh-CN"/>
        </w:rPr>
        <w:t>384</w:t>
      </w:r>
      <w:r>
        <w:rPr>
          <w:rFonts w:ascii="Times New Roman" w:hAnsi="Times New Roman" w:cs="Times New Roman"/>
          <w:caps w:val="0"/>
          <w:smallCaps w:val="0"/>
          <w:kern w:val="0"/>
          <w:sz w:val="24"/>
          <w:u w:val="single"/>
        </w:rPr>
        <w:t>m</w:t>
      </w:r>
      <w:r>
        <w:rPr>
          <w:rFonts w:ascii="Times New Roman" w:hAnsi="Times New Roman" w:cs="Times New Roman"/>
          <w:caps w:val="0"/>
          <w:smallCaps w:val="0"/>
          <w:kern w:val="0"/>
          <w:sz w:val="24"/>
          <w:u w:val="single"/>
          <w:vertAlign w:val="superscript"/>
        </w:rPr>
        <w:t>3</w:t>
      </w:r>
      <w:r>
        <w:rPr>
          <w:rFonts w:hint="eastAsia" w:ascii="Times New Roman" w:hAnsi="Times New Roman" w:cs="Times New Roman"/>
          <w:caps w:val="0"/>
          <w:smallCaps w:val="0"/>
          <w:kern w:val="0"/>
          <w:sz w:val="24"/>
          <w:u w:val="single"/>
          <w:lang w:val="en-US" w:eastAsia="zh-CN"/>
        </w:rPr>
        <w:t>/a</w:t>
      </w:r>
      <w:r>
        <w:rPr>
          <w:rFonts w:hint="eastAsia" w:ascii="Times New Roman" w:hAnsi="Times New Roman" w:cs="Times New Roman"/>
          <w:caps w:val="0"/>
          <w:smallCaps w:val="0"/>
          <w:kern w:val="0"/>
          <w:sz w:val="24"/>
          <w:u w:val="single"/>
          <w:lang w:eastAsia="zh-CN"/>
        </w:rPr>
        <w:t>），</w:t>
      </w:r>
      <w:r>
        <w:rPr>
          <w:rFonts w:hint="eastAsia" w:ascii="Times New Roman" w:hAnsi="Times New Roman" w:cs="Times New Roman"/>
          <w:caps w:val="0"/>
          <w:smallCaps w:val="0"/>
          <w:kern w:val="0"/>
          <w:sz w:val="24"/>
          <w:u w:val="single"/>
          <w:lang w:val="en-US" w:eastAsia="zh-CN"/>
        </w:rPr>
        <w:t>主要为石油类、SS，</w:t>
      </w:r>
      <w:r>
        <w:rPr>
          <w:rFonts w:hint="eastAsia" w:ascii="Times New Roman" w:hAnsi="Times New Roman" w:cs="Times New Roman"/>
          <w:caps w:val="0"/>
          <w:smallCaps w:val="0"/>
          <w:sz w:val="24"/>
          <w:szCs w:val="24"/>
          <w:u w:val="single"/>
        </w:rPr>
        <w:t>产生浓度分别为</w:t>
      </w:r>
      <w:r>
        <w:rPr>
          <w:rFonts w:hint="eastAsia" w:ascii="Times New Roman" w:hAnsi="Times New Roman" w:cs="Times New Roman"/>
          <w:caps w:val="0"/>
          <w:smallCaps w:val="0"/>
          <w:sz w:val="24"/>
          <w:szCs w:val="24"/>
          <w:u w:val="single"/>
          <w:lang w:val="en-US" w:eastAsia="zh-CN"/>
        </w:rPr>
        <w:t>15</w:t>
      </w:r>
      <w:r>
        <w:rPr>
          <w:rFonts w:hint="eastAsia" w:ascii="Times New Roman" w:hAnsi="Times New Roman" w:cs="Times New Roman"/>
          <w:caps w:val="0"/>
          <w:smallCaps w:val="0"/>
          <w:sz w:val="24"/>
          <w:szCs w:val="24"/>
          <w:u w:val="single"/>
        </w:rPr>
        <w:t>mg/L、150mg/L，产生量分别为0.0</w:t>
      </w:r>
      <w:r>
        <w:rPr>
          <w:rFonts w:hint="eastAsia" w:ascii="Times New Roman" w:hAnsi="Times New Roman" w:cs="Times New Roman"/>
          <w:caps w:val="0"/>
          <w:smallCaps w:val="0"/>
          <w:sz w:val="24"/>
          <w:szCs w:val="24"/>
          <w:u w:val="single"/>
          <w:lang w:val="en-US" w:eastAsia="zh-CN"/>
        </w:rPr>
        <w:t>58</w:t>
      </w:r>
      <w:r>
        <w:rPr>
          <w:rFonts w:hint="eastAsia" w:ascii="Times New Roman" w:hAnsi="Times New Roman" w:cs="Times New Roman"/>
          <w:caps w:val="0"/>
          <w:smallCaps w:val="0"/>
          <w:sz w:val="24"/>
          <w:szCs w:val="24"/>
          <w:u w:val="single"/>
        </w:rPr>
        <w:t>t/a，0.0</w:t>
      </w:r>
      <w:r>
        <w:rPr>
          <w:rFonts w:hint="eastAsia" w:ascii="Times New Roman" w:hAnsi="Times New Roman" w:cs="Times New Roman"/>
          <w:caps w:val="0"/>
          <w:smallCaps w:val="0"/>
          <w:sz w:val="24"/>
          <w:szCs w:val="24"/>
          <w:u w:val="single"/>
          <w:lang w:val="en-US" w:eastAsia="zh-CN"/>
        </w:rPr>
        <w:t>058</w:t>
      </w:r>
      <w:r>
        <w:rPr>
          <w:rFonts w:hint="eastAsia" w:ascii="Times New Roman" w:hAnsi="Times New Roman" w:cs="Times New Roman"/>
          <w:caps w:val="0"/>
          <w:smallCaps w:val="0"/>
          <w:sz w:val="24"/>
          <w:szCs w:val="24"/>
          <w:u w:val="single"/>
        </w:rPr>
        <w:t>t/a</w:t>
      </w:r>
      <w:r>
        <w:rPr>
          <w:rFonts w:ascii="Times New Roman" w:hAnsi="Times New Roman" w:cs="Times New Roman"/>
          <w:caps w:val="0"/>
          <w:smallCaps w:val="0"/>
          <w:kern w:val="0"/>
          <w:sz w:val="24"/>
          <w:u w:val="single"/>
        </w:rPr>
        <w:t>。冲洗废水经趸船设置的环形地沟收集</w:t>
      </w:r>
      <w:r>
        <w:rPr>
          <w:rFonts w:hint="eastAsia" w:ascii="Times New Roman" w:hAnsi="Times New Roman" w:cs="Times New Roman"/>
          <w:caps w:val="0"/>
          <w:smallCaps w:val="0"/>
          <w:kern w:val="0"/>
          <w:sz w:val="24"/>
          <w:u w:val="single"/>
          <w:lang w:eastAsia="zh-CN"/>
        </w:rPr>
        <w:t>入污水仓</w:t>
      </w:r>
      <w:r>
        <w:rPr>
          <w:rFonts w:ascii="Times New Roman" w:hAnsi="Times New Roman" w:cs="Times New Roman"/>
          <w:caps w:val="0"/>
          <w:smallCaps w:val="0"/>
          <w:kern w:val="0"/>
          <w:sz w:val="24"/>
          <w:u w:val="single"/>
        </w:rPr>
        <w:t>后，</w:t>
      </w:r>
      <w:r>
        <w:rPr>
          <w:rFonts w:hint="eastAsia" w:ascii="Times New Roman" w:hAnsi="Times New Roman" w:cs="Times New Roman"/>
          <w:caps w:val="0"/>
          <w:smallCaps w:val="0"/>
          <w:kern w:val="0"/>
          <w:sz w:val="24"/>
          <w:u w:val="single"/>
          <w:lang w:eastAsia="zh-CN"/>
        </w:rPr>
        <w:t>定期交</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海事部门的环</w:t>
      </w:r>
      <w:r>
        <w:rPr>
          <w:rFonts w:ascii="Times New Roman" w:hAnsi="Times New Roman" w:cs="Times New Roman" w:eastAsiaTheme="minorEastAsia"/>
          <w:caps w:val="0"/>
          <w:smallCaps w:val="0"/>
          <w:color w:val="000000"/>
          <w:sz w:val="24"/>
          <w:szCs w:val="24"/>
          <w:u w:val="single"/>
        </w:rPr>
        <w:t>保船接收处理</w:t>
      </w:r>
      <w:r>
        <w:rPr>
          <w:rFonts w:hint="eastAsia" w:ascii="Times New Roman" w:hAnsi="Times New Roman" w:cs="Times New Roman" w:eastAsiaTheme="minorEastAsia"/>
          <w:caps w:val="0"/>
          <w:smallCaps w:val="0"/>
          <w:color w:val="000000"/>
          <w:sz w:val="24"/>
          <w:szCs w:val="24"/>
          <w:u w:val="single"/>
          <w:lang w:eastAsia="zh-CN"/>
        </w:rPr>
        <w:t>。</w:t>
      </w:r>
    </w:p>
    <w:p>
      <w:pPr>
        <w:spacing w:line="360" w:lineRule="auto"/>
        <w:ind w:firstLine="482" w:firstLineChars="200"/>
        <w:rPr>
          <w:rFonts w:ascii="Times New Roman" w:hAnsi="Times New Roman" w:cs="Times New Roman" w:eastAsiaTheme="minorEastAsia"/>
          <w:b/>
          <w:caps w:val="0"/>
          <w:smallCaps w:val="0"/>
          <w:color w:val="000000"/>
          <w:sz w:val="24"/>
          <w:szCs w:val="24"/>
        </w:rPr>
      </w:pPr>
      <w:r>
        <w:rPr>
          <w:rFonts w:hint="eastAsia" w:ascii="Times New Roman" w:hAnsi="Times New Roman" w:cs="Times New Roman" w:eastAsiaTheme="minorEastAsia"/>
          <w:b/>
          <w:caps w:val="0"/>
          <w:smallCaps w:val="0"/>
          <w:color w:val="000000"/>
          <w:sz w:val="24"/>
          <w:szCs w:val="24"/>
          <w:lang w:val="en-US" w:eastAsia="zh-CN"/>
        </w:rPr>
        <w:t>3、</w:t>
      </w:r>
      <w:r>
        <w:rPr>
          <w:rFonts w:ascii="Times New Roman" w:hAnsi="Times New Roman" w:cs="Times New Roman" w:eastAsiaTheme="minorEastAsia"/>
          <w:b/>
          <w:caps w:val="0"/>
          <w:smallCaps w:val="0"/>
          <w:color w:val="000000"/>
          <w:sz w:val="24"/>
          <w:szCs w:val="24"/>
        </w:rPr>
        <w:t>员工生活污水</w:t>
      </w:r>
    </w:p>
    <w:p>
      <w:pPr>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lang w:eastAsia="zh-CN"/>
        </w:rPr>
        <w:t>趸船上不设置厕所，员工利用库区厕所解决。</w:t>
      </w:r>
      <w:r>
        <w:rPr>
          <w:rFonts w:ascii="Times New Roman" w:hAnsi="Times New Roman" w:cs="Times New Roman" w:eastAsiaTheme="minorEastAsia"/>
          <w:caps w:val="0"/>
          <w:smallCaps w:val="0"/>
          <w:color w:val="000000"/>
          <w:sz w:val="24"/>
          <w:szCs w:val="24"/>
        </w:rPr>
        <w:t>劳动定员</w:t>
      </w:r>
      <w:r>
        <w:rPr>
          <w:rFonts w:hint="eastAsia" w:ascii="Times New Roman" w:hAnsi="Times New Roman" w:cs="Times New Roman" w:eastAsiaTheme="minorEastAsia"/>
          <w:caps w:val="0"/>
          <w:smallCaps w:val="0"/>
          <w:color w:val="000000"/>
          <w:sz w:val="24"/>
          <w:szCs w:val="24"/>
        </w:rPr>
        <w:t>15</w:t>
      </w:r>
      <w:r>
        <w:rPr>
          <w:rFonts w:ascii="Times New Roman" w:hAnsi="Times New Roman" w:cs="Times New Roman" w:eastAsiaTheme="minorEastAsia"/>
          <w:caps w:val="0"/>
          <w:smallCaps w:val="0"/>
          <w:color w:val="000000"/>
          <w:sz w:val="24"/>
          <w:szCs w:val="24"/>
        </w:rPr>
        <w:t>人，生活用水量取50L/d•人，生活用水量为</w:t>
      </w:r>
      <w:r>
        <w:rPr>
          <w:rFonts w:hint="eastAsia" w:ascii="Times New Roman" w:hAnsi="Times New Roman" w:cs="Times New Roman" w:eastAsiaTheme="minorEastAsia"/>
          <w:caps w:val="0"/>
          <w:smallCaps w:val="0"/>
          <w:color w:val="000000"/>
          <w:sz w:val="24"/>
          <w:szCs w:val="24"/>
        </w:rPr>
        <w:t>247.5</w:t>
      </w:r>
      <w:r>
        <w:rPr>
          <w:rFonts w:ascii="Times New Roman" w:hAnsi="Times New Roman" w:cs="Times New Roman" w:eastAsiaTheme="minorEastAsia"/>
          <w:caps w:val="0"/>
          <w:smallCaps w:val="0"/>
          <w:color w:val="000000"/>
          <w:sz w:val="24"/>
          <w:szCs w:val="24"/>
        </w:rPr>
        <w:t>m</w:t>
      </w:r>
      <w:r>
        <w:rPr>
          <w:rFonts w:ascii="Times New Roman" w:hAnsi="Times New Roman" w:cs="Times New Roman" w:eastAsiaTheme="minorEastAsia"/>
          <w:caps w:val="0"/>
          <w:smallCaps w:val="0"/>
          <w:color w:val="000000"/>
          <w:sz w:val="24"/>
          <w:szCs w:val="24"/>
          <w:vertAlign w:val="superscript"/>
        </w:rPr>
        <w:t>3</w:t>
      </w:r>
      <w:r>
        <w:rPr>
          <w:rFonts w:ascii="Times New Roman" w:hAnsi="Times New Roman" w:cs="Times New Roman" w:eastAsiaTheme="minorEastAsia"/>
          <w:caps w:val="0"/>
          <w:smallCaps w:val="0"/>
          <w:color w:val="000000"/>
          <w:sz w:val="24"/>
          <w:szCs w:val="24"/>
        </w:rPr>
        <w:t>/a，排污系数取0.8，生活污水排放量为</w:t>
      </w:r>
      <w:r>
        <w:rPr>
          <w:rFonts w:hint="eastAsia" w:ascii="Times New Roman" w:hAnsi="Times New Roman" w:cs="Times New Roman" w:eastAsiaTheme="minorEastAsia"/>
          <w:caps w:val="0"/>
          <w:smallCaps w:val="0"/>
          <w:color w:val="000000"/>
          <w:sz w:val="24"/>
          <w:szCs w:val="24"/>
        </w:rPr>
        <w:t>198</w:t>
      </w:r>
      <w:r>
        <w:rPr>
          <w:rFonts w:ascii="Times New Roman" w:hAnsi="Times New Roman" w:cs="Times New Roman" w:eastAsiaTheme="minorEastAsia"/>
          <w:caps w:val="0"/>
          <w:smallCaps w:val="0"/>
          <w:color w:val="000000"/>
          <w:sz w:val="24"/>
          <w:szCs w:val="24"/>
        </w:rPr>
        <w:t>m</w:t>
      </w:r>
      <w:r>
        <w:rPr>
          <w:rFonts w:ascii="Times New Roman" w:hAnsi="Times New Roman" w:cs="Times New Roman" w:eastAsiaTheme="minorEastAsia"/>
          <w:caps w:val="0"/>
          <w:smallCaps w:val="0"/>
          <w:color w:val="000000"/>
          <w:sz w:val="24"/>
          <w:szCs w:val="24"/>
          <w:vertAlign w:val="superscript"/>
        </w:rPr>
        <w:t>3</w:t>
      </w:r>
      <w:r>
        <w:rPr>
          <w:rFonts w:ascii="Times New Roman" w:hAnsi="Times New Roman" w:cs="Times New Roman" w:eastAsiaTheme="minorEastAsia"/>
          <w:caps w:val="0"/>
          <w:smallCaps w:val="0"/>
          <w:color w:val="000000"/>
          <w:sz w:val="24"/>
          <w:szCs w:val="24"/>
        </w:rPr>
        <w:t>/a，</w:t>
      </w:r>
      <w:r>
        <w:rPr>
          <w:rFonts w:hint="eastAsia" w:ascii="Times New Roman" w:hAnsi="Times New Roman" w:cs="Times New Roman" w:eastAsiaTheme="minorEastAsia"/>
          <w:caps w:val="0"/>
          <w:smallCaps w:val="0"/>
          <w:color w:val="000000"/>
          <w:sz w:val="24"/>
          <w:szCs w:val="24"/>
          <w:lang w:eastAsia="zh-CN"/>
        </w:rPr>
        <w:t>经化粪池处理后，送周边农田灌溉</w:t>
      </w:r>
      <w:r>
        <w:rPr>
          <w:rFonts w:ascii="Times New Roman" w:hAnsi="Times New Roman" w:cs="Times New Roman" w:eastAsiaTheme="minorEastAsia"/>
          <w:caps w:val="0"/>
          <w:smallCaps w:val="0"/>
          <w:color w:val="000000"/>
          <w:sz w:val="24"/>
          <w:szCs w:val="24"/>
        </w:rPr>
        <w:t>。</w:t>
      </w:r>
    </w:p>
    <w:p>
      <w:pPr>
        <w:spacing w:line="360" w:lineRule="auto"/>
        <w:ind w:firstLine="482" w:firstLineChars="200"/>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w:t>
      </w:r>
      <w:r>
        <w:rPr>
          <w:rFonts w:ascii="Times New Roman" w:hAnsi="Times New Roman" w:cs="Times New Roman" w:eastAsiaTheme="minorEastAsia"/>
          <w:b/>
          <w:caps w:val="0"/>
          <w:smallCaps w:val="0"/>
          <w:sz w:val="24"/>
          <w:szCs w:val="24"/>
          <w:lang w:val="zh-CN"/>
        </w:rPr>
        <w:t>3.</w:t>
      </w:r>
      <w:r>
        <w:rPr>
          <w:rFonts w:hint="eastAsia" w:cs="Times New Roman" w:eastAsiaTheme="minorEastAsia"/>
          <w:b/>
          <w:caps w:val="0"/>
          <w:smallCaps w:val="0"/>
          <w:sz w:val="24"/>
          <w:szCs w:val="24"/>
          <w:lang w:val="en-US" w:eastAsia="zh-CN"/>
        </w:rPr>
        <w:t>7</w:t>
      </w:r>
      <w:r>
        <w:rPr>
          <w:rFonts w:ascii="Times New Roman" w:hAnsi="Times New Roman" w:cs="Times New Roman" w:eastAsiaTheme="minorEastAsia"/>
          <w:b/>
          <w:caps w:val="0"/>
          <w:smallCaps w:val="0"/>
          <w:sz w:val="24"/>
          <w:szCs w:val="24"/>
          <w:lang w:val="zh-CN"/>
        </w:rPr>
        <w:t>-1</w:t>
      </w:r>
      <w:r>
        <w:rPr>
          <w:rFonts w:hint="eastAsia" w:cs="Times New Roman" w:eastAsiaTheme="minorEastAsia"/>
          <w:b/>
          <w:caps w:val="0"/>
          <w:smallCaps w:val="0"/>
          <w:sz w:val="24"/>
          <w:szCs w:val="24"/>
          <w:lang w:val="en-US" w:eastAsia="zh-CN"/>
        </w:rPr>
        <w:t>1</w:t>
      </w:r>
      <w:r>
        <w:rPr>
          <w:rFonts w:ascii="Times New Roman" w:hAnsi="Times New Roman" w:cs="Times New Roman" w:eastAsiaTheme="minorEastAsia"/>
          <w:b/>
          <w:caps w:val="0"/>
          <w:smallCaps w:val="0"/>
          <w:color w:val="000000"/>
          <w:sz w:val="24"/>
          <w:szCs w:val="24"/>
        </w:rPr>
        <w:t>港区生活废水产生源强</w:t>
      </w:r>
    </w:p>
    <w:tbl>
      <w:tblPr>
        <w:tblStyle w:val="71"/>
        <w:tblW w:w="5000" w:type="pct"/>
        <w:jc w:val="center"/>
        <w:tblLayout w:type="autofit"/>
        <w:tblCellMar>
          <w:top w:w="0" w:type="dxa"/>
          <w:left w:w="0" w:type="dxa"/>
          <w:bottom w:w="0" w:type="dxa"/>
          <w:right w:w="0" w:type="dxa"/>
        </w:tblCellMar>
      </w:tblPr>
      <w:tblGrid>
        <w:gridCol w:w="1183"/>
        <w:gridCol w:w="987"/>
        <w:gridCol w:w="769"/>
        <w:gridCol w:w="1099"/>
        <w:gridCol w:w="830"/>
        <w:gridCol w:w="1009"/>
        <w:gridCol w:w="690"/>
        <w:gridCol w:w="921"/>
        <w:gridCol w:w="690"/>
        <w:gridCol w:w="922"/>
      </w:tblGrid>
      <w:tr>
        <w:trPr>
          <w:trHeight w:val="340" w:hRule="atLeast"/>
          <w:jc w:val="center"/>
        </w:trPr>
        <w:tc>
          <w:tcPr>
            <w:tcW w:w="1207" w:type="dxa"/>
            <w:vMerge w:val="restart"/>
            <w:tcBorders>
              <w:top w:val="single" w:color="auto" w:sz="12" w:space="0"/>
              <w:left w:val="single" w:color="auto" w:sz="12" w:space="0"/>
              <w:bottom w:val="single" w:color="000000"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1007" w:type="dxa"/>
            <w:vMerge w:val="restart"/>
            <w:tcBorders>
              <w:top w:val="single" w:color="auto" w:sz="12" w:space="0"/>
              <w:left w:val="single" w:color="auto" w:sz="4"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废水量t/a</w:t>
            </w:r>
          </w:p>
        </w:tc>
        <w:tc>
          <w:tcPr>
            <w:tcW w:w="1907" w:type="dxa"/>
            <w:gridSpan w:val="2"/>
            <w:tcBorders>
              <w:top w:val="single" w:color="auto" w:sz="12" w:space="0"/>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w:t>
            </w:r>
          </w:p>
        </w:tc>
        <w:tc>
          <w:tcPr>
            <w:tcW w:w="1877" w:type="dxa"/>
            <w:gridSpan w:val="2"/>
            <w:tcBorders>
              <w:top w:val="single" w:color="auto" w:sz="12" w:space="0"/>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BOD5</w:t>
            </w:r>
          </w:p>
        </w:tc>
        <w:tc>
          <w:tcPr>
            <w:tcW w:w="1644" w:type="dxa"/>
            <w:gridSpan w:val="2"/>
            <w:tcBorders>
              <w:top w:val="single" w:color="auto" w:sz="12" w:space="0"/>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w:t>
            </w:r>
          </w:p>
        </w:tc>
        <w:tc>
          <w:tcPr>
            <w:tcW w:w="1644" w:type="dxa"/>
            <w:gridSpan w:val="2"/>
            <w:tcBorders>
              <w:top w:val="single" w:color="auto" w:sz="12" w:space="0"/>
              <w:left w:val="nil"/>
              <w:bottom w:val="single" w:color="auto" w:sz="4" w:space="0"/>
              <w:right w:val="single" w:color="auto" w:sz="12"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氨氮</w:t>
            </w:r>
          </w:p>
        </w:tc>
      </w:tr>
      <w:tr>
        <w:tblPrEx>
          <w:tblCellMar>
            <w:top w:w="0" w:type="dxa"/>
            <w:left w:w="0" w:type="dxa"/>
            <w:bottom w:w="0" w:type="dxa"/>
            <w:right w:w="0" w:type="dxa"/>
          </w:tblCellMar>
        </w:tblPrEx>
        <w:trPr>
          <w:trHeight w:val="340" w:hRule="atLeast"/>
          <w:jc w:val="center"/>
        </w:trPr>
        <w:tc>
          <w:tcPr>
            <w:tcW w:w="1207" w:type="dxa"/>
            <w:vMerge w:val="continue"/>
            <w:tcBorders>
              <w:top w:val="single" w:color="auto" w:sz="4" w:space="0"/>
              <w:left w:val="single" w:color="auto" w:sz="12" w:space="0"/>
              <w:bottom w:val="single" w:color="000000" w:sz="4" w:space="0"/>
              <w:right w:val="single" w:color="auto" w:sz="4" w:space="0"/>
            </w:tcBorders>
            <w:vAlign w:val="center"/>
          </w:tcPr>
          <w:p>
            <w:pPr>
              <w:pStyle w:val="117"/>
              <w:bidi w:val="0"/>
              <w:rPr>
                <w:rFonts w:ascii="Times New Roman" w:hAnsi="Times New Roman" w:cs="Times New Roman"/>
                <w:caps w:val="0"/>
                <w:smallCaps w:val="0"/>
              </w:rPr>
            </w:pPr>
          </w:p>
        </w:tc>
        <w:tc>
          <w:tcPr>
            <w:tcW w:w="1007" w:type="dxa"/>
            <w:vMerge w:val="continue"/>
            <w:tcBorders>
              <w:top w:val="single" w:color="auto" w:sz="4" w:space="0"/>
              <w:left w:val="single" w:color="auto" w:sz="4" w:space="0"/>
              <w:bottom w:val="single" w:color="auto" w:sz="4" w:space="0"/>
              <w:right w:val="single" w:color="auto" w:sz="4" w:space="0"/>
            </w:tcBorders>
            <w:vAlign w:val="center"/>
          </w:tcPr>
          <w:p>
            <w:pPr>
              <w:pStyle w:val="117"/>
              <w:bidi w:val="0"/>
              <w:rPr>
                <w:rFonts w:ascii="Times New Roman" w:hAnsi="Times New Roman" w:cs="Times New Roman"/>
                <w:caps w:val="0"/>
                <w:smallCaps w:val="0"/>
              </w:rPr>
            </w:pPr>
          </w:p>
        </w:tc>
        <w:tc>
          <w:tcPr>
            <w:tcW w:w="78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1122"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t/a</w:t>
            </w:r>
          </w:p>
        </w:tc>
        <w:tc>
          <w:tcPr>
            <w:tcW w:w="847"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1030"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t/a</w:t>
            </w:r>
          </w:p>
        </w:tc>
        <w:tc>
          <w:tcPr>
            <w:tcW w:w="704"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940"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t/a</w:t>
            </w:r>
          </w:p>
        </w:tc>
        <w:tc>
          <w:tcPr>
            <w:tcW w:w="704"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mg/L</w:t>
            </w:r>
          </w:p>
        </w:tc>
        <w:tc>
          <w:tcPr>
            <w:tcW w:w="940" w:type="dxa"/>
            <w:tcBorders>
              <w:top w:val="nil"/>
              <w:left w:val="nil"/>
              <w:bottom w:val="single" w:color="auto" w:sz="4" w:space="0"/>
              <w:right w:val="single" w:color="auto" w:sz="12"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t/a</w:t>
            </w:r>
          </w:p>
        </w:tc>
      </w:tr>
      <w:tr>
        <w:tblPrEx>
          <w:tblCellMar>
            <w:top w:w="0" w:type="dxa"/>
            <w:left w:w="0" w:type="dxa"/>
            <w:bottom w:w="0" w:type="dxa"/>
            <w:right w:w="0" w:type="dxa"/>
          </w:tblCellMar>
        </w:tblPrEx>
        <w:trPr>
          <w:trHeight w:val="340" w:hRule="atLeast"/>
          <w:jc w:val="center"/>
        </w:trPr>
        <w:tc>
          <w:tcPr>
            <w:tcW w:w="1207" w:type="dxa"/>
            <w:tcBorders>
              <w:top w:val="nil"/>
              <w:left w:val="single" w:color="auto" w:sz="12" w:space="0"/>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生活污水</w:t>
            </w:r>
          </w:p>
        </w:tc>
        <w:tc>
          <w:tcPr>
            <w:tcW w:w="1007"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198</w:t>
            </w:r>
          </w:p>
        </w:tc>
        <w:tc>
          <w:tcPr>
            <w:tcW w:w="785"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350</w:t>
            </w:r>
          </w:p>
        </w:tc>
        <w:tc>
          <w:tcPr>
            <w:tcW w:w="1122"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07</w:t>
            </w:r>
          </w:p>
        </w:tc>
        <w:tc>
          <w:tcPr>
            <w:tcW w:w="847"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250</w:t>
            </w:r>
          </w:p>
        </w:tc>
        <w:tc>
          <w:tcPr>
            <w:tcW w:w="1030"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05</w:t>
            </w:r>
          </w:p>
        </w:tc>
        <w:tc>
          <w:tcPr>
            <w:tcW w:w="704"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300</w:t>
            </w:r>
          </w:p>
        </w:tc>
        <w:tc>
          <w:tcPr>
            <w:tcW w:w="940"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06</w:t>
            </w:r>
          </w:p>
        </w:tc>
        <w:tc>
          <w:tcPr>
            <w:tcW w:w="704"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w:t>
            </w:r>
          </w:p>
        </w:tc>
        <w:tc>
          <w:tcPr>
            <w:tcW w:w="940" w:type="dxa"/>
            <w:tcBorders>
              <w:top w:val="nil"/>
              <w:left w:val="nil"/>
              <w:bottom w:val="single" w:color="auto" w:sz="12" w:space="0"/>
              <w:right w:val="single" w:color="auto" w:sz="12"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w:t>
            </w:r>
            <w:r>
              <w:rPr>
                <w:rFonts w:hint="eastAsia" w:ascii="Times New Roman" w:hAnsi="Times New Roman" w:cs="Times New Roman"/>
                <w:caps w:val="0"/>
                <w:smallCaps w:val="0"/>
              </w:rPr>
              <w:t>08</w:t>
            </w:r>
          </w:p>
        </w:tc>
      </w:tr>
    </w:tbl>
    <w:p>
      <w:pPr>
        <w:spacing w:line="360" w:lineRule="auto"/>
        <w:ind w:firstLine="480" w:firstLineChars="200"/>
        <w:rPr>
          <w:rFonts w:ascii="Times New Roman" w:hAnsi="Times New Roman" w:cs="Times New Roman" w:eastAsiaTheme="minorEastAsia"/>
          <w:caps w:val="0"/>
          <w:smallCaps w:val="0"/>
          <w:color w:val="000000"/>
          <w:sz w:val="24"/>
          <w:szCs w:val="24"/>
        </w:rPr>
      </w:pPr>
    </w:p>
    <w:p>
      <w:pPr>
        <w:spacing w:line="360" w:lineRule="auto"/>
        <w:ind w:firstLine="480" w:firstLineChars="200"/>
        <w:rPr>
          <w:rFonts w:hint="eastAsia" w:ascii="Times New Roman" w:hAnsi="Times New Roman" w:cs="Times New Roman" w:eastAsiaTheme="minorEastAsia"/>
          <w:b/>
          <w:caps w:val="0"/>
          <w:smallCaps w:val="0"/>
          <w:color w:val="000000"/>
          <w:sz w:val="24"/>
          <w:szCs w:val="24"/>
          <w:lang w:val="en-US" w:eastAsia="zh-CN"/>
        </w:rPr>
      </w:pPr>
      <w:r>
        <w:rPr>
          <w:rFonts w:hint="eastAsia" w:ascii="Times New Roman" w:hAnsi="Times New Roman" w:cs="Times New Roman" w:eastAsiaTheme="minorEastAsia"/>
          <w:caps w:val="0"/>
          <w:smallCaps w:val="0"/>
          <w:color w:val="000000"/>
          <w:sz w:val="24"/>
          <w:szCs w:val="24"/>
          <w:lang w:val="en-US" w:eastAsia="zh-CN"/>
        </w:rPr>
        <w:t>4、</w:t>
      </w:r>
      <w:r>
        <w:rPr>
          <w:rFonts w:hint="eastAsia" w:ascii="Times New Roman" w:hAnsi="Times New Roman" w:cs="Times New Roman" w:eastAsiaTheme="minorEastAsia"/>
          <w:b/>
          <w:caps w:val="0"/>
          <w:smallCaps w:val="0"/>
          <w:color w:val="000000"/>
          <w:sz w:val="24"/>
          <w:szCs w:val="24"/>
          <w:lang w:val="en-US" w:eastAsia="zh-CN"/>
        </w:rPr>
        <w:t>趸船初期雨水</w:t>
      </w:r>
    </w:p>
    <w:p>
      <w:pPr>
        <w:ind w:firstLine="480"/>
        <w:rPr>
          <w:rFonts w:ascii="Times New Roman" w:hAnsi="Times New Roman" w:cs="Times New Roman"/>
          <w:caps w:val="0"/>
          <w:smallCaps w:val="0"/>
          <w:u w:val="single"/>
        </w:rPr>
      </w:pPr>
      <w:r>
        <w:rPr>
          <w:rFonts w:ascii="Times New Roman" w:hAnsi="Times New Roman" w:cs="Times New Roman"/>
          <w:caps w:val="0"/>
          <w:smallCaps w:val="0"/>
          <w:u w:val="single"/>
        </w:rPr>
        <w:t>码头趸船平台四周设置环形围坎形成封闭区域，根据《水运工程环境保护设计规范》（JTS149-2018）需对油品码头、油罐区的码头初期雨水进行收集处理，本项目码头对前15min雨水进行收集，雨水通过趸船平台四周排水明沟储存至趸船内污水收集池内储存，15min后利用三通阀门进行切换使雨水排入</w:t>
      </w:r>
      <w:r>
        <w:rPr>
          <w:rFonts w:hint="eastAsia" w:ascii="Times New Roman" w:hAnsi="Times New Roman" w:cs="Times New Roman"/>
          <w:caps w:val="0"/>
          <w:smallCaps w:val="0"/>
          <w:u w:val="single"/>
          <w:lang w:eastAsia="zh-CN"/>
        </w:rPr>
        <w:t>湘</w:t>
      </w:r>
      <w:r>
        <w:rPr>
          <w:rFonts w:ascii="Times New Roman" w:hAnsi="Times New Roman" w:cs="Times New Roman"/>
          <w:caps w:val="0"/>
          <w:smallCaps w:val="0"/>
          <w:u w:val="single"/>
        </w:rPr>
        <w:t>江。雨污水产生量采用以下公式计算：</w:t>
      </w:r>
    </w:p>
    <w:p>
      <w:pPr>
        <w:ind w:firstLine="0" w:firstLineChars="0"/>
        <w:jc w:val="center"/>
        <w:rPr>
          <w:rFonts w:ascii="Times New Roman" w:hAnsi="Times New Roman" w:cs="Times New Roman"/>
          <w:caps w:val="0"/>
          <w:smallCaps w:val="0"/>
          <w:u w:val="single"/>
        </w:rPr>
      </w:pPr>
      <w:r>
        <w:rPr>
          <w:rFonts w:ascii="Times New Roman" w:hAnsi="Times New Roman" w:cs="Times New Roman"/>
          <w:caps w:val="0"/>
          <w:smallCaps w:val="0"/>
          <w:position w:val="-10"/>
          <w:u w:val="single"/>
        </w:rPr>
        <w:object>
          <v:shape id="_x0000_i1029" o:spt="75" type="#_x0000_t75" style="height:16.05pt;width:74.05pt;" o:ole="t" filled="f" o:preferrelative="t" stroked="f" coordsize="21600,21600">
            <v:path/>
            <v:fill on="f" alignshape="1" focussize="0,0"/>
            <v:stroke on="f"/>
            <v:imagedata r:id="rId44" o:title=""/>
            <o:lock v:ext="edit" aspectratio="t"/>
            <w10:wrap type="none"/>
            <w10:anchorlock/>
          </v:shape>
          <o:OLEObject Type="Embed" ProgID="Equation.3" ShapeID="_x0000_i1029" DrawAspect="Content" ObjectID="_1468075729" r:id="rId43">
            <o:LockedField>false</o:LockedField>
          </o:OLEObject>
        </w:object>
      </w:r>
    </w:p>
    <w:p>
      <w:pPr>
        <w:ind w:firstLine="480"/>
        <w:rPr>
          <w:rFonts w:ascii="Times New Roman" w:hAnsi="Times New Roman" w:cs="Times New Roman"/>
          <w:caps w:val="0"/>
          <w:smallCaps w:val="0"/>
          <w:u w:val="single"/>
        </w:rPr>
      </w:pPr>
      <w:r>
        <w:rPr>
          <w:rFonts w:ascii="Times New Roman" w:hAnsi="Times New Roman" w:cs="Times New Roman"/>
          <w:caps w:val="0"/>
          <w:smallCaps w:val="0"/>
          <w:u w:val="single"/>
        </w:rPr>
        <w:t>式中：V——初期雨水量，m</w:t>
      </w:r>
      <w:r>
        <w:rPr>
          <w:rFonts w:ascii="Times New Roman" w:hAnsi="Times New Roman" w:cs="Times New Roman"/>
          <w:caps w:val="0"/>
          <w:smallCaps w:val="0"/>
          <w:u w:val="single"/>
          <w:vertAlign w:val="superscript"/>
        </w:rPr>
        <w:t>3</w:t>
      </w:r>
      <w:r>
        <w:rPr>
          <w:rFonts w:ascii="Times New Roman" w:hAnsi="Times New Roman" w:cs="Times New Roman"/>
          <w:caps w:val="0"/>
          <w:smallCaps w:val="0"/>
          <w:u w:val="single"/>
        </w:rPr>
        <w:t>；</w:t>
      </w:r>
    </w:p>
    <w:p>
      <w:pPr>
        <w:ind w:firstLine="1080" w:firstLineChars="450"/>
        <w:rPr>
          <w:rFonts w:ascii="Times New Roman" w:hAnsi="Times New Roman" w:cs="Times New Roman"/>
          <w:caps w:val="0"/>
          <w:smallCaps w:val="0"/>
          <w:u w:val="single"/>
        </w:rPr>
      </w:pPr>
      <w:r>
        <w:rPr>
          <w:rFonts w:ascii="Times New Roman" w:hAnsi="Times New Roman" w:cs="Times New Roman"/>
          <w:caps w:val="0"/>
          <w:smallCaps w:val="0"/>
          <w:u w:val="single"/>
        </w:rPr>
        <w:object>
          <v:shape id="_x0000_i1030" o:spt="75" type="#_x0000_t75" style="height:13pt;width:12pt;" o:ole="t" filled="f" o:preferrelative="t" stroked="f" coordsize="21600,21600">
            <v:path/>
            <v:fill on="f" focussize="0,0"/>
            <v:stroke on="f"/>
            <v:imagedata r:id="rId46" o:title=""/>
            <o:lock v:ext="edit" aspectratio="t"/>
            <w10:wrap type="none"/>
            <w10:anchorlock/>
          </v:shape>
          <o:OLEObject Type="Embed" ProgID="Equation.3" ShapeID="_x0000_i1030" DrawAspect="Content" ObjectID="_1468075730" r:id="rId45">
            <o:LockedField>false</o:LockedField>
          </o:OLEObject>
        </w:object>
      </w:r>
      <w:r>
        <w:rPr>
          <w:rFonts w:ascii="Times New Roman" w:hAnsi="Times New Roman" w:cs="Times New Roman"/>
          <w:caps w:val="0"/>
          <w:smallCaps w:val="0"/>
          <w:u w:val="single"/>
        </w:rPr>
        <w:t>——径流系数，码头取0.9；</w:t>
      </w:r>
    </w:p>
    <w:p>
      <w:pPr>
        <w:ind w:firstLine="1080" w:firstLineChars="450"/>
        <w:rPr>
          <w:rFonts w:ascii="Times New Roman" w:hAnsi="Times New Roman" w:cs="Times New Roman"/>
          <w:caps w:val="0"/>
          <w:smallCaps w:val="0"/>
          <w:u w:val="single"/>
        </w:rPr>
      </w:pPr>
      <w:r>
        <w:rPr>
          <w:rFonts w:ascii="Times New Roman" w:hAnsi="Times New Roman" w:cs="Times New Roman"/>
          <w:caps w:val="0"/>
          <w:smallCaps w:val="0"/>
          <w:u w:val="single"/>
        </w:rPr>
        <w:t>h——降雨深度（m），取0.015~0.03，按历年最大暴雨前15min考虑，岳阳市日最大降雨量为246 mm（1954年6月16日），历年小时最大降雨量按日降雨量10%计，计算得出降雨深度为0.006m，故本项目降雨深度按取值范围中最小0.015计算；</w:t>
      </w:r>
    </w:p>
    <w:p>
      <w:pPr>
        <w:ind w:firstLine="1080" w:firstLineChars="450"/>
        <w:rPr>
          <w:rFonts w:ascii="Times New Roman" w:hAnsi="Times New Roman" w:cs="Times New Roman"/>
          <w:caps w:val="0"/>
          <w:smallCaps w:val="0"/>
          <w:u w:val="single"/>
        </w:rPr>
      </w:pPr>
      <w:r>
        <w:rPr>
          <w:rFonts w:ascii="Times New Roman" w:hAnsi="Times New Roman" w:cs="Times New Roman"/>
          <w:caps w:val="0"/>
          <w:smallCaps w:val="0"/>
          <w:u w:val="single"/>
        </w:rPr>
        <w:t>F——汇流面积（m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），码头工程采用趸船和钢连桥牵引不占陆域面积，含油初期雨水的区域主要为趸船区域，故本项目汇流面积按照趸船面积</w:t>
      </w:r>
      <w:r>
        <w:rPr>
          <w:rFonts w:hint="eastAsia" w:ascii="Times New Roman" w:hAnsi="Times New Roman" w:cs="Times New Roman"/>
          <w:caps w:val="0"/>
          <w:smallCaps w:val="0"/>
          <w:u w:val="single"/>
          <w:lang w:val="en-US" w:eastAsia="zh-CN"/>
        </w:rPr>
        <w:t>720</w:t>
      </w:r>
      <w:r>
        <w:rPr>
          <w:rFonts w:ascii="Times New Roman" w:hAnsi="Times New Roman" w:cs="Times New Roman"/>
          <w:caps w:val="0"/>
          <w:smallCaps w:val="0"/>
          <w:u w:val="single"/>
        </w:rPr>
        <w:t>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 xml:space="preserve">计算； </w:t>
      </w:r>
    </w:p>
    <w:p>
      <w:pPr>
        <w:adjustRightInd w:val="0"/>
        <w:snapToGrid w:val="0"/>
        <w:ind w:firstLine="480"/>
        <w:rPr>
          <w:rFonts w:ascii="Times New Roman" w:hAnsi="Times New Roman" w:cs="Times New Roman"/>
          <w:caps w:val="0"/>
          <w:smallCaps w:val="0"/>
        </w:rPr>
      </w:pPr>
      <w:r>
        <w:rPr>
          <w:rFonts w:ascii="Times New Roman" w:hAnsi="Times New Roman" w:cs="Times New Roman"/>
          <w:caps w:val="0"/>
          <w:smallCaps w:val="0"/>
          <w:u w:val="single"/>
        </w:rPr>
        <w:t>计算得码头面初期雨污水量为</w:t>
      </w:r>
      <w:r>
        <w:rPr>
          <w:rFonts w:hint="eastAsia" w:ascii="Times New Roman" w:hAnsi="Times New Roman" w:cs="Times New Roman"/>
          <w:caps w:val="0"/>
          <w:smallCaps w:val="0"/>
          <w:u w:val="single"/>
          <w:lang w:val="en-US" w:eastAsia="zh-CN"/>
        </w:rPr>
        <w:t>9</w:t>
      </w:r>
      <w:r>
        <w:rPr>
          <w:rFonts w:ascii="Times New Roman" w:hAnsi="Times New Roman" w:cs="Times New Roman"/>
          <w:caps w:val="0"/>
          <w:smallCaps w:val="0"/>
          <w:u w:val="single"/>
        </w:rPr>
        <w:t>.7</w:t>
      </w:r>
      <w:r>
        <w:rPr>
          <w:rFonts w:hint="eastAsia" w:ascii="Times New Roman" w:hAnsi="Times New Roman" w:cs="Times New Roman"/>
          <w:caps w:val="0"/>
          <w:smallCaps w:val="0"/>
          <w:u w:val="single"/>
          <w:lang w:val="en-US" w:eastAsia="zh-CN"/>
        </w:rPr>
        <w:t>2</w:t>
      </w:r>
      <w:r>
        <w:rPr>
          <w:rFonts w:ascii="Times New Roman" w:hAnsi="Times New Roman" w:cs="Times New Roman"/>
          <w:caps w:val="0"/>
          <w:smallCaps w:val="0"/>
          <w:u w:val="single"/>
        </w:rPr>
        <w:t>m</w:t>
      </w:r>
      <w:r>
        <w:rPr>
          <w:rFonts w:ascii="Times New Roman" w:hAnsi="Times New Roman" w:cs="Times New Roman"/>
          <w:caps w:val="0"/>
          <w:smallCaps w:val="0"/>
          <w:u w:val="single"/>
          <w:vertAlign w:val="superscript"/>
        </w:rPr>
        <w:t>3</w:t>
      </w:r>
      <w:r>
        <w:rPr>
          <w:rFonts w:ascii="Times New Roman" w:hAnsi="Times New Roman" w:cs="Times New Roman"/>
          <w:caps w:val="0"/>
          <w:smallCaps w:val="0"/>
          <w:u w:val="single"/>
        </w:rPr>
        <w:t>，岳阳市全年平均降雨天数按150天计，则码头面初期雨水量为</w:t>
      </w:r>
      <w:r>
        <w:rPr>
          <w:rFonts w:hint="eastAsia" w:ascii="Times New Roman" w:hAnsi="Times New Roman" w:cs="Times New Roman"/>
          <w:caps w:val="0"/>
          <w:smallCaps w:val="0"/>
          <w:u w:val="single"/>
          <w:lang w:val="en-US" w:eastAsia="zh-CN"/>
        </w:rPr>
        <w:t>1458</w:t>
      </w:r>
      <w:r>
        <w:rPr>
          <w:rFonts w:ascii="Times New Roman" w:hAnsi="Times New Roman" w:cs="Times New Roman"/>
          <w:caps w:val="0"/>
          <w:smallCaps w:val="0"/>
          <w:u w:val="single"/>
        </w:rPr>
        <w:t>m</w:t>
      </w:r>
      <w:r>
        <w:rPr>
          <w:rFonts w:ascii="Times New Roman" w:hAnsi="Times New Roman" w:cs="Times New Roman"/>
          <w:caps w:val="0"/>
          <w:smallCaps w:val="0"/>
          <w:u w:val="single"/>
          <w:vertAlign w:val="superscript"/>
        </w:rPr>
        <w:t>3</w:t>
      </w:r>
      <w:r>
        <w:rPr>
          <w:rFonts w:ascii="Times New Roman" w:hAnsi="Times New Roman" w:cs="Times New Roman"/>
          <w:caps w:val="0"/>
          <w:smallCaps w:val="0"/>
          <w:u w:val="single"/>
        </w:rPr>
        <w:t>/a。初期雨水中主要污染物为COD、SS及石油类，根据经验数据其产生浓度分别为200mg/L、150mg/L 、30mg/L，则COD、SS及石油类的年产生量为0.</w:t>
      </w:r>
      <w:r>
        <w:rPr>
          <w:rFonts w:hint="eastAsia" w:ascii="Times New Roman" w:hAnsi="Times New Roman" w:cs="Times New Roman"/>
          <w:caps w:val="0"/>
          <w:smallCaps w:val="0"/>
          <w:u w:val="single"/>
          <w:lang w:val="en-US" w:eastAsia="zh-CN"/>
        </w:rPr>
        <w:t>29</w:t>
      </w:r>
      <w:r>
        <w:rPr>
          <w:rFonts w:ascii="Times New Roman" w:hAnsi="Times New Roman" w:cs="Times New Roman"/>
          <w:caps w:val="0"/>
          <w:smallCaps w:val="0"/>
          <w:u w:val="single"/>
        </w:rPr>
        <w:t>t/a、0.</w:t>
      </w:r>
      <w:r>
        <w:rPr>
          <w:rFonts w:hint="eastAsia" w:ascii="Times New Roman" w:hAnsi="Times New Roman" w:cs="Times New Roman"/>
          <w:caps w:val="0"/>
          <w:smallCaps w:val="0"/>
          <w:u w:val="single"/>
          <w:lang w:val="en-US" w:eastAsia="zh-CN"/>
        </w:rPr>
        <w:t>22</w:t>
      </w:r>
      <w:r>
        <w:rPr>
          <w:rFonts w:ascii="Times New Roman" w:hAnsi="Times New Roman" w:cs="Times New Roman"/>
          <w:caps w:val="0"/>
          <w:smallCaps w:val="0"/>
          <w:u w:val="single"/>
        </w:rPr>
        <w:t>t/a、0.0</w:t>
      </w:r>
      <w:r>
        <w:rPr>
          <w:rFonts w:hint="eastAsia" w:ascii="Times New Roman" w:hAnsi="Times New Roman" w:cs="Times New Roman"/>
          <w:caps w:val="0"/>
          <w:smallCaps w:val="0"/>
          <w:u w:val="single"/>
          <w:lang w:val="en-US" w:eastAsia="zh-CN"/>
        </w:rPr>
        <w:t>44</w:t>
      </w:r>
      <w:r>
        <w:rPr>
          <w:rFonts w:ascii="Times New Roman" w:hAnsi="Times New Roman" w:cs="Times New Roman"/>
          <w:caps w:val="0"/>
          <w:smallCaps w:val="0"/>
          <w:u w:val="single"/>
        </w:rPr>
        <w:t>t/a。</w:t>
      </w:r>
    </w:p>
    <w:p>
      <w:pPr>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以上废</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水中的船底油污水经船舶自配的油水分离器处理后</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船舶生活污水</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、趸船冲洗水、初期雨水</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交给海事部门的环</w:t>
      </w:r>
      <w:r>
        <w:rPr>
          <w:rFonts w:ascii="Times New Roman" w:hAnsi="Times New Roman" w:cs="Times New Roman" w:eastAsiaTheme="minorEastAsia"/>
          <w:caps w:val="0"/>
          <w:smallCaps w:val="0"/>
          <w:color w:val="000000"/>
          <w:sz w:val="24"/>
          <w:szCs w:val="24"/>
        </w:rPr>
        <w:t>保船接收处理；码头生活污水</w:t>
      </w:r>
      <w:r>
        <w:rPr>
          <w:rFonts w:hint="eastAsia" w:ascii="Times New Roman" w:hAnsi="Times New Roman" w:cs="Times New Roman" w:eastAsiaTheme="minorEastAsia"/>
          <w:caps w:val="0"/>
          <w:smallCaps w:val="0"/>
          <w:color w:val="000000"/>
          <w:sz w:val="24"/>
          <w:szCs w:val="24"/>
        </w:rPr>
        <w:t>经罐区</w:t>
      </w:r>
      <w:r>
        <w:rPr>
          <w:rFonts w:hint="eastAsia" w:ascii="Times New Roman" w:hAnsi="Times New Roman" w:cs="Times New Roman" w:eastAsiaTheme="minorEastAsia"/>
          <w:caps w:val="0"/>
          <w:smallCaps w:val="0"/>
          <w:color w:val="000000"/>
          <w:sz w:val="24"/>
          <w:szCs w:val="24"/>
          <w:lang w:eastAsia="zh-CN"/>
        </w:rPr>
        <w:t>化粪池处理后，用作周边农田农肥</w:t>
      </w:r>
      <w:r>
        <w:rPr>
          <w:rFonts w:ascii="Times New Roman" w:hAnsi="Times New Roman" w:cs="Times New Roman" w:eastAsiaTheme="minorEastAsia"/>
          <w:caps w:val="0"/>
          <w:smallCaps w:val="0"/>
          <w:color w:val="000000"/>
          <w:sz w:val="24"/>
          <w:szCs w:val="24"/>
        </w:rPr>
        <w:t>。项目用水平衡表见表3.3-1</w:t>
      </w:r>
      <w:r>
        <w:rPr>
          <w:rFonts w:hint="eastAsia" w:ascii="Times New Roman" w:hAnsi="Times New Roman" w:cs="Times New Roman" w:eastAsiaTheme="minorEastAsia"/>
          <w:caps w:val="0"/>
          <w:smallCaps w:val="0"/>
          <w:color w:val="000000"/>
          <w:sz w:val="24"/>
          <w:szCs w:val="24"/>
        </w:rPr>
        <w:t>3</w:t>
      </w:r>
      <w:r>
        <w:rPr>
          <w:rFonts w:ascii="Times New Roman" w:hAnsi="Times New Roman" w:cs="Times New Roman" w:eastAsiaTheme="minorEastAsia"/>
          <w:caps w:val="0"/>
          <w:smallCaps w:val="0"/>
          <w:color w:val="000000"/>
          <w:sz w:val="24"/>
          <w:szCs w:val="24"/>
        </w:rPr>
        <w:t>，用水平衡图见图3.3-3。</w:t>
      </w:r>
    </w:p>
    <w:p>
      <w:pPr>
        <w:wordWrap/>
        <w:spacing w:line="360" w:lineRule="auto"/>
        <w:ind w:firstLine="482" w:firstLineChars="200"/>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w:t>
      </w:r>
      <w:r>
        <w:rPr>
          <w:rFonts w:ascii="Times New Roman" w:hAnsi="Times New Roman" w:cs="Times New Roman" w:eastAsiaTheme="minorEastAsia"/>
          <w:b/>
          <w:caps w:val="0"/>
          <w:smallCaps w:val="0"/>
          <w:color w:val="000000" w:themeColor="text1"/>
          <w:sz w:val="24"/>
          <w:szCs w:val="24"/>
          <w:lang w:val="zh-CN"/>
          <w14:textFill>
            <w14:solidFill>
              <w14:schemeClr w14:val="tx1"/>
            </w14:solidFill>
          </w14:textFill>
        </w:rPr>
        <w:t>3.</w:t>
      </w:r>
      <w:r>
        <w:rPr>
          <w:rFonts w:hint="eastAsia" w:cs="Times New Roman" w:eastAsiaTheme="minorEastAsia"/>
          <w:b/>
          <w:caps w:val="0"/>
          <w:smallCaps w:val="0"/>
          <w:color w:val="000000" w:themeColor="text1"/>
          <w:sz w:val="24"/>
          <w:szCs w:val="24"/>
          <w:lang w:val="en-US" w:eastAsia="zh-CN"/>
          <w14:textFill>
            <w14:solidFill>
              <w14:schemeClr w14:val="tx1"/>
            </w14:solidFill>
          </w14:textFill>
        </w:rPr>
        <w:t>7</w:t>
      </w:r>
      <w:r>
        <w:rPr>
          <w:rFonts w:ascii="Times New Roman" w:hAnsi="Times New Roman" w:cs="Times New Roman" w:eastAsiaTheme="minorEastAsia"/>
          <w:b/>
          <w:caps w:val="0"/>
          <w:smallCaps w:val="0"/>
          <w:color w:val="000000" w:themeColor="text1"/>
          <w:sz w:val="24"/>
          <w:szCs w:val="24"/>
          <w:lang w:val="zh-CN"/>
          <w14:textFill>
            <w14:solidFill>
              <w14:schemeClr w14:val="tx1"/>
            </w14:solidFill>
          </w14:textFill>
        </w:rPr>
        <w:t>-1</w:t>
      </w:r>
      <w:r>
        <w:rPr>
          <w:rFonts w:hint="eastAsia" w:cs="Times New Roman" w:eastAsiaTheme="minorEastAsia"/>
          <w:b/>
          <w:caps w:val="0"/>
          <w:smallCaps w:val="0"/>
          <w:color w:val="000000" w:themeColor="text1"/>
          <w:sz w:val="24"/>
          <w:szCs w:val="24"/>
          <w:lang w:val="en-US" w:eastAsia="zh-CN"/>
          <w14:textFill>
            <w14:solidFill>
              <w14:schemeClr w14:val="tx1"/>
            </w14:solidFill>
          </w14:textFill>
        </w:rPr>
        <w:t>2</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本项目工程水平衡表</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 xml:space="preserve">     </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单位：m</w:t>
      </w:r>
      <w:r>
        <w:rPr>
          <w:rFonts w:ascii="Times New Roman" w:hAnsi="Times New Roman" w:cs="Times New Roman" w:eastAsiaTheme="minorEastAsia"/>
          <w:caps w:val="0"/>
          <w:smallCaps w:val="0"/>
          <w:color w:val="000000" w:themeColor="text1"/>
          <w:sz w:val="24"/>
          <w:szCs w:val="24"/>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/a</w:t>
      </w:r>
    </w:p>
    <w:tbl>
      <w:tblPr>
        <w:tblStyle w:val="71"/>
        <w:tblW w:w="509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817"/>
        <w:gridCol w:w="1139"/>
        <w:gridCol w:w="1168"/>
        <w:gridCol w:w="923"/>
        <w:gridCol w:w="923"/>
        <w:gridCol w:w="1029"/>
        <w:gridCol w:w="22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blHeader/>
          <w:jc w:val="center"/>
        </w:trPr>
        <w:tc>
          <w:tcPr>
            <w:tcW w:w="979"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分类</w:t>
            </w:r>
          </w:p>
        </w:tc>
        <w:tc>
          <w:tcPr>
            <w:tcW w:w="614"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总用水量</w:t>
            </w:r>
          </w:p>
        </w:tc>
        <w:tc>
          <w:tcPr>
            <w:tcW w:w="629"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新鲜给水</w:t>
            </w:r>
          </w:p>
        </w:tc>
        <w:tc>
          <w:tcPr>
            <w:tcW w:w="49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损耗</w:t>
            </w:r>
          </w:p>
        </w:tc>
        <w:tc>
          <w:tcPr>
            <w:tcW w:w="49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回水量</w:t>
            </w:r>
          </w:p>
        </w:tc>
        <w:tc>
          <w:tcPr>
            <w:tcW w:w="554" w:type="pct"/>
            <w:shd w:val="clear" w:color="auto" w:fill="auto"/>
            <w:noWrap/>
            <w:tcMar>
              <w:top w:w="0" w:type="dxa"/>
              <w:left w:w="0" w:type="dxa"/>
              <w:bottom w:w="0" w:type="dxa"/>
              <w:right w:w="0" w:type="dxa"/>
            </w:tcMar>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eastAsia="zh-CN"/>
              </w:rPr>
              <w:t>污水</w:t>
            </w:r>
          </w:p>
        </w:tc>
        <w:tc>
          <w:tcPr>
            <w:tcW w:w="122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979"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船舶舱底油污水</w:t>
            </w:r>
          </w:p>
        </w:tc>
        <w:tc>
          <w:tcPr>
            <w:tcW w:w="614"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629"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49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49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554"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231</w:t>
            </w:r>
          </w:p>
        </w:tc>
        <w:tc>
          <w:tcPr>
            <w:tcW w:w="1227" w:type="pct"/>
            <w:vMerge w:val="restar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由海事部门环保船回收</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56" w:hRule="atLeast"/>
          <w:jc w:val="center"/>
        </w:trPr>
        <w:tc>
          <w:tcPr>
            <w:tcW w:w="979"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船舶生活污水</w:t>
            </w:r>
          </w:p>
        </w:tc>
        <w:tc>
          <w:tcPr>
            <w:tcW w:w="614"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rPr>
              <w:t>1</w:t>
            </w:r>
            <w:r>
              <w:rPr>
                <w:rFonts w:hint="eastAsia" w:ascii="Times New Roman" w:hAnsi="Times New Roman" w:cs="Times New Roman"/>
                <w:caps w:val="0"/>
                <w:smallCaps w:val="0"/>
                <w:lang w:val="en-US" w:eastAsia="zh-CN"/>
              </w:rPr>
              <w:t>08.75</w:t>
            </w:r>
          </w:p>
        </w:tc>
        <w:tc>
          <w:tcPr>
            <w:tcW w:w="629"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rPr>
              <w:t>1</w:t>
            </w:r>
            <w:r>
              <w:rPr>
                <w:rFonts w:hint="eastAsia" w:ascii="Times New Roman" w:hAnsi="Times New Roman" w:cs="Times New Roman"/>
                <w:caps w:val="0"/>
                <w:smallCaps w:val="0"/>
                <w:lang w:val="en-US" w:eastAsia="zh-CN"/>
              </w:rPr>
              <w:t>08.75</w:t>
            </w:r>
          </w:p>
        </w:tc>
        <w:tc>
          <w:tcPr>
            <w:tcW w:w="497"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21.75</w:t>
            </w:r>
          </w:p>
        </w:tc>
        <w:tc>
          <w:tcPr>
            <w:tcW w:w="49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554"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87</w:t>
            </w:r>
          </w:p>
        </w:tc>
        <w:tc>
          <w:tcPr>
            <w:tcW w:w="1227" w:type="pct"/>
            <w:vMerge w:val="continue"/>
            <w:tcMar>
              <w:top w:w="0" w:type="dxa"/>
              <w:left w:w="0" w:type="dxa"/>
              <w:bottom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979" w:type="pct"/>
            <w:shd w:val="clear" w:color="auto" w:fill="auto"/>
            <w:noWrap/>
            <w:tcMar>
              <w:top w:w="0" w:type="dxa"/>
              <w:left w:w="0" w:type="dxa"/>
              <w:bottom w:w="0" w:type="dxa"/>
              <w:right w:w="0" w:type="dxa"/>
            </w:tcMar>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趸船油污水</w:t>
            </w:r>
          </w:p>
        </w:tc>
        <w:tc>
          <w:tcPr>
            <w:tcW w:w="614"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480</w:t>
            </w:r>
          </w:p>
        </w:tc>
        <w:tc>
          <w:tcPr>
            <w:tcW w:w="629"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480</w:t>
            </w:r>
          </w:p>
        </w:tc>
        <w:tc>
          <w:tcPr>
            <w:tcW w:w="497"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96</w:t>
            </w:r>
          </w:p>
        </w:tc>
        <w:tc>
          <w:tcPr>
            <w:tcW w:w="49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p>
        </w:tc>
        <w:tc>
          <w:tcPr>
            <w:tcW w:w="554"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384</w:t>
            </w:r>
          </w:p>
        </w:tc>
        <w:tc>
          <w:tcPr>
            <w:tcW w:w="1227" w:type="pct"/>
            <w:vMerge w:val="continue"/>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979" w:type="pct"/>
            <w:shd w:val="clear" w:color="auto" w:fill="auto"/>
            <w:noWrap/>
            <w:tcMar>
              <w:top w:w="0" w:type="dxa"/>
              <w:left w:w="0" w:type="dxa"/>
              <w:bottom w:w="0" w:type="dxa"/>
              <w:right w:w="0" w:type="dxa"/>
            </w:tcMar>
            <w:vAlign w:val="center"/>
          </w:tcPr>
          <w:p>
            <w:pPr>
              <w:pStyle w:val="117"/>
              <w:bidi w:val="0"/>
              <w:rPr>
                <w:rFonts w:hint="eastAsia" w:ascii="Times New Roman" w:hAnsi="Times New Roman" w:cs="Times New Roman"/>
                <w:caps w:val="0"/>
                <w:smallCaps w:val="0"/>
                <w:lang w:val="en-US" w:eastAsia="zh-CN"/>
              </w:rPr>
            </w:pPr>
            <w:r>
              <w:rPr>
                <w:rFonts w:ascii="Times New Roman" w:hAnsi="Times New Roman" w:cs="Times New Roman"/>
                <w:caps w:val="0"/>
                <w:smallCaps w:val="0"/>
              </w:rPr>
              <w:t>码头生活污水</w:t>
            </w:r>
          </w:p>
        </w:tc>
        <w:tc>
          <w:tcPr>
            <w:tcW w:w="614"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rPr>
              <w:t>247.5</w:t>
            </w:r>
          </w:p>
        </w:tc>
        <w:tc>
          <w:tcPr>
            <w:tcW w:w="629"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rPr>
              <w:t>247.5</w:t>
            </w:r>
          </w:p>
        </w:tc>
        <w:tc>
          <w:tcPr>
            <w:tcW w:w="49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rPr>
              <w:t>49.5</w:t>
            </w:r>
          </w:p>
        </w:tc>
        <w:tc>
          <w:tcPr>
            <w:tcW w:w="49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p>
        </w:tc>
        <w:tc>
          <w:tcPr>
            <w:tcW w:w="554"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rPr>
              <w:t>198</w:t>
            </w:r>
          </w:p>
        </w:tc>
        <w:tc>
          <w:tcPr>
            <w:tcW w:w="1227" w:type="pct"/>
            <w:shd w:val="clear" w:color="auto" w:fill="auto"/>
            <w:tcMar>
              <w:top w:w="0" w:type="dxa"/>
              <w:left w:w="0" w:type="dxa"/>
              <w:bottom w:w="0" w:type="dxa"/>
              <w:right w:w="0" w:type="dxa"/>
            </w:tcMar>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eastAsia="zh-CN"/>
              </w:rPr>
              <w:t>化粪池处理后用作农田灌溉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979"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合计</w:t>
            </w:r>
          </w:p>
        </w:tc>
        <w:tc>
          <w:tcPr>
            <w:tcW w:w="614"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default" w:ascii="Times New Roman" w:hAnsi="Times New Roman" w:cs="Times New Roman"/>
                <w:caps w:val="0"/>
                <w:smallCaps w:val="0"/>
                <w:lang w:eastAsia="zh-CN"/>
              </w:rPr>
              <w:fldChar w:fldCharType="begin"/>
            </w:r>
            <w:r>
              <w:rPr>
                <w:rFonts w:hint="default" w:ascii="Times New Roman" w:hAnsi="Times New Roman" w:cs="Times New Roman"/>
                <w:caps w:val="0"/>
                <w:smallCaps w:val="0"/>
                <w:lang w:eastAsia="zh-CN"/>
              </w:rPr>
              <w:instrText xml:space="preserve">=SUM(ABOVE)\*MERGEFORMAT</w:instrText>
            </w:r>
            <w:r>
              <w:rPr>
                <w:rFonts w:hint="default" w:ascii="Times New Roman" w:hAnsi="Times New Roman" w:cs="Times New Roman"/>
                <w:caps w:val="0"/>
                <w:smallCaps w:val="0"/>
                <w:lang w:eastAsia="zh-CN"/>
              </w:rPr>
              <w:fldChar w:fldCharType="separate"/>
            </w:r>
            <w:r>
              <w:rPr>
                <w:rFonts w:hint="default" w:ascii="Times New Roman" w:hAnsi="Times New Roman" w:cs="Times New Roman"/>
                <w:caps w:val="0"/>
                <w:smallCaps w:val="0"/>
                <w:lang w:eastAsia="zh-CN"/>
              </w:rPr>
              <w:t>836.25</w:t>
            </w:r>
            <w:r>
              <w:rPr>
                <w:rFonts w:hint="default" w:ascii="Times New Roman" w:hAnsi="Times New Roman" w:cs="Times New Roman"/>
                <w:caps w:val="0"/>
                <w:smallCaps w:val="0"/>
                <w:lang w:eastAsia="zh-CN"/>
              </w:rPr>
              <w:fldChar w:fldCharType="end"/>
            </w:r>
          </w:p>
        </w:tc>
        <w:tc>
          <w:tcPr>
            <w:tcW w:w="629"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default" w:ascii="Times New Roman" w:hAnsi="Times New Roman" w:cs="Times New Roman"/>
                <w:caps w:val="0"/>
                <w:smallCaps w:val="0"/>
                <w:lang w:eastAsia="zh-CN"/>
              </w:rPr>
              <w:fldChar w:fldCharType="begin"/>
            </w:r>
            <w:r>
              <w:rPr>
                <w:rFonts w:hint="default" w:ascii="Times New Roman" w:hAnsi="Times New Roman" w:cs="Times New Roman"/>
                <w:caps w:val="0"/>
                <w:smallCaps w:val="0"/>
                <w:lang w:eastAsia="zh-CN"/>
              </w:rPr>
              <w:instrText xml:space="preserve">=SUM(ABOVE)\*MERGEFORMAT</w:instrText>
            </w:r>
            <w:r>
              <w:rPr>
                <w:rFonts w:hint="default" w:ascii="Times New Roman" w:hAnsi="Times New Roman" w:cs="Times New Roman"/>
                <w:caps w:val="0"/>
                <w:smallCaps w:val="0"/>
                <w:lang w:eastAsia="zh-CN"/>
              </w:rPr>
              <w:fldChar w:fldCharType="separate"/>
            </w:r>
            <w:r>
              <w:rPr>
                <w:rFonts w:hint="default" w:ascii="Times New Roman" w:hAnsi="Times New Roman" w:cs="Times New Roman"/>
                <w:caps w:val="0"/>
                <w:smallCaps w:val="0"/>
                <w:lang w:eastAsia="zh-CN"/>
              </w:rPr>
              <w:t>836.25</w:t>
            </w:r>
            <w:r>
              <w:rPr>
                <w:rFonts w:hint="default" w:ascii="Times New Roman" w:hAnsi="Times New Roman" w:cs="Times New Roman"/>
                <w:caps w:val="0"/>
                <w:smallCaps w:val="0"/>
                <w:lang w:eastAsia="zh-CN"/>
              </w:rPr>
              <w:fldChar w:fldCharType="end"/>
            </w:r>
          </w:p>
        </w:tc>
        <w:tc>
          <w:tcPr>
            <w:tcW w:w="497"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fldChar w:fldCharType="begin"/>
            </w:r>
            <w:r>
              <w:rPr>
                <w:rFonts w:hint="eastAsia" w:ascii="Times New Roman" w:hAnsi="Times New Roman" w:cs="Times New Roman"/>
                <w:caps w:val="0"/>
                <w:smallCaps w:val="0"/>
                <w:lang w:val="en-US" w:eastAsia="zh-CN"/>
              </w:rPr>
              <w:instrText xml:space="preserve">=SUM(ABOVE)\*MERGEFORMAT</w:instrText>
            </w:r>
            <w:r>
              <w:rPr>
                <w:rFonts w:hint="eastAsia" w:ascii="Times New Roman" w:hAnsi="Times New Roman" w:cs="Times New Roman"/>
                <w:caps w:val="0"/>
                <w:smallCaps w:val="0"/>
                <w:lang w:val="en-US" w:eastAsia="zh-CN"/>
              </w:rPr>
              <w:fldChar w:fldCharType="separate"/>
            </w:r>
            <w:r>
              <w:rPr>
                <w:rFonts w:hint="eastAsia" w:ascii="Times New Roman" w:hAnsi="Times New Roman" w:cs="Times New Roman"/>
                <w:caps w:val="0"/>
                <w:smallCaps w:val="0"/>
                <w:lang w:val="en-US" w:eastAsia="zh-CN"/>
              </w:rPr>
              <w:t>167.25</w:t>
            </w:r>
            <w:r>
              <w:rPr>
                <w:rFonts w:hint="eastAsia" w:ascii="Times New Roman" w:hAnsi="Times New Roman" w:cs="Times New Roman"/>
                <w:caps w:val="0"/>
                <w:smallCaps w:val="0"/>
                <w:lang w:val="en-US" w:eastAsia="zh-CN"/>
              </w:rPr>
              <w:fldChar w:fldCharType="end"/>
            </w:r>
          </w:p>
        </w:tc>
        <w:tc>
          <w:tcPr>
            <w:tcW w:w="49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w:t>
            </w:r>
          </w:p>
        </w:tc>
        <w:tc>
          <w:tcPr>
            <w:tcW w:w="554" w:type="pct"/>
            <w:shd w:val="clear" w:color="auto" w:fill="auto"/>
            <w:noWrap/>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900</w:t>
            </w:r>
          </w:p>
        </w:tc>
        <w:tc>
          <w:tcPr>
            <w:tcW w:w="1227" w:type="pct"/>
            <w:shd w:val="clear" w:color="auto" w:fill="auto"/>
            <w:noWrap/>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bl>
    <w:p>
      <w:pPr>
        <w:tabs>
          <w:tab w:val="left" w:pos="570"/>
          <w:tab w:val="center" w:pos="4834"/>
        </w:tabs>
        <w:spacing w:line="276" w:lineRule="auto"/>
        <w:jc w:val="left"/>
        <w:rPr>
          <w:rFonts w:hint="eastAsia" w:ascii="Times New Roman" w:hAnsi="Times New Roman" w:cs="Times New Roman" w:eastAsiaTheme="minorEastAsia"/>
          <w:caps w:val="0"/>
          <w:smallCaps w:val="0"/>
          <w:color w:val="000000" w:themeColor="text1"/>
          <w:lang w:eastAsia="zh-CN"/>
          <w14:textFill>
            <w14:solidFill>
              <w14:schemeClr w14:val="tx1"/>
            </w14:solidFill>
          </w14:textFill>
        </w:rPr>
      </w:pPr>
      <w:r>
        <w:rPr>
          <w:rFonts w:hint="eastAsia" w:ascii="Times New Roman" w:hAnsi="Times New Roman" w:cs="Times New Roman" w:eastAsiaTheme="minorEastAsia"/>
          <w:caps w:val="0"/>
          <w:smallCaps w:val="0"/>
          <w:color w:val="000000" w:themeColor="text1"/>
          <w:lang w:eastAsia="zh-CN"/>
          <w14:textFill>
            <w14:solidFill>
              <w14:schemeClr w14:val="tx1"/>
            </w14:solidFill>
          </w14:textFill>
        </w:rPr>
        <w:tab/>
      </w:r>
    </w:p>
    <w:p>
      <w:pPr>
        <w:tabs>
          <w:tab w:val="left" w:pos="570"/>
          <w:tab w:val="center" w:pos="4834"/>
        </w:tabs>
        <w:spacing w:line="276" w:lineRule="auto"/>
        <w:jc w:val="left"/>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lang w:eastAsia="zh-CN"/>
          <w14:textFill>
            <w14:solidFill>
              <w14:schemeClr w14:val="tx1"/>
            </w14:solidFill>
          </w14:textFill>
        </w:rPr>
        <w:tab/>
      </w:r>
      <w:r>
        <w:rPr>
          <w:rFonts w:ascii="Times New Roman" w:hAnsi="Times New Roman" w:cs="Times New Roman" w:eastAsiaTheme="minorEastAsia"/>
          <w:caps w:val="0"/>
          <w:smallCaps w:val="0"/>
          <w:color w:val="000000" w:themeColor="text1"/>
          <w14:textFill>
            <w14:solidFill>
              <w14:schemeClr w14:val="tx1"/>
            </w14:solidFill>
          </w14:textFill>
        </w:rPr>
        <w:object>
          <v:shape id="_x0000_i1031" o:spt="75" type="#_x0000_t75" style="height:209.4pt;width:414.25pt;" o:ole="t" filled="f" o:preferrelative="t" stroked="f" coordsize="21600,21600">
            <v:path/>
            <v:fill on="f" focussize="0,0"/>
            <v:stroke on="f"/>
            <v:imagedata r:id="rId48" o:title=""/>
            <o:lock v:ext="edit" aspectratio="t"/>
            <w10:wrap type="none"/>
            <w10:anchorlock/>
          </v:shape>
          <o:OLEObject Type="Embed" ProgID="Visio.Drawing.11" ShapeID="_x0000_i1031" DrawAspect="Content" ObjectID="_1468075731" r:id="rId47">
            <o:LockedField>false</o:LockedField>
          </o:OLEObject>
        </w:object>
      </w:r>
    </w:p>
    <w:p>
      <w:pPr>
        <w:spacing w:line="276" w:lineRule="auto"/>
        <w:jc w:val="center"/>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图3.</w:t>
      </w:r>
      <w:r>
        <w:rPr>
          <w:rFonts w:hint="eastAsia" w:cs="Times New Roman" w:eastAsiaTheme="minorEastAsia"/>
          <w:b/>
          <w:caps w:val="0"/>
          <w:smallCaps w:val="0"/>
          <w:color w:val="000000" w:themeColor="text1"/>
          <w:sz w:val="24"/>
          <w:szCs w:val="24"/>
          <w:lang w:val="en-US" w:eastAsia="zh-CN"/>
          <w14:textFill>
            <w14:solidFill>
              <w14:schemeClr w14:val="tx1"/>
            </w14:solidFill>
          </w14:textFill>
        </w:rPr>
        <w:t>7</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-3本项目水平衡图</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 xml:space="preserve"> </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单位：m</w:t>
      </w:r>
      <w:r>
        <w:rPr>
          <w:rFonts w:ascii="Times New Roman" w:hAnsi="Times New Roman" w:cs="Times New Roman" w:eastAsiaTheme="minorEastAsia"/>
          <w:caps w:val="0"/>
          <w:smallCaps w:val="0"/>
          <w:color w:val="000000" w:themeColor="text1"/>
          <w:sz w:val="24"/>
          <w:szCs w:val="24"/>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/a</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废气</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本项目营运期影响大气质量的主要污染物主要为卸船过程中</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沥青烟、苯并芘、</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非甲烷总烃</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的排放。此外，还有来往船舶燃油产生的废气。</w:t>
      </w:r>
    </w:p>
    <w:p>
      <w:pPr>
        <w:adjustRightInd w:val="0"/>
        <w:snapToGrid w:val="0"/>
        <w:spacing w:line="360" w:lineRule="auto"/>
        <w:ind w:firstLine="564" w:firstLineChars="234"/>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1、装卸船无组织呼吸废气排放</w:t>
      </w:r>
    </w:p>
    <w:p>
      <w:pPr>
        <w:adjustRightInd w:val="0"/>
        <w:snapToGrid w:val="0"/>
        <w:spacing w:line="360" w:lineRule="auto"/>
        <w:ind w:firstLine="561" w:firstLineChars="234"/>
        <w:rPr>
          <w:rFonts w:ascii="Times New Roman" w:hAnsi="Times New Roman" w:cs="Times New Roman"/>
          <w:caps w:val="0"/>
          <w:smallCaps w:val="0"/>
          <w:sz w:val="24"/>
          <w:szCs w:val="24"/>
        </w:rPr>
      </w:pPr>
      <w:r>
        <w:rPr>
          <w:rFonts w:hint="eastAsia" w:ascii="Times New Roman" w:hAnsi="Times New Roman" w:cs="Times New Roman"/>
          <w:caps w:val="0"/>
          <w:smallCaps w:val="0"/>
          <w:sz w:val="24"/>
          <w:szCs w:val="24"/>
        </w:rPr>
        <w:t>项目储运</w:t>
      </w:r>
      <w:r>
        <w:rPr>
          <w:rFonts w:ascii="Times New Roman" w:hAnsi="Times New Roman" w:cs="Times New Roman"/>
          <w:caps w:val="0"/>
          <w:smallCaps w:val="0"/>
          <w:sz w:val="24"/>
          <w:szCs w:val="24"/>
        </w:rPr>
        <w:t>的沥青为石油沥青，它是原油蒸馏后的残渣，石油沥青青</w:t>
      </w:r>
      <w:r>
        <w:rPr>
          <w:rFonts w:hint="eastAsia" w:ascii="Times New Roman" w:hAnsi="Times New Roman" w:cs="Times New Roman"/>
          <w:caps w:val="0"/>
          <w:smallCaps w:val="0"/>
          <w:sz w:val="24"/>
          <w:szCs w:val="24"/>
        </w:rPr>
        <w:t>黑</w:t>
      </w:r>
      <w:r>
        <w:rPr>
          <w:rFonts w:ascii="Times New Roman" w:hAnsi="Times New Roman" w:cs="Times New Roman"/>
          <w:caps w:val="0"/>
          <w:smallCaps w:val="0"/>
          <w:sz w:val="24"/>
          <w:szCs w:val="24"/>
        </w:rPr>
        <w:t>而有光泽，具有较高的感</w:t>
      </w:r>
      <w:r>
        <w:rPr>
          <w:rFonts w:hint="eastAsia" w:ascii="Times New Roman" w:hAnsi="Times New Roman" w:cs="Times New Roman"/>
          <w:caps w:val="0"/>
          <w:smallCaps w:val="0"/>
          <w:sz w:val="24"/>
          <w:szCs w:val="24"/>
        </w:rPr>
        <w:t>温</w:t>
      </w:r>
      <w:r>
        <w:rPr>
          <w:rFonts w:ascii="Times New Roman" w:hAnsi="Times New Roman" w:cs="Times New Roman"/>
          <w:caps w:val="0"/>
          <w:smallCaps w:val="0"/>
          <w:sz w:val="24"/>
          <w:szCs w:val="24"/>
        </w:rPr>
        <w:t>性，由于它在生产过程中曾</w:t>
      </w:r>
      <w:r>
        <w:rPr>
          <w:rFonts w:hint="eastAsia" w:ascii="Times New Roman" w:hAnsi="Times New Roman" w:cs="Times New Roman"/>
          <w:caps w:val="0"/>
          <w:smallCaps w:val="0"/>
          <w:sz w:val="24"/>
          <w:szCs w:val="24"/>
        </w:rPr>
        <w:t>蒸馏</w:t>
      </w:r>
      <w:r>
        <w:rPr>
          <w:rFonts w:ascii="Times New Roman" w:hAnsi="Times New Roman" w:cs="Times New Roman"/>
          <w:caps w:val="0"/>
          <w:smallCaps w:val="0"/>
          <w:sz w:val="24"/>
          <w:szCs w:val="24"/>
        </w:rPr>
        <w:t>至</w:t>
      </w:r>
      <w:r>
        <w:rPr>
          <w:rFonts w:hint="eastAsia" w:ascii="Times New Roman" w:hAnsi="Times New Roman" w:cs="Times New Roman"/>
          <w:caps w:val="0"/>
          <w:smallCaps w:val="0"/>
          <w:sz w:val="24"/>
          <w:szCs w:val="24"/>
        </w:rPr>
        <w:t>400℃以上</w:t>
      </w:r>
      <w:r>
        <w:rPr>
          <w:rFonts w:ascii="Times New Roman" w:hAnsi="Times New Roman" w:cs="Times New Roman"/>
          <w:caps w:val="0"/>
          <w:smallCaps w:val="0"/>
          <w:sz w:val="24"/>
          <w:szCs w:val="24"/>
        </w:rPr>
        <w:t>，因而所含挥发成分较少。</w:t>
      </w:r>
    </w:p>
    <w:p>
      <w:pPr>
        <w:adjustRightInd w:val="0"/>
        <w:snapToGrid w:val="0"/>
        <w:spacing w:line="360" w:lineRule="auto"/>
        <w:ind w:firstLine="561" w:firstLineChars="234"/>
        <w:rPr>
          <w:rFonts w:ascii="Times New Roman" w:hAnsi="Times New Roman" w:cs="Times New Roman"/>
          <w:caps w:val="0"/>
          <w:smallCaps w:val="0"/>
          <w:sz w:val="24"/>
          <w:szCs w:val="24"/>
        </w:rPr>
      </w:pPr>
      <w:r>
        <w:rPr>
          <w:rFonts w:ascii="Times New Roman" w:hAnsi="Times New Roman" w:cs="Times New Roman"/>
          <w:caps w:val="0"/>
          <w:smallCaps w:val="0"/>
          <w:sz w:val="24"/>
          <w:szCs w:val="24"/>
        </w:rPr>
        <w:t>沥青烟是指沥青在加热工程中排放的液态烃类有机颗粒物质和少量在常温下的气态烃类物质，它含多种化学物质的混合烟气，以烃类混合物为主要成分，其中含多环芳烃类物质尤多，以苯并（a）芘为代表的多环芳烃类物质是强致癌物。大气中多环芳烃类物质的存在，是引起呼吸道癌症上升的一个重要原因。纯苯并（a）芘为黄色针状晶体，熔点179</w:t>
      </w:r>
      <w:r>
        <w:rPr>
          <w:rFonts w:hint="eastAsia" w:ascii="Times New Roman" w:hAnsi="Times New Roman" w:cs="Times New Roman"/>
          <w:caps w:val="0"/>
          <w:smallCaps w:val="0"/>
          <w:sz w:val="24"/>
          <w:szCs w:val="24"/>
        </w:rPr>
        <w:t>℃</w:t>
      </w:r>
      <w:r>
        <w:rPr>
          <w:rFonts w:ascii="Times New Roman" w:hAnsi="Times New Roman" w:cs="Times New Roman"/>
          <w:caps w:val="0"/>
          <w:smallCaps w:val="0"/>
          <w:sz w:val="24"/>
          <w:szCs w:val="24"/>
        </w:rPr>
        <w:t>，沸点310</w:t>
      </w:r>
      <w:r>
        <w:rPr>
          <w:rFonts w:hint="eastAsia" w:ascii="Times New Roman" w:hAnsi="Times New Roman" w:cs="Times New Roman"/>
          <w:caps w:val="0"/>
          <w:smallCaps w:val="0"/>
          <w:sz w:val="24"/>
          <w:szCs w:val="24"/>
        </w:rPr>
        <w:t>℃</w:t>
      </w:r>
      <w:r>
        <w:rPr>
          <w:rFonts w:ascii="Times New Roman" w:hAnsi="Times New Roman" w:cs="Times New Roman"/>
          <w:caps w:val="0"/>
          <w:smallCaps w:val="0"/>
          <w:sz w:val="24"/>
          <w:szCs w:val="24"/>
        </w:rPr>
        <w:t>左右，能溶于苯，稍溶于醇，不溶于水，是石油沥青中的强致癌物，可引起皮肤癌症，在沥青油烟中，其通常附在直径在8.0um以下的颗粒上。</w:t>
      </w:r>
    </w:p>
    <w:p>
      <w:pPr>
        <w:adjustRightInd w:val="0"/>
        <w:snapToGrid w:val="0"/>
        <w:spacing w:line="360" w:lineRule="auto"/>
        <w:ind w:firstLine="561" w:firstLineChars="234"/>
        <w:rPr>
          <w:rFonts w:hint="eastAsia" w:ascii="Times New Roman" w:hAnsi="Times New Roman" w:cs="Times New Roman"/>
          <w:caps w:val="0"/>
          <w:smallCaps w:val="0"/>
          <w:sz w:val="24"/>
          <w:szCs w:val="24"/>
        </w:rPr>
      </w:pPr>
      <w:r>
        <w:rPr>
          <w:rFonts w:hint="eastAsia" w:ascii="Times New Roman" w:hAnsi="Times New Roman" w:cs="Times New Roman"/>
          <w:caps w:val="0"/>
          <w:smallCaps w:val="0"/>
          <w:sz w:val="24"/>
          <w:szCs w:val="24"/>
        </w:rPr>
        <w:t>由于</w:t>
      </w:r>
      <w:r>
        <w:rPr>
          <w:rFonts w:hint="eastAsia" w:ascii="Times New Roman" w:hAnsi="Times New Roman" w:cs="Times New Roman"/>
          <w:caps w:val="0"/>
          <w:smallCaps w:val="0"/>
          <w:sz w:val="24"/>
          <w:szCs w:val="24"/>
          <w:lang w:val="en-US" w:eastAsia="zh-CN"/>
        </w:rPr>
        <w:t>装船</w:t>
      </w:r>
      <w:r>
        <w:rPr>
          <w:rFonts w:ascii="Times New Roman" w:hAnsi="Times New Roman" w:cs="Times New Roman"/>
          <w:caps w:val="0"/>
          <w:smallCaps w:val="0"/>
          <w:sz w:val="24"/>
          <w:szCs w:val="24"/>
        </w:rPr>
        <w:t>沥青储存</w:t>
      </w:r>
      <w:r>
        <w:rPr>
          <w:rFonts w:hint="eastAsia" w:ascii="Times New Roman" w:hAnsi="Times New Roman" w:cs="Times New Roman"/>
          <w:caps w:val="0"/>
          <w:smallCaps w:val="0"/>
          <w:sz w:val="24"/>
          <w:szCs w:val="24"/>
        </w:rPr>
        <w:t>温度在60~80℃之间，温度较低，沥青在此温度下几乎不产生沥青烟，因此沥青</w:t>
      </w:r>
      <w:r>
        <w:rPr>
          <w:rFonts w:ascii="Times New Roman" w:hAnsi="Times New Roman" w:cs="Times New Roman"/>
          <w:caps w:val="0"/>
          <w:smallCaps w:val="0"/>
          <w:sz w:val="24"/>
          <w:szCs w:val="24"/>
        </w:rPr>
        <w:t>储存、</w:t>
      </w:r>
      <w:r>
        <w:rPr>
          <w:rFonts w:hint="eastAsia" w:ascii="Times New Roman" w:hAnsi="Times New Roman" w:cs="Times New Roman"/>
          <w:caps w:val="0"/>
          <w:smallCaps w:val="0"/>
          <w:sz w:val="24"/>
          <w:szCs w:val="24"/>
        </w:rPr>
        <w:t>装卸</w:t>
      </w:r>
      <w:r>
        <w:rPr>
          <w:rFonts w:ascii="Times New Roman" w:hAnsi="Times New Roman" w:cs="Times New Roman"/>
          <w:caps w:val="0"/>
          <w:smallCaps w:val="0"/>
          <w:sz w:val="24"/>
          <w:szCs w:val="24"/>
        </w:rPr>
        <w:t>和乳化沥青加工过程中产生的废气较小</w:t>
      </w:r>
      <w:r>
        <w:rPr>
          <w:rFonts w:hint="eastAsia" w:ascii="Times New Roman" w:hAnsi="Times New Roman" w:cs="Times New Roman"/>
          <w:caps w:val="0"/>
          <w:smallCaps w:val="0"/>
          <w:sz w:val="24"/>
          <w:szCs w:val="24"/>
        </w:rPr>
        <w:t>。根据</w:t>
      </w:r>
      <w:r>
        <w:rPr>
          <w:rFonts w:ascii="Times New Roman" w:hAnsi="Times New Roman" w:cs="Times New Roman"/>
          <w:caps w:val="0"/>
          <w:smallCaps w:val="0"/>
          <w:sz w:val="24"/>
          <w:szCs w:val="24"/>
        </w:rPr>
        <w:t>《</w:t>
      </w:r>
      <w:r>
        <w:rPr>
          <w:rFonts w:hint="eastAsia" w:ascii="Times New Roman" w:hAnsi="Times New Roman" w:cs="Times New Roman"/>
          <w:caps w:val="0"/>
          <w:smallCaps w:val="0"/>
          <w:sz w:val="24"/>
          <w:szCs w:val="24"/>
        </w:rPr>
        <w:t>壳</w:t>
      </w:r>
      <w:r>
        <w:rPr>
          <w:rFonts w:ascii="Times New Roman" w:hAnsi="Times New Roman" w:cs="Times New Roman"/>
          <w:caps w:val="0"/>
          <w:smallCaps w:val="0"/>
          <w:sz w:val="24"/>
          <w:szCs w:val="24"/>
        </w:rPr>
        <w:t>牌</w:t>
      </w:r>
      <w:r>
        <w:rPr>
          <w:rFonts w:hint="eastAsia" w:ascii="Times New Roman" w:hAnsi="Times New Roman" w:cs="Times New Roman"/>
          <w:caps w:val="0"/>
          <w:smallCaps w:val="0"/>
          <w:sz w:val="24"/>
          <w:szCs w:val="24"/>
        </w:rPr>
        <w:t>沥青</w:t>
      </w:r>
      <w:r>
        <w:rPr>
          <w:rFonts w:ascii="Times New Roman" w:hAnsi="Times New Roman" w:cs="Times New Roman"/>
          <w:caps w:val="0"/>
          <w:smallCaps w:val="0"/>
          <w:sz w:val="24"/>
          <w:szCs w:val="24"/>
        </w:rPr>
        <w:t>手册》</w:t>
      </w:r>
      <w:r>
        <w:rPr>
          <w:rFonts w:hint="eastAsia" w:ascii="Times New Roman" w:hAnsi="Times New Roman" w:cs="Times New Roman"/>
          <w:caps w:val="0"/>
          <w:smallCaps w:val="0"/>
          <w:sz w:val="24"/>
          <w:szCs w:val="24"/>
        </w:rPr>
        <w:t>（壳牌大</w:t>
      </w:r>
      <w:r>
        <w:rPr>
          <w:rFonts w:ascii="Times New Roman" w:hAnsi="Times New Roman" w:cs="Times New Roman"/>
          <w:caps w:val="0"/>
          <w:smallCaps w:val="0"/>
          <w:sz w:val="24"/>
          <w:szCs w:val="24"/>
        </w:rPr>
        <w:t>中华集团，</w:t>
      </w:r>
      <w:r>
        <w:rPr>
          <w:rFonts w:hint="eastAsia" w:ascii="Times New Roman" w:hAnsi="Times New Roman" w:cs="Times New Roman"/>
          <w:caps w:val="0"/>
          <w:smallCaps w:val="0"/>
          <w:sz w:val="24"/>
          <w:szCs w:val="24"/>
        </w:rPr>
        <w:t>1995年9月</w:t>
      </w:r>
      <w:r>
        <w:rPr>
          <w:rFonts w:ascii="Times New Roman" w:hAnsi="Times New Roman" w:cs="Times New Roman"/>
          <w:caps w:val="0"/>
          <w:smallCaps w:val="0"/>
          <w:sz w:val="24"/>
          <w:szCs w:val="24"/>
        </w:rPr>
        <w:t>初版）</w:t>
      </w:r>
      <w:r>
        <w:rPr>
          <w:rFonts w:hint="eastAsia" w:ascii="Times New Roman" w:hAnsi="Times New Roman" w:cs="Times New Roman"/>
          <w:caps w:val="0"/>
          <w:smallCaps w:val="0"/>
          <w:sz w:val="24"/>
          <w:szCs w:val="24"/>
        </w:rPr>
        <w:t>，</w:t>
      </w:r>
      <w:r>
        <w:rPr>
          <w:rFonts w:ascii="Times New Roman" w:hAnsi="Times New Roman" w:cs="Times New Roman"/>
          <w:caps w:val="0"/>
          <w:smallCaps w:val="0"/>
          <w:sz w:val="24"/>
          <w:szCs w:val="24"/>
        </w:rPr>
        <w:t>石油沥青中非甲烷总</w:t>
      </w:r>
      <w:r>
        <w:rPr>
          <w:rFonts w:hint="eastAsia" w:ascii="Times New Roman" w:hAnsi="Times New Roman" w:cs="Times New Roman"/>
          <w:caps w:val="0"/>
          <w:smallCaps w:val="0"/>
          <w:sz w:val="24"/>
          <w:szCs w:val="24"/>
        </w:rPr>
        <w:t>烃</w:t>
      </w:r>
      <w:r>
        <w:rPr>
          <w:rFonts w:ascii="Times New Roman" w:hAnsi="Times New Roman" w:cs="Times New Roman"/>
          <w:caps w:val="0"/>
          <w:smallCaps w:val="0"/>
          <w:sz w:val="24"/>
          <w:szCs w:val="24"/>
        </w:rPr>
        <w:t>含量约</w:t>
      </w:r>
      <w:r>
        <w:rPr>
          <w:rFonts w:hint="eastAsia" w:ascii="Times New Roman" w:hAnsi="Times New Roman" w:cs="Times New Roman"/>
          <w:caps w:val="0"/>
          <w:smallCaps w:val="0"/>
          <w:sz w:val="24"/>
          <w:szCs w:val="24"/>
        </w:rPr>
        <w:t>2.5</w:t>
      </w:r>
      <w:r>
        <w:rPr>
          <w:rFonts w:ascii="Times New Roman" w:hAnsi="Times New Roman" w:cs="Times New Roman"/>
          <w:caps w:val="0"/>
          <w:smallCaps w:val="0"/>
          <w:sz w:val="24"/>
          <w:szCs w:val="24"/>
        </w:rPr>
        <w:t>g/t</w:t>
      </w:r>
      <w:r>
        <w:rPr>
          <w:rFonts w:hint="eastAsia" w:ascii="Times New Roman" w:hAnsi="Times New Roman" w:cs="Times New Roman"/>
          <w:caps w:val="0"/>
          <w:smallCaps w:val="0"/>
          <w:sz w:val="24"/>
          <w:szCs w:val="24"/>
        </w:rPr>
        <w:t>，</w:t>
      </w:r>
      <w:r>
        <w:rPr>
          <w:rFonts w:ascii="Times New Roman" w:hAnsi="Times New Roman" w:cs="Times New Roman"/>
          <w:caps w:val="0"/>
          <w:smallCaps w:val="0"/>
          <w:sz w:val="24"/>
          <w:szCs w:val="24"/>
        </w:rPr>
        <w:t>本项目储运沥青约</w:t>
      </w:r>
      <w:r>
        <w:rPr>
          <w:rFonts w:hint="eastAsia" w:ascii="Times New Roman" w:hAnsi="Times New Roman" w:cs="Times New Roman"/>
          <w:caps w:val="0"/>
          <w:smallCaps w:val="0"/>
          <w:sz w:val="24"/>
          <w:szCs w:val="24"/>
          <w:lang w:val="en-US" w:eastAsia="zh-CN"/>
        </w:rPr>
        <w:t>25</w:t>
      </w:r>
      <w:r>
        <w:rPr>
          <w:rFonts w:hint="eastAsia" w:ascii="Times New Roman" w:hAnsi="Times New Roman" w:cs="Times New Roman"/>
          <w:caps w:val="0"/>
          <w:smallCaps w:val="0"/>
          <w:sz w:val="24"/>
          <w:szCs w:val="24"/>
        </w:rPr>
        <w:t>万t/a，</w:t>
      </w:r>
      <w:r>
        <w:rPr>
          <w:rFonts w:ascii="Times New Roman" w:hAnsi="Times New Roman" w:cs="Times New Roman"/>
          <w:caps w:val="0"/>
          <w:smallCaps w:val="0"/>
          <w:sz w:val="24"/>
          <w:szCs w:val="24"/>
        </w:rPr>
        <w:t>按沥青中非甲烷总</w:t>
      </w:r>
      <w:r>
        <w:rPr>
          <w:rFonts w:hint="eastAsia" w:ascii="Times New Roman" w:hAnsi="Times New Roman" w:cs="Times New Roman"/>
          <w:caps w:val="0"/>
          <w:smallCaps w:val="0"/>
          <w:sz w:val="24"/>
          <w:szCs w:val="24"/>
        </w:rPr>
        <w:t>烃全部</w:t>
      </w:r>
      <w:r>
        <w:rPr>
          <w:rFonts w:ascii="Times New Roman" w:hAnsi="Times New Roman" w:cs="Times New Roman"/>
          <w:caps w:val="0"/>
          <w:smallCaps w:val="0"/>
          <w:sz w:val="24"/>
          <w:szCs w:val="24"/>
        </w:rPr>
        <w:t>挥发计算，则</w:t>
      </w:r>
      <w:r>
        <w:rPr>
          <w:rFonts w:hint="eastAsia" w:ascii="Times New Roman" w:hAnsi="Times New Roman" w:cs="Times New Roman"/>
          <w:caps w:val="0"/>
          <w:smallCaps w:val="0"/>
          <w:sz w:val="24"/>
          <w:szCs w:val="24"/>
        </w:rPr>
        <w:t>沥青</w:t>
      </w:r>
      <w:r>
        <w:rPr>
          <w:rFonts w:ascii="Times New Roman" w:hAnsi="Times New Roman" w:cs="Times New Roman"/>
          <w:caps w:val="0"/>
          <w:smallCaps w:val="0"/>
          <w:sz w:val="24"/>
          <w:szCs w:val="24"/>
        </w:rPr>
        <w:t>储存、</w:t>
      </w:r>
      <w:r>
        <w:rPr>
          <w:rFonts w:hint="eastAsia" w:ascii="Times New Roman" w:hAnsi="Times New Roman" w:cs="Times New Roman"/>
          <w:caps w:val="0"/>
          <w:smallCaps w:val="0"/>
          <w:sz w:val="24"/>
          <w:szCs w:val="24"/>
        </w:rPr>
        <w:t>装卸</w:t>
      </w:r>
      <w:r>
        <w:rPr>
          <w:rFonts w:ascii="Times New Roman" w:hAnsi="Times New Roman" w:cs="Times New Roman"/>
          <w:caps w:val="0"/>
          <w:smallCaps w:val="0"/>
          <w:sz w:val="24"/>
          <w:szCs w:val="24"/>
        </w:rPr>
        <w:t>过程中</w:t>
      </w:r>
      <w:r>
        <w:rPr>
          <w:rFonts w:hint="eastAsia" w:ascii="Times New Roman" w:hAnsi="Times New Roman" w:cs="Times New Roman"/>
          <w:caps w:val="0"/>
          <w:smallCaps w:val="0"/>
          <w:sz w:val="24"/>
          <w:szCs w:val="24"/>
        </w:rPr>
        <w:t>非</w:t>
      </w:r>
      <w:r>
        <w:rPr>
          <w:rFonts w:ascii="Times New Roman" w:hAnsi="Times New Roman" w:cs="Times New Roman"/>
          <w:caps w:val="0"/>
          <w:smallCaps w:val="0"/>
          <w:sz w:val="24"/>
          <w:szCs w:val="24"/>
        </w:rPr>
        <w:t>甲烷总</w:t>
      </w:r>
      <w:r>
        <w:rPr>
          <w:rFonts w:hint="eastAsia" w:ascii="Times New Roman" w:hAnsi="Times New Roman" w:cs="Times New Roman"/>
          <w:caps w:val="0"/>
          <w:smallCaps w:val="0"/>
          <w:sz w:val="24"/>
          <w:szCs w:val="24"/>
        </w:rPr>
        <w:t>烃</w:t>
      </w:r>
      <w:r>
        <w:rPr>
          <w:rFonts w:ascii="Times New Roman" w:hAnsi="Times New Roman" w:cs="Times New Roman"/>
          <w:caps w:val="0"/>
          <w:smallCaps w:val="0"/>
          <w:sz w:val="24"/>
          <w:szCs w:val="24"/>
        </w:rPr>
        <w:t>挥发量</w:t>
      </w:r>
      <w:r>
        <w:rPr>
          <w:rFonts w:hint="eastAsia" w:ascii="Times New Roman" w:hAnsi="Times New Roman" w:cs="Times New Roman"/>
          <w:caps w:val="0"/>
          <w:smallCaps w:val="0"/>
          <w:sz w:val="24"/>
          <w:szCs w:val="24"/>
        </w:rPr>
        <w:t>总计</w:t>
      </w:r>
      <w:r>
        <w:rPr>
          <w:rFonts w:hint="eastAsia" w:ascii="Times New Roman" w:hAnsi="Times New Roman" w:cs="Times New Roman"/>
          <w:caps w:val="0"/>
          <w:smallCaps w:val="0"/>
          <w:sz w:val="24"/>
          <w:szCs w:val="24"/>
          <w:lang w:val="en-US" w:eastAsia="zh-CN"/>
        </w:rPr>
        <w:t>625</w:t>
      </w:r>
      <w:r>
        <w:rPr>
          <w:rFonts w:hint="eastAsia" w:ascii="Times New Roman" w:hAnsi="Times New Roman" w:cs="Times New Roman"/>
          <w:caps w:val="0"/>
          <w:smallCaps w:val="0"/>
          <w:sz w:val="24"/>
          <w:szCs w:val="24"/>
        </w:rPr>
        <w:t>kg/a。</w:t>
      </w:r>
    </w:p>
    <w:p>
      <w:pPr>
        <w:adjustRightInd w:val="0"/>
        <w:snapToGrid w:val="0"/>
        <w:spacing w:line="360" w:lineRule="auto"/>
        <w:ind w:firstLine="561" w:firstLineChars="234"/>
        <w:rPr>
          <w:rFonts w:ascii="Times New Roman" w:hAnsi="Times New Roman" w:cs="Times New Roman" w:eastAsiaTheme="minorEastAsia"/>
          <w:caps w:val="0"/>
          <w:smallCaps w:val="0"/>
          <w:color w:val="FF0000"/>
          <w:sz w:val="24"/>
          <w:szCs w:val="24"/>
          <w:u w:val="none"/>
        </w:rPr>
      </w:pPr>
      <w:r>
        <w:rPr>
          <w:rFonts w:ascii="Times New Roman" w:hAnsi="Times New Roman" w:cs="Times New Roman"/>
          <w:caps w:val="0"/>
          <w:smallCaps w:val="0"/>
          <w:kern w:val="0"/>
          <w:sz w:val="24"/>
          <w:u w:val="none"/>
        </w:rPr>
        <w:t>本项</w:t>
      </w:r>
      <w:r>
        <w:rPr>
          <w:rFonts w:hint="eastAsia" w:ascii="Times New Roman" w:hAnsi="Times New Roman" w:cs="Times New Roman"/>
          <w:caps w:val="0"/>
          <w:smallCaps w:val="0"/>
          <w:kern w:val="0"/>
          <w:sz w:val="24"/>
          <w:u w:val="none"/>
          <w:lang w:val="en-US" w:eastAsia="zh-CN"/>
        </w:rPr>
        <w:t>目</w:t>
      </w:r>
      <w:r>
        <w:rPr>
          <w:rFonts w:ascii="Times New Roman" w:hAnsi="Times New Roman" w:cs="Times New Roman"/>
          <w:caps w:val="0"/>
          <w:smallCaps w:val="0"/>
          <w:kern w:val="0"/>
          <w:sz w:val="24"/>
          <w:u w:val="none"/>
        </w:rPr>
        <w:t>卸船时船舱内形成负压，空气连续进入船舱，</w:t>
      </w:r>
      <w:r>
        <w:rPr>
          <w:rFonts w:hint="eastAsia" w:ascii="Times New Roman" w:hAnsi="Times New Roman" w:cs="Times New Roman"/>
          <w:caps w:val="0"/>
          <w:smallCaps w:val="0"/>
          <w:kern w:val="0"/>
          <w:sz w:val="24"/>
          <w:u w:val="none"/>
          <w:lang w:val="en-US" w:eastAsia="zh-CN"/>
        </w:rPr>
        <w:t>物料、废气随压力进入罐区</w:t>
      </w:r>
      <w:r>
        <w:rPr>
          <w:rFonts w:hint="eastAsia" w:cs="Times New Roman"/>
          <w:caps w:val="0"/>
          <w:smallCaps w:val="0"/>
          <w:kern w:val="0"/>
          <w:sz w:val="24"/>
          <w:u w:val="none"/>
          <w:lang w:val="en-US" w:eastAsia="zh-CN"/>
        </w:rPr>
        <w:t>，卸船废气经罐区废气收集装置收集送入库区废气处理装置处理；本项目在装船管线上设置了一根沥青烟气环保负压管线，装船时，装船废气经沥青烟气环保负压管线收集后送至后方库区废气处理装置。装卸</w:t>
      </w:r>
      <w:r>
        <w:rPr>
          <w:rFonts w:hint="eastAsia" w:ascii="Times New Roman" w:hAnsi="Times New Roman" w:cs="Times New Roman"/>
          <w:caps w:val="0"/>
          <w:smallCaps w:val="0"/>
          <w:kern w:val="0"/>
          <w:sz w:val="24"/>
          <w:u w:val="none"/>
          <w:lang w:val="en-US" w:eastAsia="zh-CN"/>
        </w:rPr>
        <w:t>废气的收集率达到95%以上，无组织排放量约为31.25Kg/a，按照年卸船时间1800h计算，排放速率为0.00174kg/h。</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2、船舶燃油废气</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船舶产生的燃油废气，排放的废气污染物主要是二氧化硫、氮氧化物、一氧化碳和烃类等。由于船舶停留时间较短，</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且停靠期间使用岸电，</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废气产生量很小，对周围大气环境影响很小，可以不予考虑。</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3、吹扫废气</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装卸主管及装卸臂扫线时，根据扫线流程，项目采用</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压缩空气</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将</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输送管道</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中的残余物料扫入</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储罐</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，可有效地减少废气的产生。扫线用的</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压缩空气</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来自</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船舶</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，扫线方向为由</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码头船舶</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向库区储罐吹扫。扫线结束后装卸主管及装卸臂内大部分为</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空气</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，断开装卸主管和装卸臂的连接后立即关紧装卸主管末端的阀门，防止管内残留的有机废气逸出。装卸主管阀门紧闭后有机废气逸出量较小，损耗量可以忽略。</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噪声</w:t>
      </w:r>
    </w:p>
    <w:p>
      <w:pPr>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本项目营运期间的噪声主要来源于码头机械噪声、船舶鸣笛产生的交通噪声等，其单机噪声值见下表。</w:t>
      </w:r>
    </w:p>
    <w:p>
      <w:pPr>
        <w:spacing w:line="360" w:lineRule="auto"/>
        <w:ind w:firstLine="482" w:firstLineChars="200"/>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-1</w:t>
      </w:r>
      <w:r>
        <w:rPr>
          <w:rFonts w:hint="eastAsia" w:cs="Times New Roman" w:eastAsiaTheme="minorEastAsia"/>
          <w:b/>
          <w:caps w:val="0"/>
          <w:smallCaps w:val="0"/>
          <w:color w:val="000000"/>
          <w:sz w:val="24"/>
          <w:szCs w:val="24"/>
          <w:lang w:val="en-US" w:eastAsia="zh-CN"/>
        </w:rPr>
        <w:t>3</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b/>
          <w:caps w:val="0"/>
          <w:smallCaps w:val="0"/>
          <w:color w:val="000000"/>
          <w:sz w:val="24"/>
          <w:szCs w:val="24"/>
        </w:rPr>
        <w:t>营运期噪声源估算表</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081"/>
        <w:gridCol w:w="3613"/>
        <w:gridCol w:w="2422"/>
        <w:gridCol w:w="1984"/>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9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198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设备名称</w:t>
            </w:r>
          </w:p>
        </w:tc>
        <w:tc>
          <w:tcPr>
            <w:tcW w:w="133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数量</w:t>
            </w:r>
          </w:p>
        </w:tc>
        <w:tc>
          <w:tcPr>
            <w:tcW w:w="109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Lmax(dB(A</w:t>
            </w:r>
            <w:r>
              <w:rPr>
                <w:rFonts w:hint="eastAsia" w:ascii="Times New Roman" w:hAnsi="Times New Roman" w:cs="Times New Roman"/>
                <w:caps w:val="0"/>
                <w:smallCaps w:val="0"/>
              </w:rPr>
              <w:t>)</w:t>
            </w:r>
            <w:r>
              <w:rPr>
                <w:rFonts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9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985"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输送</w:t>
            </w:r>
            <w:r>
              <w:rPr>
                <w:rFonts w:ascii="Times New Roman" w:hAnsi="Times New Roman" w:cs="Times New Roman"/>
                <w:caps w:val="0"/>
                <w:smallCaps w:val="0"/>
              </w:rPr>
              <w:t>泵</w:t>
            </w:r>
          </w:p>
        </w:tc>
        <w:tc>
          <w:tcPr>
            <w:tcW w:w="133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109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9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w:t>
            </w:r>
          </w:p>
        </w:tc>
        <w:tc>
          <w:tcPr>
            <w:tcW w:w="198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船舶鸣笛</w:t>
            </w:r>
          </w:p>
        </w:tc>
        <w:tc>
          <w:tcPr>
            <w:tcW w:w="133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109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9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w:t>
            </w:r>
          </w:p>
        </w:tc>
        <w:tc>
          <w:tcPr>
            <w:tcW w:w="198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船舶发动机</w:t>
            </w:r>
          </w:p>
        </w:tc>
        <w:tc>
          <w:tcPr>
            <w:tcW w:w="1331"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艘/天</w:t>
            </w:r>
          </w:p>
        </w:tc>
        <w:tc>
          <w:tcPr>
            <w:tcW w:w="1090" w:type="pct"/>
            <w:vAlign w:val="center"/>
          </w:tcPr>
          <w:p>
            <w:pPr>
              <w:pStyle w:val="117"/>
              <w:bidi w:val="0"/>
              <w:rPr>
                <w:rFonts w:hint="eastAsia" w:ascii="Times New Roman" w:hAnsi="Times New Roman" w:cs="Times New Roman"/>
                <w:caps w:val="0"/>
                <w:smallCaps w:val="0"/>
                <w:lang w:eastAsia="zh-CN"/>
              </w:rPr>
            </w:pPr>
            <w:r>
              <w:rPr>
                <w:rFonts w:ascii="Times New Roman" w:hAnsi="Times New Roman" w:cs="Times New Roman"/>
                <w:caps w:val="0"/>
                <w:smallCaps w:val="0"/>
              </w:rPr>
              <w:t>10</w:t>
            </w:r>
            <w:r>
              <w:rPr>
                <w:rFonts w:hint="eastAsia" w:ascii="Times New Roman" w:hAnsi="Times New Roman" w:cs="Times New Roman"/>
                <w:caps w:val="0"/>
                <w:smallCaps w:val="0"/>
                <w:lang w:val="en-US" w:eastAsia="zh-CN"/>
              </w:rPr>
              <w:t>0</w:t>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固体废弃物</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lang w:val="zh-CN"/>
        </w:rPr>
      </w:pPr>
      <w:r>
        <w:rPr>
          <w:rFonts w:ascii="Times New Roman" w:hAnsi="Times New Roman" w:cs="Times New Roman" w:eastAsiaTheme="minorEastAsia"/>
          <w:caps w:val="0"/>
          <w:smallCaps w:val="0"/>
          <w:color w:val="000000"/>
          <w:sz w:val="24"/>
          <w:szCs w:val="24"/>
          <w:lang w:val="zh-CN"/>
        </w:rPr>
        <w:t>项目产生的固体废物主要包括港区工作人员生活垃圾、到港船舶生活垃圾、装卸作业废油</w:t>
      </w:r>
      <w:r>
        <w:rPr>
          <w:rFonts w:hint="eastAsia" w:ascii="Times New Roman" w:hAnsi="Times New Roman" w:cs="Times New Roman" w:eastAsiaTheme="minorEastAsia"/>
          <w:caps w:val="0"/>
          <w:smallCaps w:val="0"/>
          <w:color w:val="000000"/>
          <w:sz w:val="24"/>
          <w:szCs w:val="24"/>
          <w:lang w:val="zh-CN"/>
        </w:rPr>
        <w:t>、</w:t>
      </w:r>
      <w:r>
        <w:rPr>
          <w:rFonts w:ascii="Times New Roman" w:hAnsi="Times New Roman" w:cs="Times New Roman" w:eastAsiaTheme="minorEastAsia"/>
          <w:caps w:val="0"/>
          <w:smallCaps w:val="0"/>
          <w:color w:val="000000"/>
          <w:sz w:val="24"/>
          <w:szCs w:val="24"/>
          <w:lang w:val="zh-CN"/>
        </w:rPr>
        <w:t>废含油抹布</w:t>
      </w:r>
      <w:r>
        <w:rPr>
          <w:rFonts w:hint="eastAsia" w:ascii="Times New Roman" w:hAnsi="Times New Roman" w:cs="Times New Roman" w:eastAsiaTheme="minorEastAsia"/>
          <w:caps w:val="0"/>
          <w:smallCaps w:val="0"/>
          <w:color w:val="000000"/>
          <w:sz w:val="24"/>
          <w:szCs w:val="24"/>
          <w:lang w:val="zh-CN"/>
        </w:rPr>
        <w:t>、</w:t>
      </w:r>
      <w:r>
        <w:rPr>
          <w:rFonts w:hint="eastAsia" w:ascii="Times New Roman" w:hAnsi="Times New Roman" w:cs="Times New Roman" w:eastAsiaTheme="minorEastAsia"/>
          <w:caps w:val="0"/>
          <w:smallCaps w:val="0"/>
          <w:color w:val="000000"/>
          <w:sz w:val="24"/>
          <w:szCs w:val="24"/>
          <w:lang w:val="en-US" w:eastAsia="zh-CN"/>
        </w:rPr>
        <w:t>废沥青</w:t>
      </w:r>
      <w:r>
        <w:rPr>
          <w:rFonts w:ascii="Times New Roman" w:hAnsi="Times New Roman" w:cs="Times New Roman" w:eastAsiaTheme="minorEastAsia"/>
          <w:caps w:val="0"/>
          <w:smallCaps w:val="0"/>
          <w:color w:val="000000"/>
          <w:sz w:val="24"/>
          <w:szCs w:val="24"/>
          <w:lang w:val="zh-CN"/>
        </w:rPr>
        <w:t>。</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lang w:val="zh-CN"/>
        </w:rPr>
      </w:pPr>
      <w:r>
        <w:rPr>
          <w:rFonts w:ascii="Times New Roman" w:hAnsi="Times New Roman" w:cs="Times New Roman" w:eastAsiaTheme="minorEastAsia"/>
          <w:b/>
          <w:caps w:val="0"/>
          <w:smallCaps w:val="0"/>
          <w:color w:val="000000"/>
          <w:sz w:val="24"/>
          <w:szCs w:val="24"/>
          <w:lang w:val="zh-CN"/>
        </w:rPr>
        <w:t>1、港区工作人员生活垃圾</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lang w:val="zh-CN"/>
        </w:rPr>
      </w:pPr>
      <w:r>
        <w:rPr>
          <w:rFonts w:ascii="Times New Roman" w:hAnsi="Times New Roman" w:cs="Times New Roman" w:eastAsiaTheme="minorEastAsia"/>
          <w:caps w:val="0"/>
          <w:smallCaps w:val="0"/>
          <w:color w:val="000000"/>
          <w:sz w:val="24"/>
          <w:szCs w:val="24"/>
          <w:lang w:val="zh-CN"/>
        </w:rPr>
        <w:t>码头定员</w:t>
      </w:r>
      <w:r>
        <w:rPr>
          <w:rFonts w:hint="eastAsia" w:ascii="Times New Roman" w:hAnsi="Times New Roman" w:cs="Times New Roman" w:eastAsiaTheme="minorEastAsia"/>
          <w:caps w:val="0"/>
          <w:smallCaps w:val="0"/>
          <w:color w:val="000000"/>
          <w:sz w:val="24"/>
          <w:szCs w:val="24"/>
        </w:rPr>
        <w:t>15</w:t>
      </w:r>
      <w:r>
        <w:rPr>
          <w:rFonts w:ascii="Times New Roman" w:hAnsi="Times New Roman" w:cs="Times New Roman" w:eastAsiaTheme="minorEastAsia"/>
          <w:caps w:val="0"/>
          <w:smallCaps w:val="0"/>
          <w:color w:val="000000"/>
          <w:sz w:val="24"/>
          <w:szCs w:val="24"/>
          <w:lang w:val="zh-CN"/>
        </w:rPr>
        <w:t>人。工作人员生活垃圾产生量按0.5kg/天·人计算，工作人员生活垃圾产生量为</w:t>
      </w:r>
      <w:r>
        <w:rPr>
          <w:rFonts w:hint="eastAsia" w:ascii="Times New Roman" w:hAnsi="Times New Roman" w:cs="Times New Roman" w:eastAsiaTheme="minorEastAsia"/>
          <w:caps w:val="0"/>
          <w:smallCaps w:val="0"/>
          <w:color w:val="000000"/>
          <w:sz w:val="24"/>
          <w:szCs w:val="24"/>
        </w:rPr>
        <w:t>7.5</w:t>
      </w:r>
      <w:r>
        <w:rPr>
          <w:rFonts w:ascii="Times New Roman" w:hAnsi="Times New Roman" w:cs="Times New Roman" w:eastAsiaTheme="minorEastAsia"/>
          <w:caps w:val="0"/>
          <w:smallCaps w:val="0"/>
          <w:color w:val="000000"/>
          <w:sz w:val="24"/>
          <w:szCs w:val="24"/>
          <w:lang w:val="zh-CN"/>
        </w:rPr>
        <w:t>kg/d，</w:t>
      </w:r>
      <w:r>
        <w:rPr>
          <w:rFonts w:hint="eastAsia" w:ascii="Times New Roman" w:hAnsi="Times New Roman" w:cs="Times New Roman" w:eastAsiaTheme="minorEastAsia"/>
          <w:caps w:val="0"/>
          <w:smallCaps w:val="0"/>
          <w:color w:val="000000"/>
          <w:sz w:val="24"/>
          <w:szCs w:val="24"/>
        </w:rPr>
        <w:t>2.475</w:t>
      </w:r>
      <w:r>
        <w:rPr>
          <w:rFonts w:ascii="Times New Roman" w:hAnsi="Times New Roman" w:cs="Times New Roman" w:eastAsiaTheme="minorEastAsia"/>
          <w:caps w:val="0"/>
          <w:smallCaps w:val="0"/>
          <w:color w:val="000000"/>
          <w:sz w:val="24"/>
          <w:szCs w:val="24"/>
          <w:lang w:val="zh-CN"/>
        </w:rPr>
        <w:t>t/a，交由环卫处理部门清运。</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lang w:val="zh-CN"/>
        </w:rPr>
      </w:pPr>
      <w:r>
        <w:rPr>
          <w:rFonts w:ascii="Times New Roman" w:hAnsi="Times New Roman" w:cs="Times New Roman" w:eastAsiaTheme="minorEastAsia"/>
          <w:b/>
          <w:caps w:val="0"/>
          <w:smallCaps w:val="0"/>
          <w:color w:val="000000"/>
          <w:sz w:val="24"/>
          <w:szCs w:val="24"/>
          <w:lang w:val="zh-CN"/>
        </w:rPr>
        <w:t>2、到港船舶生活垃圾</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lang w:val="zh-CN"/>
        </w:rPr>
      </w:pPr>
      <w:r>
        <w:rPr>
          <w:rFonts w:ascii="Times New Roman" w:hAnsi="Times New Roman" w:cs="Times New Roman" w:eastAsiaTheme="minorEastAsia"/>
          <w:caps w:val="0"/>
          <w:smallCaps w:val="0"/>
          <w:color w:val="000000"/>
          <w:sz w:val="24"/>
          <w:szCs w:val="24"/>
          <w:lang w:val="zh-CN"/>
        </w:rPr>
        <w:t>码头年营运天数为</w:t>
      </w:r>
      <w:r>
        <w:rPr>
          <w:rFonts w:hint="eastAsia" w:ascii="Times New Roman" w:hAnsi="Times New Roman" w:cs="Times New Roman" w:eastAsiaTheme="minorEastAsia"/>
          <w:caps w:val="0"/>
          <w:smallCaps w:val="0"/>
          <w:color w:val="000000"/>
          <w:sz w:val="24"/>
          <w:szCs w:val="24"/>
        </w:rPr>
        <w:t>24</w:t>
      </w:r>
      <w:r>
        <w:rPr>
          <w:rFonts w:ascii="Times New Roman" w:hAnsi="Times New Roman" w:cs="Times New Roman" w:eastAsiaTheme="minorEastAsia"/>
          <w:caps w:val="0"/>
          <w:smallCaps w:val="0"/>
          <w:color w:val="000000"/>
          <w:sz w:val="24"/>
          <w:szCs w:val="24"/>
          <w:lang w:val="zh-CN"/>
        </w:rPr>
        <w:t>0天，到港船舶的船员以6人/艘估算，船员生活垃圾产生量按1kg/天·人计算，则到港船舶生活垃圾产生约为</w:t>
      </w:r>
      <w:r>
        <w:rPr>
          <w:rFonts w:hint="eastAsia" w:ascii="Times New Roman" w:hAnsi="Times New Roman" w:cs="Times New Roman" w:eastAsiaTheme="minorEastAsia"/>
          <w:caps w:val="0"/>
          <w:smallCaps w:val="0"/>
          <w:color w:val="000000"/>
          <w:sz w:val="24"/>
          <w:szCs w:val="24"/>
        </w:rPr>
        <w:t>6</w:t>
      </w:r>
      <w:r>
        <w:rPr>
          <w:rFonts w:ascii="Times New Roman" w:hAnsi="Times New Roman" w:cs="Times New Roman" w:eastAsiaTheme="minorEastAsia"/>
          <w:caps w:val="0"/>
          <w:smallCaps w:val="0"/>
          <w:color w:val="000000"/>
          <w:sz w:val="24"/>
          <w:szCs w:val="24"/>
          <w:lang w:val="zh-CN"/>
        </w:rPr>
        <w:t>kg/d，</w:t>
      </w:r>
      <w:r>
        <w:rPr>
          <w:rFonts w:hint="eastAsia" w:ascii="Times New Roman" w:hAnsi="Times New Roman" w:cs="Times New Roman" w:eastAsiaTheme="minorEastAsia"/>
          <w:caps w:val="0"/>
          <w:smallCaps w:val="0"/>
          <w:color w:val="000000"/>
          <w:sz w:val="24"/>
          <w:szCs w:val="24"/>
        </w:rPr>
        <w:t>1.44</w:t>
      </w:r>
      <w:r>
        <w:rPr>
          <w:rFonts w:ascii="Times New Roman" w:hAnsi="Times New Roman" w:cs="Times New Roman" w:eastAsiaTheme="minorEastAsia"/>
          <w:caps w:val="0"/>
          <w:smallCaps w:val="0"/>
          <w:color w:val="000000"/>
          <w:sz w:val="24"/>
          <w:szCs w:val="24"/>
          <w:lang w:val="zh-CN"/>
        </w:rPr>
        <w:t>t/a，由</w:t>
      </w:r>
      <w:r>
        <w:rPr>
          <w:rFonts w:hint="eastAsia" w:ascii="Times New Roman" w:hAnsi="Times New Roman" w:cs="Times New Roman" w:eastAsiaTheme="minorEastAsia"/>
          <w:caps w:val="0"/>
          <w:smallCaps w:val="0"/>
          <w:color w:val="000000"/>
          <w:sz w:val="24"/>
          <w:szCs w:val="24"/>
          <w:lang w:val="en-US" w:eastAsia="zh-CN"/>
        </w:rPr>
        <w:t>码头统一接收上岸，交环卫部门</w:t>
      </w:r>
      <w:r>
        <w:rPr>
          <w:rFonts w:ascii="Times New Roman" w:hAnsi="Times New Roman" w:cs="Times New Roman" w:eastAsiaTheme="minorEastAsia"/>
          <w:caps w:val="0"/>
          <w:smallCaps w:val="0"/>
          <w:color w:val="000000"/>
          <w:sz w:val="24"/>
          <w:szCs w:val="24"/>
          <w:lang w:val="zh-CN"/>
        </w:rPr>
        <w:t>统一处理。</w:t>
      </w:r>
    </w:p>
    <w:p>
      <w:pPr>
        <w:tabs>
          <w:tab w:val="left" w:pos="900"/>
        </w:tabs>
        <w:adjustRightInd w:val="0"/>
        <w:snapToGrid w:val="0"/>
        <w:spacing w:line="360" w:lineRule="auto"/>
        <w:ind w:firstLine="482" w:firstLineChars="200"/>
        <w:rPr>
          <w:rFonts w:ascii="Times New Roman" w:hAnsi="Times New Roman" w:cs="Times New Roman" w:eastAsiaTheme="minorEastAsia"/>
          <w:b/>
          <w:caps w:val="0"/>
          <w:smallCaps w:val="0"/>
          <w:color w:val="000000"/>
          <w:sz w:val="24"/>
          <w:szCs w:val="24"/>
          <w:lang w:val="zh-CN"/>
        </w:rPr>
      </w:pPr>
      <w:r>
        <w:rPr>
          <w:rFonts w:ascii="Times New Roman" w:hAnsi="Times New Roman" w:cs="Times New Roman" w:eastAsiaTheme="minorEastAsia"/>
          <w:b/>
          <w:caps w:val="0"/>
          <w:smallCaps w:val="0"/>
          <w:color w:val="000000"/>
          <w:sz w:val="24"/>
          <w:szCs w:val="24"/>
          <w:lang w:val="zh-CN"/>
        </w:rPr>
        <w:t>3、废油</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根据类比同类型项目，码头设备修理会产生少量废</w:t>
      </w:r>
      <w:r>
        <w:rPr>
          <w:rFonts w:hint="eastAsia" w:ascii="Times New Roman" w:hAnsi="Times New Roman" w:cs="Times New Roman" w:eastAsiaTheme="minorEastAsia"/>
          <w:caps w:val="0"/>
          <w:smallCaps w:val="0"/>
          <w:color w:val="000000"/>
          <w:sz w:val="24"/>
          <w:szCs w:val="24"/>
        </w:rPr>
        <w:t>润滑油</w:t>
      </w:r>
      <w:r>
        <w:rPr>
          <w:rFonts w:ascii="Times New Roman" w:hAnsi="Times New Roman" w:cs="Times New Roman" w:eastAsiaTheme="minorEastAsia"/>
          <w:caps w:val="0"/>
          <w:smallCaps w:val="0"/>
          <w:color w:val="000000"/>
          <w:sz w:val="24"/>
          <w:szCs w:val="24"/>
        </w:rPr>
        <w:t>，产生量约为0.</w:t>
      </w:r>
      <w:r>
        <w:rPr>
          <w:rFonts w:hint="eastAsia" w:ascii="Times New Roman" w:hAnsi="Times New Roman" w:cs="Times New Roman" w:eastAsiaTheme="minorEastAsia"/>
          <w:caps w:val="0"/>
          <w:smallCaps w:val="0"/>
          <w:color w:val="000000"/>
          <w:sz w:val="24"/>
          <w:szCs w:val="24"/>
        </w:rPr>
        <w:t>1</w:t>
      </w:r>
      <w:r>
        <w:rPr>
          <w:rFonts w:ascii="Times New Roman" w:hAnsi="Times New Roman" w:cs="Times New Roman" w:eastAsiaTheme="minorEastAsia"/>
          <w:caps w:val="0"/>
          <w:smallCaps w:val="0"/>
          <w:color w:val="000000"/>
          <w:sz w:val="24"/>
          <w:szCs w:val="24"/>
        </w:rPr>
        <w:t>t/a，该类废物属于危险废物（HW08废矿物油与含矿物油废物，废物代码为900-249-08），交由有资质的危废处置单位统一处理。</w:t>
      </w:r>
    </w:p>
    <w:p>
      <w:pPr>
        <w:tabs>
          <w:tab w:val="left" w:pos="900"/>
        </w:tabs>
        <w:adjustRightInd w:val="0"/>
        <w:snapToGrid w:val="0"/>
        <w:spacing w:line="360" w:lineRule="auto"/>
        <w:ind w:firstLine="482" w:firstLineChars="200"/>
        <w:rPr>
          <w:rFonts w:hint="eastAsia" w:ascii="Times New Roman" w:hAnsi="Times New Roman" w:cs="Times New Roman" w:eastAsiaTheme="minorEastAsia"/>
          <w:b/>
          <w:caps w:val="0"/>
          <w:smallCaps w:val="0"/>
          <w:color w:val="000000"/>
          <w:sz w:val="24"/>
          <w:szCs w:val="24"/>
          <w:lang w:val="en-US" w:eastAsia="zh-CN"/>
        </w:rPr>
      </w:pPr>
      <w:r>
        <w:rPr>
          <w:rFonts w:hint="eastAsia" w:ascii="Times New Roman" w:hAnsi="Times New Roman" w:cs="Times New Roman" w:eastAsiaTheme="minorEastAsia"/>
          <w:b/>
          <w:caps w:val="0"/>
          <w:smallCaps w:val="0"/>
          <w:color w:val="000000"/>
          <w:sz w:val="24"/>
          <w:szCs w:val="24"/>
          <w:lang w:val="en-US" w:eastAsia="zh-CN"/>
        </w:rPr>
        <w:t>4、废沥青</w:t>
      </w:r>
    </w:p>
    <w:p>
      <w:pPr>
        <w:tabs>
          <w:tab w:val="left" w:pos="900"/>
        </w:tabs>
        <w:adjustRightInd w:val="0"/>
        <w:snapToGrid w:val="0"/>
        <w:spacing w:line="360" w:lineRule="auto"/>
        <w:ind w:firstLine="480" w:firstLineChars="200"/>
        <w:rPr>
          <w:rFonts w:hint="default" w:ascii="Times New Roman" w:hAnsi="Times New Roman" w:cs="Times New Roman" w:eastAsiaTheme="minorEastAsia"/>
          <w:caps w:val="0"/>
          <w:smallCaps w:val="0"/>
          <w:color w:val="000000"/>
          <w:sz w:val="24"/>
          <w:szCs w:val="24"/>
          <w:lang w:val="en-US" w:eastAsia="zh-CN"/>
        </w:rPr>
      </w:pPr>
      <w:r>
        <w:rPr>
          <w:rFonts w:hint="eastAsia" w:ascii="Times New Roman" w:hAnsi="Times New Roman" w:cs="Times New Roman" w:eastAsiaTheme="minorEastAsia"/>
          <w:caps w:val="0"/>
          <w:smallCaps w:val="0"/>
          <w:color w:val="000000"/>
          <w:sz w:val="24"/>
          <w:szCs w:val="24"/>
          <w:lang w:val="en-US" w:eastAsia="zh-CN"/>
        </w:rPr>
        <w:t>沥青船在装卸沥青的时候，可能会在接管时产生泄漏，根据业主提供的资料，可能损耗年大约为1.5t/a。经收集后熔化回收利用。</w:t>
      </w:r>
    </w:p>
    <w:p>
      <w:pPr>
        <w:wordWrap/>
        <w:spacing w:line="360" w:lineRule="auto"/>
        <w:ind w:firstLine="482" w:firstLineChars="200"/>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-1</w:t>
      </w:r>
      <w:r>
        <w:rPr>
          <w:rFonts w:hint="eastAsia" w:cs="Times New Roman" w:eastAsiaTheme="minorEastAsia"/>
          <w:b/>
          <w:caps w:val="0"/>
          <w:smallCaps w:val="0"/>
          <w:color w:val="000000"/>
          <w:sz w:val="24"/>
          <w:szCs w:val="24"/>
          <w:lang w:val="en-US" w:eastAsia="zh-CN"/>
        </w:rPr>
        <w:t xml:space="preserve">4  </w:t>
      </w:r>
      <w:r>
        <w:rPr>
          <w:rFonts w:ascii="Times New Roman" w:hAnsi="Times New Roman" w:cs="Times New Roman" w:eastAsiaTheme="minorEastAsia"/>
          <w:b/>
          <w:caps w:val="0"/>
          <w:smallCaps w:val="0"/>
          <w:color w:val="000000"/>
          <w:sz w:val="24"/>
          <w:szCs w:val="24"/>
        </w:rPr>
        <w:t>本项目固体废物产排情况一览表</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caps w:val="0"/>
          <w:smallCaps w:val="0"/>
          <w:color w:val="000000"/>
          <w:sz w:val="24"/>
          <w:szCs w:val="24"/>
        </w:rPr>
        <w:t>单位：t/a</w:t>
      </w:r>
    </w:p>
    <w:tbl>
      <w:tblPr>
        <w:tblStyle w:val="71"/>
        <w:tblW w:w="5064" w:type="pct"/>
        <w:jc w:val="center"/>
        <w:tblLayout w:type="autofit"/>
        <w:tblCellMar>
          <w:top w:w="0" w:type="dxa"/>
          <w:left w:w="0" w:type="dxa"/>
          <w:bottom w:w="0" w:type="dxa"/>
          <w:right w:w="0" w:type="dxa"/>
        </w:tblCellMar>
      </w:tblPr>
      <w:tblGrid>
        <w:gridCol w:w="1574"/>
        <w:gridCol w:w="1093"/>
        <w:gridCol w:w="878"/>
        <w:gridCol w:w="878"/>
        <w:gridCol w:w="878"/>
        <w:gridCol w:w="878"/>
        <w:gridCol w:w="878"/>
        <w:gridCol w:w="2159"/>
      </w:tblGrid>
      <w:tr>
        <w:tblPrEx>
          <w:tblCellMar>
            <w:top w:w="0" w:type="dxa"/>
            <w:left w:w="0" w:type="dxa"/>
            <w:bottom w:w="0" w:type="dxa"/>
            <w:right w:w="0" w:type="dxa"/>
          </w:tblCellMar>
        </w:tblPrEx>
        <w:trPr>
          <w:trHeight w:val="340" w:hRule="atLeast"/>
          <w:tblHeader/>
          <w:jc w:val="center"/>
        </w:trPr>
        <w:tc>
          <w:tcPr>
            <w:tcW w:w="1570" w:type="dxa"/>
            <w:vMerge w:val="restart"/>
            <w:tcBorders>
              <w:top w:val="single" w:color="auto" w:sz="12" w:space="0"/>
              <w:left w:val="single" w:color="auto" w:sz="12"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工序</w:t>
            </w:r>
          </w:p>
        </w:tc>
        <w:tc>
          <w:tcPr>
            <w:tcW w:w="1090" w:type="dxa"/>
            <w:vMerge w:val="restart"/>
            <w:tcBorders>
              <w:top w:val="single" w:color="auto" w:sz="12" w:space="0"/>
              <w:left w:val="single" w:color="auto" w:sz="4"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装置</w:t>
            </w:r>
          </w:p>
        </w:tc>
        <w:tc>
          <w:tcPr>
            <w:tcW w:w="875" w:type="dxa"/>
            <w:vMerge w:val="restart"/>
            <w:tcBorders>
              <w:top w:val="single" w:color="auto" w:sz="12" w:space="0"/>
              <w:left w:val="single" w:color="auto" w:sz="4"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固体废物名称</w:t>
            </w:r>
          </w:p>
        </w:tc>
        <w:tc>
          <w:tcPr>
            <w:tcW w:w="875" w:type="dxa"/>
            <w:vMerge w:val="restart"/>
            <w:tcBorders>
              <w:top w:val="single" w:color="auto" w:sz="12" w:space="0"/>
              <w:left w:val="single" w:color="auto" w:sz="4"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属性</w:t>
            </w:r>
          </w:p>
        </w:tc>
        <w:tc>
          <w:tcPr>
            <w:tcW w:w="1750" w:type="dxa"/>
            <w:gridSpan w:val="2"/>
            <w:tcBorders>
              <w:top w:val="single" w:color="auto" w:sz="12" w:space="0"/>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产生情况</w:t>
            </w:r>
          </w:p>
        </w:tc>
        <w:tc>
          <w:tcPr>
            <w:tcW w:w="3027" w:type="dxa"/>
            <w:gridSpan w:val="2"/>
            <w:tcBorders>
              <w:top w:val="single" w:color="auto" w:sz="12" w:space="0"/>
              <w:left w:val="nil"/>
              <w:bottom w:val="single" w:color="auto" w:sz="4" w:space="0"/>
              <w:right w:val="single" w:color="auto" w:sz="12"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处置情况</w:t>
            </w:r>
          </w:p>
        </w:tc>
      </w:tr>
      <w:tr>
        <w:tblPrEx>
          <w:tblCellMar>
            <w:top w:w="0" w:type="dxa"/>
            <w:left w:w="0" w:type="dxa"/>
            <w:bottom w:w="0" w:type="dxa"/>
            <w:right w:w="0" w:type="dxa"/>
          </w:tblCellMar>
        </w:tblPrEx>
        <w:trPr>
          <w:trHeight w:val="340" w:hRule="atLeast"/>
          <w:tblHeader/>
          <w:jc w:val="center"/>
        </w:trPr>
        <w:tc>
          <w:tcPr>
            <w:tcW w:w="1570" w:type="dxa"/>
            <w:vMerge w:val="continue"/>
            <w:tcBorders>
              <w:top w:val="single" w:color="auto" w:sz="4" w:space="0"/>
              <w:left w:val="single" w:color="auto" w:sz="12" w:space="0"/>
              <w:bottom w:val="single" w:color="auto" w:sz="4" w:space="0"/>
              <w:right w:val="single" w:color="auto" w:sz="4" w:space="0"/>
            </w:tcBorders>
            <w:vAlign w:val="center"/>
          </w:tcPr>
          <w:p>
            <w:pPr>
              <w:pStyle w:val="117"/>
              <w:bidi w:val="0"/>
              <w:rPr>
                <w:rFonts w:ascii="Times New Roman" w:hAnsi="Times New Roman" w:cs="Times New Roman"/>
                <w:caps w:val="0"/>
                <w:smallCaps w:val="0"/>
              </w:rPr>
            </w:pPr>
          </w:p>
        </w:tc>
        <w:tc>
          <w:tcPr>
            <w:tcW w:w="1090" w:type="dxa"/>
            <w:vMerge w:val="continue"/>
            <w:tcBorders>
              <w:top w:val="single" w:color="auto" w:sz="4" w:space="0"/>
              <w:left w:val="single" w:color="auto" w:sz="4" w:space="0"/>
              <w:bottom w:val="single" w:color="auto" w:sz="4" w:space="0"/>
              <w:right w:val="single" w:color="auto" w:sz="4" w:space="0"/>
            </w:tcBorders>
            <w:vAlign w:val="center"/>
          </w:tcPr>
          <w:p>
            <w:pPr>
              <w:pStyle w:val="117"/>
              <w:bidi w:val="0"/>
              <w:rPr>
                <w:rFonts w:ascii="Times New Roman" w:hAnsi="Times New Roman" w:cs="Times New Roman"/>
                <w:caps w:val="0"/>
                <w:smallCaps w:val="0"/>
              </w:rPr>
            </w:pPr>
          </w:p>
        </w:tc>
        <w:tc>
          <w:tcPr>
            <w:tcW w:w="875" w:type="dxa"/>
            <w:vMerge w:val="continue"/>
            <w:tcBorders>
              <w:top w:val="single" w:color="auto" w:sz="4" w:space="0"/>
              <w:left w:val="single" w:color="auto" w:sz="4" w:space="0"/>
              <w:bottom w:val="single" w:color="auto" w:sz="4" w:space="0"/>
              <w:right w:val="single" w:color="auto" w:sz="4" w:space="0"/>
            </w:tcBorders>
            <w:vAlign w:val="center"/>
          </w:tcPr>
          <w:p>
            <w:pPr>
              <w:pStyle w:val="117"/>
              <w:bidi w:val="0"/>
              <w:rPr>
                <w:rFonts w:ascii="Times New Roman" w:hAnsi="Times New Roman" w:cs="Times New Roman"/>
                <w:caps w:val="0"/>
                <w:smallCaps w:val="0"/>
              </w:rPr>
            </w:pPr>
          </w:p>
        </w:tc>
        <w:tc>
          <w:tcPr>
            <w:tcW w:w="875" w:type="dxa"/>
            <w:vMerge w:val="continue"/>
            <w:tcBorders>
              <w:top w:val="single" w:color="auto" w:sz="4" w:space="0"/>
              <w:left w:val="single" w:color="auto" w:sz="4" w:space="0"/>
              <w:bottom w:val="single" w:color="auto" w:sz="4" w:space="0"/>
              <w:right w:val="single" w:color="auto" w:sz="4" w:space="0"/>
            </w:tcBorders>
            <w:vAlign w:val="center"/>
          </w:tcPr>
          <w:p>
            <w:pPr>
              <w:pStyle w:val="117"/>
              <w:bidi w:val="0"/>
              <w:rPr>
                <w:rFonts w:ascii="Times New Roman" w:hAnsi="Times New Roman" w:cs="Times New Roman"/>
                <w:caps w:val="0"/>
                <w:smallCaps w:val="0"/>
              </w:rPr>
            </w:pP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核算方法</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产生量</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处理量</w:t>
            </w:r>
          </w:p>
        </w:tc>
        <w:tc>
          <w:tcPr>
            <w:tcW w:w="2152" w:type="dxa"/>
            <w:tcBorders>
              <w:top w:val="nil"/>
              <w:left w:val="nil"/>
              <w:bottom w:val="single" w:color="auto" w:sz="4" w:space="0"/>
              <w:right w:val="single" w:color="auto" w:sz="12"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最终去向</w:t>
            </w:r>
          </w:p>
        </w:tc>
      </w:tr>
      <w:tr>
        <w:tblPrEx>
          <w:tblCellMar>
            <w:top w:w="0" w:type="dxa"/>
            <w:left w:w="0" w:type="dxa"/>
            <w:bottom w:w="0" w:type="dxa"/>
            <w:right w:w="0" w:type="dxa"/>
          </w:tblCellMar>
        </w:tblPrEx>
        <w:trPr>
          <w:trHeight w:val="340" w:hRule="atLeast"/>
          <w:jc w:val="center"/>
        </w:trPr>
        <w:tc>
          <w:tcPr>
            <w:tcW w:w="1570" w:type="dxa"/>
            <w:tcBorders>
              <w:top w:val="nil"/>
              <w:left w:val="single" w:color="auto" w:sz="12"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员工生活垃圾</w:t>
            </w:r>
          </w:p>
        </w:tc>
        <w:tc>
          <w:tcPr>
            <w:tcW w:w="1090"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产污系数</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2.475</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2.475</w:t>
            </w:r>
          </w:p>
        </w:tc>
        <w:tc>
          <w:tcPr>
            <w:tcW w:w="2152" w:type="dxa"/>
            <w:vMerge w:val="restart"/>
            <w:tcBorders>
              <w:top w:val="nil"/>
              <w:left w:val="nil"/>
              <w:right w:val="single" w:color="auto" w:sz="12"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环卫部门清运</w:t>
            </w:r>
          </w:p>
        </w:tc>
      </w:tr>
      <w:tr>
        <w:tblPrEx>
          <w:tblCellMar>
            <w:top w:w="0" w:type="dxa"/>
            <w:left w:w="0" w:type="dxa"/>
            <w:bottom w:w="0" w:type="dxa"/>
            <w:right w:w="0" w:type="dxa"/>
          </w:tblCellMar>
        </w:tblPrEx>
        <w:trPr>
          <w:trHeight w:val="340" w:hRule="atLeast"/>
          <w:jc w:val="center"/>
        </w:trPr>
        <w:tc>
          <w:tcPr>
            <w:tcW w:w="1570" w:type="dxa"/>
            <w:tcBorders>
              <w:top w:val="nil"/>
              <w:left w:val="single" w:color="auto" w:sz="12"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到港船舶生活垃圾</w:t>
            </w:r>
          </w:p>
        </w:tc>
        <w:tc>
          <w:tcPr>
            <w:tcW w:w="1090"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产污系数</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1.44</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1.44</w:t>
            </w:r>
          </w:p>
        </w:tc>
        <w:tc>
          <w:tcPr>
            <w:tcW w:w="2152" w:type="dxa"/>
            <w:vMerge w:val="continue"/>
            <w:tcBorders>
              <w:left w:val="nil"/>
              <w:bottom w:val="single" w:color="auto" w:sz="4" w:space="0"/>
              <w:right w:val="single" w:color="auto" w:sz="12" w:space="0"/>
            </w:tcBorders>
            <w:shd w:val="clear" w:color="auto" w:fill="auto"/>
            <w:vAlign w:val="center"/>
          </w:tcPr>
          <w:p>
            <w:pPr>
              <w:pStyle w:val="117"/>
              <w:bidi w:val="0"/>
              <w:rPr>
                <w:rFonts w:ascii="Times New Roman" w:hAnsi="Times New Roman" w:cs="Times New Roman"/>
                <w:caps w:val="0"/>
                <w:smallCaps w:val="0"/>
              </w:rPr>
            </w:pPr>
          </w:p>
        </w:tc>
      </w:tr>
      <w:tr>
        <w:tblPrEx>
          <w:tblCellMar>
            <w:top w:w="0" w:type="dxa"/>
            <w:left w:w="0" w:type="dxa"/>
            <w:bottom w:w="0" w:type="dxa"/>
            <w:right w:w="0" w:type="dxa"/>
          </w:tblCellMar>
        </w:tblPrEx>
        <w:trPr>
          <w:trHeight w:val="340" w:hRule="atLeast"/>
          <w:jc w:val="center"/>
        </w:trPr>
        <w:tc>
          <w:tcPr>
            <w:tcW w:w="1570" w:type="dxa"/>
            <w:tcBorders>
              <w:top w:val="nil"/>
              <w:left w:val="single" w:color="auto" w:sz="12"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设备维修</w:t>
            </w:r>
          </w:p>
        </w:tc>
        <w:tc>
          <w:tcPr>
            <w:tcW w:w="1090"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泵等设备</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hint="eastAsia" w:ascii="Times New Roman" w:hAnsi="Times New Roman" w:cs="Times New Roman"/>
                <w:caps w:val="0"/>
                <w:smallCaps w:val="0"/>
                <w:lang w:val="en-US" w:eastAsia="zh-CN"/>
              </w:rPr>
            </w:pPr>
            <w:r>
              <w:rPr>
                <w:rFonts w:ascii="Times New Roman" w:hAnsi="Times New Roman" w:cs="Times New Roman"/>
                <w:caps w:val="0"/>
                <w:smallCaps w:val="0"/>
              </w:rPr>
              <w:t>废</w:t>
            </w:r>
            <w:r>
              <w:rPr>
                <w:rFonts w:hint="eastAsia" w:ascii="Times New Roman" w:hAnsi="Times New Roman" w:cs="Times New Roman"/>
                <w:caps w:val="0"/>
                <w:smallCaps w:val="0"/>
                <w:lang w:val="en-US" w:eastAsia="zh-CN"/>
              </w:rPr>
              <w:t>矿物油</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危险废物</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类比法</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rPr>
              <w:t>1</w:t>
            </w:r>
          </w:p>
        </w:tc>
        <w:tc>
          <w:tcPr>
            <w:tcW w:w="875" w:type="dxa"/>
            <w:tcBorders>
              <w:top w:val="single" w:color="auto" w:sz="4" w:space="0"/>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rPr>
              <w:t>1</w:t>
            </w:r>
          </w:p>
        </w:tc>
        <w:tc>
          <w:tcPr>
            <w:tcW w:w="2152" w:type="dxa"/>
            <w:tcBorders>
              <w:top w:val="single" w:color="auto" w:sz="4" w:space="0"/>
              <w:left w:val="nil"/>
              <w:bottom w:val="single" w:color="auto" w:sz="4" w:space="0"/>
              <w:right w:val="single" w:color="auto" w:sz="12"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交有资质的单位处置</w:t>
            </w:r>
          </w:p>
        </w:tc>
      </w:tr>
      <w:tr>
        <w:tblPrEx>
          <w:tblCellMar>
            <w:top w:w="0" w:type="dxa"/>
            <w:left w:w="0" w:type="dxa"/>
            <w:bottom w:w="0" w:type="dxa"/>
            <w:right w:w="0" w:type="dxa"/>
          </w:tblCellMar>
        </w:tblPrEx>
        <w:trPr>
          <w:trHeight w:val="340" w:hRule="atLeast"/>
          <w:jc w:val="center"/>
        </w:trPr>
        <w:tc>
          <w:tcPr>
            <w:tcW w:w="1570" w:type="dxa"/>
            <w:tcBorders>
              <w:top w:val="nil"/>
              <w:left w:val="single" w:color="auto" w:sz="12" w:space="0"/>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装卸作业</w:t>
            </w:r>
          </w:p>
        </w:tc>
        <w:tc>
          <w:tcPr>
            <w:tcW w:w="1090"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装卸及管道等</w:t>
            </w:r>
          </w:p>
        </w:tc>
        <w:tc>
          <w:tcPr>
            <w:tcW w:w="875"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装卸废</w:t>
            </w:r>
            <w:r>
              <w:rPr>
                <w:rFonts w:hint="eastAsia" w:ascii="Times New Roman" w:hAnsi="Times New Roman" w:cs="Times New Roman"/>
                <w:caps w:val="0"/>
                <w:smallCaps w:val="0"/>
              </w:rPr>
              <w:t>沥青</w:t>
            </w:r>
          </w:p>
        </w:tc>
        <w:tc>
          <w:tcPr>
            <w:tcW w:w="875"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一般工业固体</w:t>
            </w:r>
            <w:r>
              <w:rPr>
                <w:rFonts w:ascii="Times New Roman" w:hAnsi="Times New Roman" w:cs="Times New Roman"/>
                <w:caps w:val="0"/>
                <w:smallCaps w:val="0"/>
              </w:rPr>
              <w:t>废物</w:t>
            </w:r>
          </w:p>
        </w:tc>
        <w:tc>
          <w:tcPr>
            <w:tcW w:w="875"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类比法</w:t>
            </w:r>
          </w:p>
        </w:tc>
        <w:tc>
          <w:tcPr>
            <w:tcW w:w="875"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5</w:t>
            </w:r>
          </w:p>
        </w:tc>
        <w:tc>
          <w:tcPr>
            <w:tcW w:w="875" w:type="dxa"/>
            <w:tcBorders>
              <w:top w:val="single" w:color="auto" w:sz="4" w:space="0"/>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5</w:t>
            </w:r>
          </w:p>
        </w:tc>
        <w:tc>
          <w:tcPr>
            <w:tcW w:w="2152" w:type="dxa"/>
            <w:tcBorders>
              <w:top w:val="single" w:color="auto" w:sz="4" w:space="0"/>
              <w:left w:val="single" w:color="auto" w:sz="4" w:space="0"/>
              <w:bottom w:val="single" w:color="auto" w:sz="12" w:space="0"/>
              <w:right w:val="single" w:color="auto" w:sz="12" w:space="0"/>
            </w:tcBorders>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回收利用</w:t>
            </w:r>
          </w:p>
        </w:tc>
      </w:tr>
    </w:tbl>
    <w:p>
      <w:pPr>
        <w:wordWrap/>
        <w:spacing w:line="360" w:lineRule="auto"/>
        <w:ind w:firstLine="482" w:firstLineChars="200"/>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-1</w:t>
      </w:r>
      <w:r>
        <w:rPr>
          <w:rFonts w:hint="eastAsia" w:cs="Times New Roman" w:eastAsiaTheme="minorEastAsia"/>
          <w:b/>
          <w:caps w:val="0"/>
          <w:smallCaps w:val="0"/>
          <w:color w:val="000000"/>
          <w:sz w:val="24"/>
          <w:szCs w:val="24"/>
          <w:lang w:val="en-US" w:eastAsia="zh-CN"/>
        </w:rPr>
        <w:t xml:space="preserve">5  </w:t>
      </w:r>
      <w:r>
        <w:rPr>
          <w:rFonts w:ascii="Times New Roman" w:hAnsi="Times New Roman" w:cs="Times New Roman" w:eastAsiaTheme="minorEastAsia"/>
          <w:b/>
          <w:caps w:val="0"/>
          <w:smallCaps w:val="0"/>
          <w:color w:val="000000"/>
          <w:sz w:val="24"/>
          <w:szCs w:val="24"/>
        </w:rPr>
        <w:t>本项目危险废物具体情况一览表</w:t>
      </w:r>
      <w:r>
        <w:rPr>
          <w:rFonts w:hint="eastAsia" w:ascii="Times New Roman" w:hAnsi="Times New Roman" w:cs="Times New Roman" w:eastAsiaTheme="minorEastAsia"/>
          <w:b/>
          <w:caps w:val="0"/>
          <w:smallCaps w:val="0"/>
          <w:color w:val="000000"/>
          <w:sz w:val="24"/>
          <w:szCs w:val="24"/>
          <w:lang w:val="en-US" w:eastAsia="zh-CN"/>
        </w:rPr>
        <w:t xml:space="preserve">    </w:t>
      </w:r>
      <w:r>
        <w:rPr>
          <w:rFonts w:ascii="Times New Roman" w:hAnsi="Times New Roman" w:cs="Times New Roman" w:eastAsiaTheme="minorEastAsia"/>
          <w:caps w:val="0"/>
          <w:smallCaps w:val="0"/>
          <w:color w:val="000000"/>
          <w:sz w:val="24"/>
          <w:szCs w:val="24"/>
        </w:rPr>
        <w:t>单位：t/a</w:t>
      </w:r>
    </w:p>
    <w:tbl>
      <w:tblPr>
        <w:tblStyle w:val="71"/>
        <w:tblW w:w="907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472"/>
        <w:gridCol w:w="832"/>
        <w:gridCol w:w="832"/>
        <w:gridCol w:w="900"/>
        <w:gridCol w:w="750"/>
        <w:gridCol w:w="970"/>
        <w:gridCol w:w="640"/>
        <w:gridCol w:w="668"/>
        <w:gridCol w:w="640"/>
        <w:gridCol w:w="793"/>
        <w:gridCol w:w="668"/>
        <w:gridCol w:w="910"/>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47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83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危险废物名称</w:t>
            </w:r>
          </w:p>
        </w:tc>
        <w:tc>
          <w:tcPr>
            <w:tcW w:w="83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危险废物类别</w:t>
            </w:r>
          </w:p>
        </w:tc>
        <w:tc>
          <w:tcPr>
            <w:tcW w:w="90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危险废物代码</w:t>
            </w:r>
          </w:p>
        </w:tc>
        <w:tc>
          <w:tcPr>
            <w:tcW w:w="75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产生量</w:t>
            </w:r>
          </w:p>
        </w:tc>
        <w:tc>
          <w:tcPr>
            <w:tcW w:w="97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产生工序及装置</w:t>
            </w:r>
          </w:p>
        </w:tc>
        <w:tc>
          <w:tcPr>
            <w:tcW w:w="64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形态</w:t>
            </w:r>
          </w:p>
        </w:tc>
        <w:tc>
          <w:tcPr>
            <w:tcW w:w="66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主要成分</w:t>
            </w:r>
          </w:p>
        </w:tc>
        <w:tc>
          <w:tcPr>
            <w:tcW w:w="64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有害成分</w:t>
            </w:r>
          </w:p>
        </w:tc>
        <w:tc>
          <w:tcPr>
            <w:tcW w:w="793"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产废周期</w:t>
            </w:r>
          </w:p>
        </w:tc>
        <w:tc>
          <w:tcPr>
            <w:tcW w:w="66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危险特性</w:t>
            </w:r>
          </w:p>
        </w:tc>
        <w:tc>
          <w:tcPr>
            <w:tcW w:w="91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污染防治措施</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47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83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废油</w:t>
            </w:r>
          </w:p>
        </w:tc>
        <w:tc>
          <w:tcPr>
            <w:tcW w:w="83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HW08</w:t>
            </w:r>
          </w:p>
        </w:tc>
        <w:tc>
          <w:tcPr>
            <w:tcW w:w="90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900-24 9-08</w:t>
            </w:r>
          </w:p>
        </w:tc>
        <w:tc>
          <w:tcPr>
            <w:tcW w:w="75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rPr>
              <w:t>1</w:t>
            </w:r>
          </w:p>
        </w:tc>
        <w:tc>
          <w:tcPr>
            <w:tcW w:w="97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设备维修</w:t>
            </w:r>
          </w:p>
        </w:tc>
        <w:tc>
          <w:tcPr>
            <w:tcW w:w="64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液态</w:t>
            </w:r>
          </w:p>
        </w:tc>
        <w:tc>
          <w:tcPr>
            <w:tcW w:w="66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矿物油</w:t>
            </w:r>
          </w:p>
        </w:tc>
        <w:tc>
          <w:tcPr>
            <w:tcW w:w="64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矿物油</w:t>
            </w:r>
          </w:p>
        </w:tc>
        <w:tc>
          <w:tcPr>
            <w:tcW w:w="793"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1d</w:t>
            </w:r>
          </w:p>
        </w:tc>
        <w:tc>
          <w:tcPr>
            <w:tcW w:w="66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T,I</w:t>
            </w:r>
          </w:p>
        </w:tc>
        <w:tc>
          <w:tcPr>
            <w:tcW w:w="91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交有资质单位处理</w:t>
            </w:r>
          </w:p>
        </w:tc>
      </w:tr>
    </w:tbl>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lang w:val="zh-CN"/>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项目污染物产排情况汇总</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lang w:val="zh-CN"/>
        </w:rPr>
      </w:pPr>
      <w:r>
        <w:rPr>
          <w:rFonts w:ascii="Times New Roman" w:hAnsi="Times New Roman" w:cs="Times New Roman" w:eastAsiaTheme="minorEastAsia"/>
          <w:caps w:val="0"/>
          <w:smallCaps w:val="0"/>
          <w:color w:val="000000"/>
          <w:sz w:val="24"/>
          <w:szCs w:val="24"/>
          <w:lang w:val="zh-CN"/>
        </w:rPr>
        <w:t>本项目主要污染物产排情况汇总见下表。</w:t>
      </w:r>
    </w:p>
    <w:p>
      <w:pPr>
        <w:spacing w:line="360" w:lineRule="auto"/>
        <w:ind w:firstLine="482" w:firstLineChars="200"/>
        <w:jc w:val="center"/>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表3.</w:t>
      </w:r>
      <w:r>
        <w:rPr>
          <w:rFonts w:hint="eastAsia" w:cs="Times New Roman" w:eastAsiaTheme="minorEastAsia"/>
          <w:b/>
          <w:caps w:val="0"/>
          <w:smallCaps w:val="0"/>
          <w:color w:val="000000"/>
          <w:sz w:val="24"/>
          <w:szCs w:val="24"/>
          <w:lang w:val="en-US" w:eastAsia="zh-CN"/>
        </w:rPr>
        <w:t>7</w:t>
      </w:r>
      <w:r>
        <w:rPr>
          <w:rFonts w:ascii="Times New Roman" w:hAnsi="Times New Roman" w:cs="Times New Roman" w:eastAsiaTheme="minorEastAsia"/>
          <w:b/>
          <w:caps w:val="0"/>
          <w:smallCaps w:val="0"/>
          <w:color w:val="000000"/>
          <w:sz w:val="24"/>
          <w:szCs w:val="24"/>
        </w:rPr>
        <w:t>-</w:t>
      </w:r>
      <w:r>
        <w:rPr>
          <w:rFonts w:hint="eastAsia" w:ascii="Times New Roman" w:hAnsi="Times New Roman" w:cs="Times New Roman" w:eastAsiaTheme="minorEastAsia"/>
          <w:b/>
          <w:caps w:val="0"/>
          <w:smallCaps w:val="0"/>
          <w:color w:val="000000"/>
          <w:sz w:val="24"/>
          <w:szCs w:val="24"/>
        </w:rPr>
        <w:t>1</w:t>
      </w:r>
      <w:r>
        <w:rPr>
          <w:rFonts w:hint="eastAsia" w:cs="Times New Roman" w:eastAsiaTheme="minorEastAsia"/>
          <w:b/>
          <w:caps w:val="0"/>
          <w:smallCaps w:val="0"/>
          <w:color w:val="000000"/>
          <w:sz w:val="24"/>
          <w:szCs w:val="24"/>
          <w:lang w:val="en-US" w:eastAsia="zh-CN"/>
        </w:rPr>
        <w:t xml:space="preserve">6 </w:t>
      </w:r>
      <w:r>
        <w:rPr>
          <w:rFonts w:ascii="Times New Roman" w:hAnsi="Times New Roman" w:cs="Times New Roman" w:eastAsiaTheme="minorEastAsia"/>
          <w:b/>
          <w:caps w:val="0"/>
          <w:smallCaps w:val="0"/>
          <w:color w:val="000000"/>
          <w:sz w:val="24"/>
          <w:szCs w:val="24"/>
        </w:rPr>
        <w:t>项目主要污染物产排情况汇总一览表</w:t>
      </w:r>
    </w:p>
    <w:tbl>
      <w:tblPr>
        <w:tblStyle w:val="71"/>
        <w:tblW w:w="5378"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440"/>
        <w:gridCol w:w="2414"/>
        <w:gridCol w:w="536"/>
        <w:gridCol w:w="658"/>
        <w:gridCol w:w="1018"/>
        <w:gridCol w:w="1019"/>
        <w:gridCol w:w="1019"/>
        <w:gridCol w:w="26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227"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类别</w:t>
            </w:r>
          </w:p>
        </w:tc>
        <w:tc>
          <w:tcPr>
            <w:tcW w:w="1829" w:type="pct"/>
            <w:gridSpan w:val="3"/>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产生量t/a</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削减量t/a</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排放量t/a</w:t>
            </w:r>
          </w:p>
        </w:tc>
        <w:tc>
          <w:tcPr>
            <w:tcW w:w="1373"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拟采取的措施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85" w:hRule="atLeast"/>
          <w:jc w:val="center"/>
        </w:trPr>
        <w:tc>
          <w:tcPr>
            <w:tcW w:w="227"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废气</w:t>
            </w:r>
          </w:p>
        </w:tc>
        <w:tc>
          <w:tcPr>
            <w:tcW w:w="1236"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卸船无组织废气</w:t>
            </w:r>
          </w:p>
        </w:tc>
        <w:tc>
          <w:tcPr>
            <w:tcW w:w="254"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VOCs</w:t>
            </w:r>
          </w:p>
        </w:tc>
        <w:tc>
          <w:tcPr>
            <w:tcW w:w="339"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无</w:t>
            </w:r>
            <w:r>
              <w:rPr>
                <w:rFonts w:hint="eastAsia" w:ascii="Times New Roman" w:hAnsi="Times New Roman" w:cs="Times New Roman"/>
                <w:caps w:val="0"/>
                <w:smallCaps w:val="0"/>
              </w:rPr>
              <w:t>组织</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0.625</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0.59375</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0.03125</w:t>
            </w:r>
          </w:p>
        </w:tc>
        <w:tc>
          <w:tcPr>
            <w:tcW w:w="1373"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厂界达标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restar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废水</w:t>
            </w:r>
          </w:p>
        </w:tc>
        <w:tc>
          <w:tcPr>
            <w:tcW w:w="1236"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船舱油污水</w:t>
            </w:r>
            <w:r>
              <w:rPr>
                <w:rFonts w:hint="eastAsia" w:ascii="Times New Roman" w:hAnsi="Times New Roman" w:cs="Times New Roman"/>
                <w:caps w:val="0"/>
                <w:smallCaps w:val="0"/>
                <w:lang w:val="en-US" w:eastAsia="zh-CN"/>
              </w:rPr>
              <w:t>231</w:t>
            </w:r>
            <w:r>
              <w:rPr>
                <w:rFonts w:ascii="Times New Roman" w:hAnsi="Times New Roman" w:cs="Times New Roman"/>
                <w:caps w:val="0"/>
                <w:smallCaps w:val="0"/>
              </w:rPr>
              <w:t>t/a</w:t>
            </w: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石油类</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1.065</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1.065</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p>
        </w:tc>
        <w:tc>
          <w:tcPr>
            <w:tcW w:w="1373" w:type="pct"/>
            <w:vMerge w:val="restar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由海事部门环保船回收，交由海事部门指定单位进行处理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restart"/>
            <w:tcBorders>
              <w:tl2br w:val="nil"/>
              <w:tr2bl w:val="nil"/>
            </w:tcBorders>
            <w:shd w:val="clear" w:color="auto" w:fill="auto"/>
            <w:noWrap/>
            <w:vAlign w:val="center"/>
          </w:tcPr>
          <w:p>
            <w:pPr>
              <w:pStyle w:val="117"/>
              <w:bidi w:val="0"/>
              <w:rPr>
                <w:rFonts w:hint="eastAsia" w:ascii="Times New Roman" w:hAnsi="Times New Roman" w:cs="Times New Roman"/>
                <w:caps w:val="0"/>
                <w:smallCaps w:val="0"/>
                <w:lang w:eastAsia="zh-CN"/>
              </w:rPr>
            </w:pPr>
            <w:r>
              <w:rPr>
                <w:rFonts w:ascii="Times New Roman" w:hAnsi="Times New Roman" w:cs="Times New Roman"/>
                <w:caps w:val="0"/>
                <w:smallCaps w:val="0"/>
              </w:rPr>
              <w:t>船舶生活污</w:t>
            </w:r>
            <w:r>
              <w:rPr>
                <w:rFonts w:hint="eastAsia" w:ascii="Times New Roman" w:hAnsi="Times New Roman" w:cs="Times New Roman"/>
                <w:caps w:val="0"/>
                <w:smallCaps w:val="0"/>
                <w:lang w:eastAsia="zh-CN"/>
              </w:rPr>
              <w:t>水</w:t>
            </w:r>
            <w:r>
              <w:rPr>
                <w:rFonts w:hint="eastAsia" w:ascii="Times New Roman" w:hAnsi="Times New Roman" w:cs="Times New Roman"/>
                <w:caps w:val="0"/>
                <w:smallCaps w:val="0"/>
                <w:lang w:val="en-US" w:eastAsia="zh-CN"/>
              </w:rPr>
              <w:t>87</w:t>
            </w:r>
            <w:r>
              <w:rPr>
                <w:rFonts w:ascii="Times New Roman" w:hAnsi="Times New Roman" w:cs="Times New Roman"/>
                <w:caps w:val="0"/>
                <w:smallCaps w:val="0"/>
              </w:rPr>
              <w:t>t/a</w:t>
            </w: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03</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03</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013</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013</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NH</w:t>
            </w:r>
            <w:r>
              <w:rPr>
                <w:rFonts w:ascii="Times New Roman" w:hAnsi="Times New Roman" w:cs="Times New Roman"/>
                <w:caps w:val="0"/>
                <w:smallCaps w:val="0"/>
                <w:vertAlign w:val="subscript"/>
              </w:rPr>
              <w:t>3</w:t>
            </w:r>
            <w:r>
              <w:rPr>
                <w:rFonts w:ascii="Times New Roman" w:hAnsi="Times New Roman" w:cs="Times New Roman"/>
                <w:caps w:val="0"/>
                <w:smallCaps w:val="0"/>
              </w:rPr>
              <w:t>-N</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0.0</w:t>
            </w:r>
            <w:r>
              <w:rPr>
                <w:rFonts w:hint="eastAsia" w:ascii="Times New Roman" w:hAnsi="Times New Roman" w:cs="Times New Roman"/>
                <w:caps w:val="0"/>
                <w:smallCaps w:val="0"/>
                <w:lang w:val="en-US" w:eastAsia="zh-CN"/>
              </w:rPr>
              <w:t>026</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0.0</w:t>
            </w:r>
            <w:r>
              <w:rPr>
                <w:rFonts w:hint="eastAsia" w:ascii="Times New Roman" w:hAnsi="Times New Roman" w:cs="Times New Roman"/>
                <w:caps w:val="0"/>
                <w:smallCaps w:val="0"/>
                <w:lang w:val="en-US" w:eastAsia="zh-CN"/>
              </w:rPr>
              <w:t>026</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restar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趸船冲洗废水</w:t>
            </w:r>
            <w:r>
              <w:rPr>
                <w:rFonts w:hint="eastAsia" w:ascii="Times New Roman" w:hAnsi="Times New Roman" w:cs="Times New Roman"/>
                <w:caps w:val="0"/>
                <w:smallCaps w:val="0"/>
                <w:lang w:val="en-US" w:eastAsia="zh-CN"/>
              </w:rPr>
              <w:t>384t/a</w:t>
            </w: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石油类</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0058</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0058</w:t>
            </w:r>
          </w:p>
        </w:tc>
        <w:tc>
          <w:tcPr>
            <w:tcW w:w="523" w:type="pct"/>
            <w:tcBorders>
              <w:tl2br w:val="nil"/>
              <w:tr2bl w:val="nil"/>
            </w:tcBorders>
            <w:shd w:val="clear" w:color="auto" w:fill="auto"/>
            <w:noWrap/>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0.058</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0.058</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rPr>
            </w:pPr>
            <w:r>
              <w:rPr>
                <w:rFonts w:hint="default" w:ascii="Times New Roman" w:hAnsi="Times New Roman" w:cs="Times New Roman"/>
                <w:caps w:val="0"/>
                <w:smallCaps w:val="0"/>
                <w:lang w:val="en-US"/>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restar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趸船</w:t>
            </w:r>
            <w:r>
              <w:rPr>
                <w:rFonts w:hint="eastAsia" w:ascii="Times New Roman" w:hAnsi="Times New Roman" w:cs="Times New Roman"/>
                <w:caps w:val="0"/>
                <w:smallCaps w:val="0"/>
                <w:lang w:eastAsia="zh-CN"/>
              </w:rPr>
              <w:t>初期雨水</w:t>
            </w:r>
            <w:r>
              <w:rPr>
                <w:rFonts w:hint="eastAsia" w:ascii="Times New Roman" w:hAnsi="Times New Roman" w:cs="Times New Roman"/>
                <w:caps w:val="0"/>
                <w:smallCaps w:val="0"/>
                <w:lang w:val="en-US" w:eastAsia="zh-CN"/>
              </w:rPr>
              <w:t>1458t/a</w:t>
            </w:r>
          </w:p>
        </w:tc>
        <w:tc>
          <w:tcPr>
            <w:tcW w:w="593" w:type="pct"/>
            <w:gridSpan w:val="2"/>
            <w:tcBorders>
              <w:tl2br w:val="nil"/>
              <w:tr2bl w:val="nil"/>
            </w:tcBorders>
            <w:shd w:val="clear" w:color="auto" w:fill="auto"/>
            <w:noWrap/>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COD</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0.29</w:t>
            </w:r>
          </w:p>
        </w:tc>
        <w:tc>
          <w:tcPr>
            <w:tcW w:w="523" w:type="pct"/>
            <w:tcBorders>
              <w:tl2br w:val="nil"/>
              <w:tr2bl w:val="nil"/>
            </w:tcBorders>
            <w:shd w:val="clear" w:color="auto" w:fill="auto"/>
            <w:noWrap/>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hint="eastAsia" w:ascii="Times New Roman" w:hAnsi="Times New Roman" w:cs="Times New Roman"/>
                <w:caps w:val="0"/>
                <w:smallCaps w:val="0"/>
                <w:lang w:val="en-US" w:eastAsia="zh-CN"/>
              </w:rPr>
              <w:t>0.29</w:t>
            </w:r>
          </w:p>
        </w:tc>
        <w:tc>
          <w:tcPr>
            <w:tcW w:w="523" w:type="pct"/>
            <w:tcBorders>
              <w:tl2br w:val="nil"/>
              <w:tr2bl w:val="nil"/>
            </w:tcBorders>
            <w:shd w:val="clear" w:color="auto" w:fill="auto"/>
            <w:noWrap/>
            <w:vAlign w:val="center"/>
          </w:tcPr>
          <w:p>
            <w:pPr>
              <w:pStyle w:val="117"/>
              <w:bidi w:val="0"/>
              <w:ind w:firstLine="0" w:firstLineChars="0"/>
              <w:rPr>
                <w:rFonts w:hint="default"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593" w:type="pct"/>
            <w:gridSpan w:val="2"/>
            <w:tcBorders>
              <w:tl2br w:val="nil"/>
              <w:tr2bl w:val="nil"/>
            </w:tcBorders>
            <w:shd w:val="clear" w:color="auto" w:fill="auto"/>
            <w:noWrap/>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SS</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0.22</w:t>
            </w:r>
          </w:p>
        </w:tc>
        <w:tc>
          <w:tcPr>
            <w:tcW w:w="523" w:type="pct"/>
            <w:tcBorders>
              <w:tl2br w:val="nil"/>
              <w:tr2bl w:val="nil"/>
            </w:tcBorders>
            <w:shd w:val="clear" w:color="auto" w:fill="auto"/>
            <w:noWrap/>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hint="eastAsia" w:ascii="Times New Roman" w:hAnsi="Times New Roman" w:cs="Times New Roman"/>
                <w:caps w:val="0"/>
                <w:smallCaps w:val="0"/>
                <w:lang w:val="en-US" w:eastAsia="zh-CN"/>
              </w:rPr>
              <w:t>0.22</w:t>
            </w:r>
          </w:p>
        </w:tc>
        <w:tc>
          <w:tcPr>
            <w:tcW w:w="523" w:type="pct"/>
            <w:tcBorders>
              <w:tl2br w:val="nil"/>
              <w:tr2bl w:val="nil"/>
            </w:tcBorders>
            <w:shd w:val="clear" w:color="auto" w:fill="auto"/>
            <w:noWrap/>
            <w:vAlign w:val="center"/>
          </w:tcPr>
          <w:p>
            <w:pPr>
              <w:pStyle w:val="117"/>
              <w:bidi w:val="0"/>
              <w:ind w:firstLine="0" w:firstLineChars="0"/>
              <w:rPr>
                <w:rFonts w:hint="default" w:ascii="Times New Roman" w:hAnsi="Times New Roman" w:eastAsia="宋体" w:cs="Times New Roman"/>
                <w:caps w:val="0"/>
                <w:smallCaps w:val="0"/>
                <w:kern w:val="0"/>
                <w:sz w:val="21"/>
                <w:szCs w:val="24"/>
                <w:lang w:val="en-US" w:eastAsia="zh-CN" w:bidi="ar-SA"/>
              </w:rPr>
            </w:pPr>
            <w:r>
              <w:rPr>
                <w:rFonts w:hint="eastAsia" w:ascii="Times New Roman" w:hAnsi="Times New Roman" w:cs="Times New Roman"/>
                <w:caps w:val="0"/>
                <w:smallCaps w:val="0"/>
                <w:lang w:eastAsia="zh-CN"/>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593" w:type="pct"/>
            <w:gridSpan w:val="2"/>
            <w:tcBorders>
              <w:tl2br w:val="nil"/>
              <w:tr2bl w:val="nil"/>
            </w:tcBorders>
            <w:shd w:val="clear" w:color="auto" w:fill="auto"/>
            <w:noWrap/>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石油类</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0.044</w:t>
            </w:r>
          </w:p>
        </w:tc>
        <w:tc>
          <w:tcPr>
            <w:tcW w:w="523" w:type="pct"/>
            <w:tcBorders>
              <w:tl2br w:val="nil"/>
              <w:tr2bl w:val="nil"/>
            </w:tcBorders>
            <w:shd w:val="clear" w:color="auto" w:fill="auto"/>
            <w:noWrap/>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hint="eastAsia" w:ascii="Times New Roman" w:hAnsi="Times New Roman" w:cs="Times New Roman"/>
                <w:caps w:val="0"/>
                <w:smallCaps w:val="0"/>
                <w:lang w:val="en-US" w:eastAsia="zh-CN"/>
              </w:rPr>
              <w:t>0.044</w:t>
            </w:r>
          </w:p>
        </w:tc>
        <w:tc>
          <w:tcPr>
            <w:tcW w:w="523" w:type="pct"/>
            <w:tcBorders>
              <w:tl2br w:val="nil"/>
              <w:tr2bl w:val="nil"/>
            </w:tcBorders>
            <w:shd w:val="clear" w:color="auto" w:fill="auto"/>
            <w:noWrap/>
            <w:vAlign w:val="center"/>
          </w:tcPr>
          <w:p>
            <w:pPr>
              <w:pStyle w:val="117"/>
              <w:bidi w:val="0"/>
              <w:ind w:firstLine="0" w:firstLineChars="0"/>
              <w:rPr>
                <w:rFonts w:hint="default" w:ascii="Times New Roman" w:hAnsi="Times New Roman" w:eastAsia="宋体" w:cs="Times New Roman"/>
                <w:caps w:val="0"/>
                <w:smallCaps w:val="0"/>
                <w:kern w:val="0"/>
                <w:sz w:val="21"/>
                <w:szCs w:val="24"/>
                <w:lang w:val="en-US" w:eastAsia="zh-CN" w:bidi="ar-SA"/>
              </w:rPr>
            </w:pPr>
            <w:r>
              <w:rPr>
                <w:rFonts w:hint="default" w:ascii="Times New Roman" w:hAnsi="Times New Roman" w:cs="Times New Roman"/>
                <w:caps w:val="0"/>
                <w:smallCaps w:val="0"/>
                <w:lang w:val="en-US"/>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restar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码头员工生</w:t>
            </w:r>
            <w:r>
              <w:rPr>
                <w:rFonts w:hint="eastAsia" w:ascii="Times New Roman" w:hAnsi="Times New Roman" w:cs="Times New Roman"/>
                <w:caps w:val="0"/>
                <w:smallCaps w:val="0"/>
              </w:rPr>
              <w:t>活</w:t>
            </w:r>
            <w:r>
              <w:rPr>
                <w:rFonts w:hint="eastAsia" w:ascii="Times New Roman" w:hAnsi="Times New Roman" w:cs="Times New Roman"/>
                <w:caps w:val="0"/>
                <w:smallCaps w:val="0"/>
                <w:lang w:eastAsia="zh-CN"/>
              </w:rPr>
              <w:t>污</w:t>
            </w:r>
            <w:r>
              <w:rPr>
                <w:rFonts w:ascii="Times New Roman" w:hAnsi="Times New Roman" w:cs="Times New Roman"/>
                <w:caps w:val="0"/>
                <w:smallCaps w:val="0"/>
              </w:rPr>
              <w:t>水</w:t>
            </w:r>
            <w:r>
              <w:rPr>
                <w:rFonts w:hint="eastAsia" w:ascii="Times New Roman" w:hAnsi="Times New Roman" w:cs="Times New Roman"/>
                <w:caps w:val="0"/>
                <w:smallCaps w:val="0"/>
                <w:lang w:val="en-US" w:eastAsia="zh-CN"/>
              </w:rPr>
              <w:t>198t/a</w:t>
            </w: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07</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07</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p>
        </w:tc>
        <w:tc>
          <w:tcPr>
            <w:tcW w:w="1373" w:type="pct"/>
            <w:vMerge w:val="restart"/>
            <w:tcBorders>
              <w:tl2br w:val="nil"/>
              <w:tr2bl w:val="nil"/>
            </w:tcBorders>
            <w:vAlign w:val="center"/>
          </w:tcPr>
          <w:p>
            <w:pPr>
              <w:pStyle w:val="117"/>
              <w:bidi w:val="0"/>
              <w:rPr>
                <w:rFonts w:hint="eastAsia" w:ascii="Times New Roman" w:hAnsi="Times New Roman" w:eastAsia="宋体" w:cs="Times New Roman"/>
                <w:caps w:val="0"/>
                <w:smallCaps w:val="0"/>
                <w:lang w:val="en-US" w:eastAsia="zh-CN"/>
              </w:rPr>
            </w:pPr>
            <w:r>
              <w:rPr>
                <w:rFonts w:ascii="Times New Roman" w:hAnsi="Times New Roman" w:cs="Times New Roman"/>
                <w:caps w:val="0"/>
                <w:smallCaps w:val="0"/>
              </w:rPr>
              <w:t>码头生活污水</w:t>
            </w:r>
            <w:r>
              <w:rPr>
                <w:rFonts w:hint="eastAsia" w:ascii="Times New Roman" w:hAnsi="Times New Roman" w:cs="Times New Roman"/>
                <w:caps w:val="0"/>
                <w:smallCaps w:val="0"/>
                <w:lang w:val="en-US" w:eastAsia="zh-CN"/>
              </w:rPr>
              <w:t>依托后方库区化粪池处理后，排入市政管网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BOD</w:t>
            </w:r>
            <w:r>
              <w:rPr>
                <w:rFonts w:ascii="Times New Roman" w:hAnsi="Times New Roman" w:cs="Times New Roman"/>
                <w:caps w:val="0"/>
                <w:smallCaps w:val="0"/>
                <w:vertAlign w:val="subscript"/>
              </w:rPr>
              <w:t>5</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05</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05</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SS</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06</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06</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NH</w:t>
            </w:r>
            <w:r>
              <w:rPr>
                <w:rFonts w:ascii="Times New Roman" w:hAnsi="Times New Roman" w:cs="Times New Roman"/>
                <w:caps w:val="0"/>
                <w:smallCaps w:val="0"/>
                <w:vertAlign w:val="subscript"/>
              </w:rPr>
              <w:t>3</w:t>
            </w:r>
            <w:r>
              <w:rPr>
                <w:rFonts w:ascii="Times New Roman" w:hAnsi="Times New Roman" w:cs="Times New Roman"/>
                <w:caps w:val="0"/>
                <w:smallCaps w:val="0"/>
              </w:rPr>
              <w:t>-N</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0.0</w:t>
            </w:r>
            <w:r>
              <w:rPr>
                <w:rFonts w:hint="eastAsia" w:ascii="Times New Roman" w:hAnsi="Times New Roman" w:cs="Times New Roman"/>
                <w:caps w:val="0"/>
                <w:smallCaps w:val="0"/>
                <w:lang w:val="en-US" w:eastAsia="zh-CN"/>
              </w:rPr>
              <w:t>08</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0.0</w:t>
            </w:r>
            <w:r>
              <w:rPr>
                <w:rFonts w:hint="eastAsia" w:ascii="Times New Roman" w:hAnsi="Times New Roman" w:cs="Times New Roman"/>
                <w:caps w:val="0"/>
                <w:smallCaps w:val="0"/>
                <w:lang w:val="en-US" w:eastAsia="zh-CN"/>
              </w:rPr>
              <w:t>08</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restar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w:t>
            </w:r>
          </w:p>
        </w:tc>
        <w:tc>
          <w:tcPr>
            <w:tcW w:w="1236" w:type="pct"/>
            <w:tcBorders>
              <w:tl2br w:val="nil"/>
              <w:tr2bl w:val="nil"/>
            </w:tcBorders>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卸油泵</w:t>
            </w: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Leq</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95dB(A)</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15dB(A)</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80dB(A)</w:t>
            </w:r>
          </w:p>
        </w:tc>
        <w:tc>
          <w:tcPr>
            <w:tcW w:w="1373"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距离衰减、隔声减震消声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tcBorders>
              <w:tl2br w:val="nil"/>
              <w:tr2bl w:val="nil"/>
            </w:tcBorders>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船舶鸣笛</w:t>
            </w: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Leq</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90dB(A)</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15dB(A)</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75dB(A)</w:t>
            </w:r>
          </w:p>
        </w:tc>
        <w:tc>
          <w:tcPr>
            <w:tcW w:w="1373" w:type="pct"/>
            <w:vMerge w:val="restar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加强管理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236" w:type="pct"/>
            <w:tcBorders>
              <w:tl2br w:val="nil"/>
              <w:tr2bl w:val="nil"/>
            </w:tcBorders>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船舶发动机</w:t>
            </w:r>
          </w:p>
        </w:tc>
        <w:tc>
          <w:tcPr>
            <w:tcW w:w="593" w:type="pct"/>
            <w:gridSpan w:val="2"/>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Leq</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r>
              <w:rPr>
                <w:rFonts w:hint="eastAsia" w:ascii="Times New Roman" w:hAnsi="Times New Roman" w:cs="Times New Roman"/>
                <w:caps w:val="0"/>
                <w:smallCaps w:val="0"/>
                <w:lang w:val="en-US" w:eastAsia="zh-CN"/>
              </w:rPr>
              <w:t>0</w:t>
            </w:r>
            <w:r>
              <w:rPr>
                <w:rFonts w:ascii="Times New Roman" w:hAnsi="Times New Roman" w:cs="Times New Roman"/>
                <w:caps w:val="0"/>
                <w:smallCaps w:val="0"/>
              </w:rPr>
              <w:t>dB(A)</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15dB(A)</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85</w:t>
            </w:r>
            <w:r>
              <w:rPr>
                <w:rFonts w:ascii="Times New Roman" w:hAnsi="Times New Roman" w:cs="Times New Roman"/>
                <w:caps w:val="0"/>
                <w:smallCaps w:val="0"/>
              </w:rPr>
              <w:t>dB(A)</w:t>
            </w:r>
          </w:p>
        </w:tc>
        <w:tc>
          <w:tcPr>
            <w:tcW w:w="1373"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restar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固废</w:t>
            </w:r>
          </w:p>
        </w:tc>
        <w:tc>
          <w:tcPr>
            <w:tcW w:w="1829" w:type="pct"/>
            <w:gridSpan w:val="3"/>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到港船舶生活垃圾</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1.4</w:t>
            </w:r>
            <w:r>
              <w:rPr>
                <w:rFonts w:ascii="Times New Roman" w:hAnsi="Times New Roman" w:cs="Times New Roman"/>
                <w:caps w:val="0"/>
                <w:smallCaps w:val="0"/>
              </w:rPr>
              <w:t>4</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1.4</w:t>
            </w:r>
            <w:r>
              <w:rPr>
                <w:rFonts w:ascii="Times New Roman" w:hAnsi="Times New Roman" w:cs="Times New Roman"/>
                <w:caps w:val="0"/>
                <w:smallCaps w:val="0"/>
              </w:rPr>
              <w:t>4</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p>
        </w:tc>
        <w:tc>
          <w:tcPr>
            <w:tcW w:w="1373"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环卫部门清运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829" w:type="pct"/>
            <w:gridSpan w:val="3"/>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员工生活垃圾</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2.475</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2.475</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p>
        </w:tc>
        <w:tc>
          <w:tcPr>
            <w:tcW w:w="1373"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环卫部门清运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829" w:type="pct"/>
            <w:gridSpan w:val="3"/>
            <w:tcBorders>
              <w:tl2br w:val="nil"/>
              <w:tr2bl w:val="nil"/>
            </w:tcBorders>
            <w:shd w:val="clear" w:color="auto" w:fill="auto"/>
            <w:noWrap/>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废沥青</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1.5</w:t>
            </w:r>
          </w:p>
        </w:tc>
        <w:tc>
          <w:tcPr>
            <w:tcW w:w="523" w:type="pct"/>
            <w:tcBorders>
              <w:tl2br w:val="nil"/>
              <w:tr2bl w:val="nil"/>
            </w:tcBorders>
            <w:shd w:val="clear" w:color="auto" w:fill="auto"/>
            <w:noWrap/>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1.5</w:t>
            </w:r>
          </w:p>
        </w:tc>
        <w:tc>
          <w:tcPr>
            <w:tcW w:w="523" w:type="pct"/>
            <w:tcBorders>
              <w:tl2br w:val="nil"/>
              <w:tr2bl w:val="nil"/>
            </w:tcBorders>
            <w:shd w:val="clear" w:color="auto" w:fill="auto"/>
            <w:noWrap/>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w:t>
            </w:r>
          </w:p>
        </w:tc>
        <w:tc>
          <w:tcPr>
            <w:tcW w:w="1373" w:type="pct"/>
            <w:tcBorders>
              <w:tl2br w:val="nil"/>
              <w:tr2bl w:val="nil"/>
            </w:tcBorders>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回收利用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2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829" w:type="pct"/>
            <w:gridSpan w:val="3"/>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w:t>
            </w:r>
            <w:r>
              <w:rPr>
                <w:rFonts w:hint="eastAsia" w:ascii="Times New Roman" w:hAnsi="Times New Roman" w:cs="Times New Roman"/>
                <w:caps w:val="0"/>
                <w:smallCaps w:val="0"/>
                <w:lang w:val="en-US" w:eastAsia="zh-CN"/>
              </w:rPr>
              <w:t>矿物</w:t>
            </w:r>
            <w:r>
              <w:rPr>
                <w:rFonts w:ascii="Times New Roman" w:hAnsi="Times New Roman" w:cs="Times New Roman"/>
                <w:caps w:val="0"/>
                <w:smallCaps w:val="0"/>
              </w:rPr>
              <w:t>油</w:t>
            </w:r>
          </w:p>
        </w:tc>
        <w:tc>
          <w:tcPr>
            <w:tcW w:w="523" w:type="pct"/>
            <w:tcBorders>
              <w:tl2br w:val="nil"/>
              <w:tr2bl w:val="nil"/>
            </w:tcBorders>
            <w:shd w:val="clear" w:color="auto" w:fill="auto"/>
            <w:noWrap/>
            <w:vAlign w:val="center"/>
          </w:tcPr>
          <w:p>
            <w:pPr>
              <w:pStyle w:val="117"/>
              <w:bidi w:val="0"/>
              <w:rPr>
                <w:rFonts w:hint="eastAsia" w:ascii="Times New Roman" w:hAnsi="Times New Roman" w:cs="Times New Roman"/>
                <w:caps w:val="0"/>
                <w:smallCaps w:val="0"/>
                <w:lang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1</w:t>
            </w:r>
          </w:p>
        </w:tc>
        <w:tc>
          <w:tcPr>
            <w:tcW w:w="523" w:type="pct"/>
            <w:tcBorders>
              <w:tl2br w:val="nil"/>
              <w:tr2bl w:val="nil"/>
            </w:tcBorders>
            <w:shd w:val="clear" w:color="auto" w:fill="auto"/>
            <w:noWrap/>
            <w:vAlign w:val="center"/>
          </w:tcPr>
          <w:p>
            <w:pPr>
              <w:pStyle w:val="117"/>
              <w:bidi w:val="0"/>
              <w:rPr>
                <w:rFonts w:hint="eastAsia" w:ascii="Times New Roman" w:hAnsi="Times New Roman" w:cs="Times New Roman"/>
                <w:caps w:val="0"/>
                <w:smallCaps w:val="0"/>
                <w:lang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1</w:t>
            </w:r>
          </w:p>
        </w:tc>
        <w:tc>
          <w:tcPr>
            <w:tcW w:w="523" w:type="pct"/>
            <w:tcBorders>
              <w:tl2br w:val="nil"/>
              <w:tr2bl w:val="nil"/>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p>
        </w:tc>
        <w:tc>
          <w:tcPr>
            <w:tcW w:w="1373"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委托有资质的单位处理</w:t>
            </w:r>
          </w:p>
        </w:tc>
      </w:tr>
    </w:tbl>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生态环境的影响</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lang w:val="zh-CN"/>
        </w:rPr>
      </w:pPr>
      <w:r>
        <w:rPr>
          <w:rFonts w:ascii="Times New Roman" w:hAnsi="Times New Roman" w:cs="Times New Roman" w:eastAsiaTheme="minorEastAsia"/>
          <w:caps w:val="0"/>
          <w:smallCaps w:val="0"/>
          <w:color w:val="000000"/>
          <w:sz w:val="24"/>
          <w:szCs w:val="24"/>
          <w:lang w:val="zh-CN"/>
        </w:rPr>
        <w:t>1、拟建码头采用浮码头结构型式，趸船吃水水深&lt;1.5m，本项目江段平均水深7~8</w:t>
      </w:r>
      <w:r>
        <w:rPr>
          <w:rFonts w:hint="eastAsia" w:ascii="Times New Roman" w:hAnsi="Times New Roman" w:cs="Times New Roman" w:eastAsiaTheme="minorEastAsia"/>
          <w:caps w:val="0"/>
          <w:smallCaps w:val="0"/>
          <w:color w:val="000000"/>
          <w:sz w:val="24"/>
          <w:szCs w:val="24"/>
          <w:lang w:val="zh-CN"/>
        </w:rPr>
        <w:t>m</w:t>
      </w:r>
      <w:r>
        <w:rPr>
          <w:rFonts w:ascii="Times New Roman" w:hAnsi="Times New Roman" w:cs="Times New Roman" w:eastAsiaTheme="minorEastAsia"/>
          <w:caps w:val="0"/>
          <w:smallCaps w:val="0"/>
          <w:color w:val="000000"/>
          <w:sz w:val="24"/>
          <w:szCs w:val="24"/>
          <w:lang w:val="zh-CN"/>
        </w:rPr>
        <w:t>，鱼类仍可在浮码头平台下面游动。但是随着到港船舶数量的大幅增加，压缩了鱼类的生存空间，强大的噪声污染干扰了它们的正常生活，将会对鱼类产生一定影响。</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lang w:val="zh-CN"/>
        </w:rPr>
      </w:pPr>
      <w:r>
        <w:rPr>
          <w:rFonts w:ascii="Times New Roman" w:hAnsi="Times New Roman" w:cs="Times New Roman" w:eastAsiaTheme="minorEastAsia"/>
          <w:caps w:val="0"/>
          <w:smallCaps w:val="0"/>
          <w:color w:val="000000"/>
          <w:sz w:val="24"/>
          <w:szCs w:val="24"/>
          <w:lang w:val="zh-CN"/>
        </w:rPr>
        <w:t>2、本项目位于岳阳市东洞庭湖江豚自然保护</w:t>
      </w:r>
      <w:r>
        <w:rPr>
          <w:rFonts w:hint="eastAsia" w:ascii="Times New Roman" w:hAnsi="Times New Roman" w:cs="Times New Roman" w:eastAsiaTheme="minorEastAsia"/>
          <w:caps w:val="0"/>
          <w:smallCaps w:val="0"/>
          <w:color w:val="000000"/>
          <w:sz w:val="24"/>
          <w:szCs w:val="24"/>
          <w:lang w:val="zh-CN"/>
        </w:rPr>
        <w:t>区</w:t>
      </w:r>
      <w:r>
        <w:rPr>
          <w:rFonts w:ascii="Times New Roman" w:hAnsi="Times New Roman" w:cs="Times New Roman" w:eastAsiaTheme="minorEastAsia"/>
          <w:caps w:val="0"/>
          <w:smallCaps w:val="0"/>
          <w:color w:val="000000"/>
          <w:sz w:val="24"/>
          <w:szCs w:val="24"/>
          <w:lang w:val="zh-CN"/>
        </w:rPr>
        <w:t>实验区内，工程建设和营运会给保护区带来一定影响。</w:t>
      </w:r>
    </w:p>
    <w:p>
      <w:pPr>
        <w:tabs>
          <w:tab w:val="left" w:pos="900"/>
        </w:tabs>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lang w:val="zh-CN"/>
        </w:rPr>
      </w:pPr>
      <w:r>
        <w:rPr>
          <w:rFonts w:ascii="Times New Roman" w:hAnsi="Times New Roman" w:cs="Times New Roman" w:eastAsiaTheme="minorEastAsia"/>
          <w:caps w:val="0"/>
          <w:smallCaps w:val="0"/>
          <w:color w:val="000000"/>
          <w:sz w:val="24"/>
          <w:szCs w:val="24"/>
          <w:lang w:val="zh-CN"/>
        </w:rPr>
        <w:t>3、由于船舶的操作不当、碰撞、搁浅，从而引起船舶溢油事故，造成船舶燃料油溢漏入河，将影响码头及当地的河流生态环境。</w:t>
      </w:r>
    </w:p>
    <w:p>
      <w:pPr>
        <w:pStyle w:val="69"/>
        <w:rPr>
          <w:rFonts w:ascii="Times New Roman" w:hAnsi="Times New Roman" w:cs="Times New Roman" w:eastAsiaTheme="minorEastAsia"/>
          <w:caps w:val="0"/>
          <w:smallCaps w:val="0"/>
          <w:color w:val="000000"/>
          <w:sz w:val="24"/>
          <w:szCs w:val="24"/>
          <w:lang w:val="zh-CN"/>
        </w:rPr>
      </w:pPr>
    </w:p>
    <w:p>
      <w:pPr>
        <w:pStyle w:val="6"/>
        <w:bidi w:val="0"/>
        <w:rPr>
          <w:rFonts w:ascii="Times New Roman" w:hAnsi="Times New Roman" w:cs="Times New Roman"/>
          <w:caps w:val="0"/>
          <w:smallCaps w:val="0"/>
          <w:lang w:val="zh-CN"/>
        </w:rPr>
        <w:sectPr>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Times New Roman" w:hAnsi="Times New Roman" w:cs="Times New Roman"/>
          <w:caps w:val="0"/>
          <w:smallCaps w:val="0"/>
          <w:lang w:val="zh-CN"/>
        </w:rPr>
        <w:t>本项目提质改造前后污染物排放情况汇总</w:t>
      </w:r>
    </w:p>
    <w:p>
      <w:pPr>
        <w:pStyle w:val="95"/>
        <w:bidi w:val="0"/>
        <w:rPr>
          <w:rFonts w:ascii="Times New Roman" w:hAnsi="Times New Roman" w:cs="Times New Roman"/>
          <w:b w:val="0"/>
          <w:caps w:val="0"/>
          <w:smallCaps w:val="0"/>
        </w:rPr>
      </w:pPr>
      <w:r>
        <w:rPr>
          <w:rFonts w:hint="eastAsia" w:ascii="Times New Roman" w:hAnsi="Times New Roman" w:cs="Times New Roman"/>
          <w:caps w:val="0"/>
          <w:smallCaps w:val="0"/>
        </w:rPr>
        <w:t xml:space="preserve">表 </w:t>
      </w:r>
      <w:r>
        <w:rPr>
          <w:rFonts w:hint="eastAsia" w:ascii="Times New Roman" w:hAnsi="Times New Roman" w:cs="Times New Roman"/>
          <w:caps w:val="0"/>
          <w:smallCaps w:val="0"/>
          <w:lang w:val="en-US" w:eastAsia="zh-CN"/>
        </w:rPr>
        <w:t>3.7</w:t>
      </w:r>
      <w:r>
        <w:rPr>
          <w:rFonts w:ascii="Times New Roman" w:hAnsi="Times New Roman" w:cs="Times New Roman"/>
          <w:caps w:val="0"/>
          <w:smallCaps w:val="0"/>
        </w:rPr>
        <w:noBreakHyphen/>
      </w:r>
      <w:r>
        <w:rPr>
          <w:rFonts w:hint="eastAsia" w:ascii="Times New Roman" w:hAnsi="Times New Roman" w:cs="Times New Roman"/>
          <w:caps w:val="0"/>
          <w:smallCaps w:val="0"/>
          <w:lang w:val="en-US" w:eastAsia="zh-CN"/>
        </w:rPr>
        <w:t xml:space="preserve">17 </w:t>
      </w:r>
      <w:r>
        <w:rPr>
          <w:rFonts w:hint="eastAsia" w:ascii="Times New Roman" w:hAnsi="Times New Roman" w:cs="Times New Roman"/>
          <w:caps w:val="0"/>
          <w:smallCaps w:val="0"/>
        </w:rPr>
        <w:t>项目技改前后污染物产排统计情况表</w:t>
      </w:r>
    </w:p>
    <w:tbl>
      <w:tblPr>
        <w:tblStyle w:val="7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2"/>
        <w:gridCol w:w="2060"/>
        <w:gridCol w:w="1764"/>
        <w:gridCol w:w="1989"/>
        <w:gridCol w:w="1773"/>
        <w:gridCol w:w="1591"/>
        <w:gridCol w:w="1443"/>
        <w:gridCol w:w="26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blHeader/>
        </w:trPr>
        <w:tc>
          <w:tcPr>
            <w:tcW w:w="342" w:type="pct"/>
            <w:shd w:val="clear" w:color="auto" w:fill="auto"/>
            <w:noWrap w:val="0"/>
            <w:vAlign w:val="center"/>
          </w:tcPr>
          <w:p>
            <w:pPr>
              <w:pStyle w:val="117"/>
              <w:bidi w:val="0"/>
            </w:pPr>
            <w:r>
              <w:t>污染源</w:t>
            </w:r>
          </w:p>
        </w:tc>
        <w:tc>
          <w:tcPr>
            <w:tcW w:w="1344" w:type="pct"/>
            <w:gridSpan w:val="2"/>
            <w:shd w:val="clear" w:color="auto" w:fill="auto"/>
            <w:noWrap w:val="0"/>
            <w:vAlign w:val="center"/>
          </w:tcPr>
          <w:p>
            <w:pPr>
              <w:pStyle w:val="117"/>
              <w:bidi w:val="0"/>
            </w:pPr>
            <w:r>
              <w:t>污染物</w:t>
            </w:r>
          </w:p>
        </w:tc>
        <w:tc>
          <w:tcPr>
            <w:tcW w:w="699" w:type="pct"/>
            <w:shd w:val="clear" w:color="auto" w:fill="auto"/>
            <w:noWrap w:val="0"/>
            <w:vAlign w:val="center"/>
          </w:tcPr>
          <w:p>
            <w:pPr>
              <w:pStyle w:val="117"/>
              <w:bidi w:val="0"/>
            </w:pPr>
            <w:r>
              <w:t>提质改造前排放量</w:t>
            </w:r>
          </w:p>
        </w:tc>
        <w:tc>
          <w:tcPr>
            <w:tcW w:w="623" w:type="pct"/>
            <w:shd w:val="clear" w:color="auto" w:fill="auto"/>
            <w:noWrap w:val="0"/>
            <w:vAlign w:val="center"/>
          </w:tcPr>
          <w:p>
            <w:pPr>
              <w:pStyle w:val="117"/>
              <w:bidi w:val="0"/>
            </w:pPr>
            <w:r>
              <w:t>提质改造后排放量</w:t>
            </w:r>
          </w:p>
        </w:tc>
        <w:tc>
          <w:tcPr>
            <w:tcW w:w="559" w:type="pct"/>
            <w:shd w:val="clear" w:color="auto" w:fill="auto"/>
            <w:noWrap w:val="0"/>
            <w:vAlign w:val="center"/>
          </w:tcPr>
          <w:p>
            <w:pPr>
              <w:pStyle w:val="117"/>
              <w:bidi w:val="0"/>
            </w:pPr>
            <w:r>
              <w:t>“以新带老”削减量</w:t>
            </w:r>
          </w:p>
        </w:tc>
        <w:tc>
          <w:tcPr>
            <w:tcW w:w="507" w:type="pct"/>
            <w:shd w:val="clear" w:color="auto" w:fill="auto"/>
            <w:noWrap w:val="0"/>
            <w:vAlign w:val="center"/>
          </w:tcPr>
          <w:p>
            <w:pPr>
              <w:pStyle w:val="117"/>
              <w:bidi w:val="0"/>
            </w:pPr>
            <w:r>
              <w:t>污染物排放增减量</w:t>
            </w:r>
          </w:p>
        </w:tc>
        <w:tc>
          <w:tcPr>
            <w:tcW w:w="923" w:type="pct"/>
            <w:shd w:val="clear" w:color="auto" w:fill="auto"/>
            <w:noWrap w:val="0"/>
            <w:vAlign w:val="center"/>
          </w:tcPr>
          <w:p>
            <w:pPr>
              <w:pStyle w:val="117"/>
              <w:bidi w:val="0"/>
            </w:pPr>
            <w: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342" w:type="pct"/>
            <w:vMerge w:val="restart"/>
            <w:shd w:val="clear" w:color="auto" w:fill="auto"/>
            <w:noWrap w:val="0"/>
            <w:vAlign w:val="center"/>
          </w:tcPr>
          <w:p>
            <w:pPr>
              <w:pStyle w:val="117"/>
              <w:bidi w:val="0"/>
            </w:pPr>
            <w:r>
              <w:t>废水</w:t>
            </w:r>
          </w:p>
        </w:tc>
        <w:tc>
          <w:tcPr>
            <w:tcW w:w="724" w:type="pct"/>
            <w:vMerge w:val="restart"/>
            <w:shd w:val="clear" w:color="auto" w:fill="auto"/>
            <w:noWrap w:val="0"/>
            <w:vAlign w:val="center"/>
          </w:tcPr>
          <w:p>
            <w:pPr>
              <w:pStyle w:val="117"/>
              <w:bidi w:val="0"/>
            </w:pPr>
            <w:r>
              <w:rPr>
                <w:rFonts w:hint="eastAsia"/>
              </w:rPr>
              <w:t>船舶</w:t>
            </w:r>
            <w:r>
              <w:t>生活污水</w:t>
            </w:r>
          </w:p>
        </w:tc>
        <w:tc>
          <w:tcPr>
            <w:tcW w:w="620" w:type="pct"/>
            <w:shd w:val="clear" w:color="auto" w:fill="auto"/>
            <w:noWrap w:val="0"/>
            <w:vAlign w:val="center"/>
          </w:tcPr>
          <w:p>
            <w:pPr>
              <w:pStyle w:val="117"/>
              <w:bidi w:val="0"/>
            </w:pPr>
            <w:r>
              <w:t>废水量（m3/a）</w:t>
            </w:r>
          </w:p>
        </w:tc>
        <w:tc>
          <w:tcPr>
            <w:tcW w:w="699" w:type="pct"/>
            <w:shd w:val="clear" w:color="auto" w:fill="auto"/>
            <w:noWrap w:val="0"/>
            <w:vAlign w:val="center"/>
          </w:tcPr>
          <w:p>
            <w:pPr>
              <w:pStyle w:val="117"/>
              <w:bidi w:val="0"/>
              <w:rPr>
                <w:rFonts w:hint="default"/>
                <w:lang w:val="en-US" w:eastAsia="zh-CN"/>
              </w:rPr>
            </w:pPr>
            <w:r>
              <w:rPr>
                <w:rFonts w:hint="eastAsia"/>
                <w:lang w:val="en-US" w:eastAsia="zh-CN"/>
              </w:rPr>
              <w:t>0</w:t>
            </w:r>
          </w:p>
        </w:tc>
        <w:tc>
          <w:tcPr>
            <w:tcW w:w="623" w:type="pct"/>
            <w:shd w:val="clear" w:color="auto" w:fill="auto"/>
            <w:noWrap w:val="0"/>
            <w:vAlign w:val="center"/>
          </w:tcPr>
          <w:p>
            <w:pPr>
              <w:pStyle w:val="117"/>
              <w:bidi w:val="0"/>
              <w:rPr>
                <w:rFonts w:hint="default"/>
                <w:lang w:val="en-US" w:eastAsia="zh-CN"/>
              </w:rPr>
            </w:pPr>
            <w:r>
              <w:rPr>
                <w:rFonts w:hint="eastAsia"/>
                <w:lang w:val="en-US" w:eastAsia="zh-CN"/>
              </w:rPr>
              <w:t>87</w:t>
            </w:r>
          </w:p>
        </w:tc>
        <w:tc>
          <w:tcPr>
            <w:tcW w:w="559" w:type="pct"/>
            <w:shd w:val="clear" w:color="auto" w:fill="auto"/>
            <w:noWrap w:val="0"/>
            <w:vAlign w:val="center"/>
          </w:tcPr>
          <w:p>
            <w:pPr>
              <w:pStyle w:val="117"/>
              <w:bidi w:val="0"/>
              <w:rPr>
                <w:rFonts w:hint="eastAsia"/>
                <w:lang w:val="en-US" w:eastAsia="zh-CN"/>
              </w:rPr>
            </w:pPr>
            <w:r>
              <w:rPr>
                <w:rFonts w:hint="eastAsia"/>
                <w:lang w:val="en-US" w:eastAsia="zh-CN"/>
              </w:rPr>
              <w:t>/</w:t>
            </w:r>
          </w:p>
        </w:tc>
        <w:tc>
          <w:tcPr>
            <w:tcW w:w="507" w:type="pct"/>
            <w:shd w:val="clear" w:color="auto" w:fill="auto"/>
            <w:noWrap w:val="0"/>
            <w:vAlign w:val="center"/>
          </w:tcPr>
          <w:p>
            <w:pPr>
              <w:pStyle w:val="117"/>
              <w:bidi w:val="0"/>
              <w:rPr>
                <w:rFonts w:hint="default"/>
                <w:lang w:val="en-US" w:eastAsia="zh-CN"/>
              </w:rPr>
            </w:pPr>
            <w:r>
              <w:rPr>
                <w:rFonts w:hint="eastAsia"/>
                <w:lang w:val="en-US" w:eastAsia="zh-CN"/>
              </w:rPr>
              <w:t>+87</w:t>
            </w:r>
          </w:p>
        </w:tc>
        <w:tc>
          <w:tcPr>
            <w:tcW w:w="923" w:type="pct"/>
            <w:vMerge w:val="restart"/>
            <w:shd w:val="clear" w:color="auto" w:fill="auto"/>
            <w:noWrap w:val="0"/>
            <w:vAlign w:val="center"/>
          </w:tcPr>
          <w:p>
            <w:pPr>
              <w:pStyle w:val="117"/>
              <w:bidi w:val="0"/>
            </w:pPr>
            <w:r>
              <w:t>由海事部门环保船回收，交由海事部门指定单位进行处理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342" w:type="pct"/>
            <w:vMerge w:val="continue"/>
            <w:shd w:val="clear" w:color="auto" w:fill="auto"/>
            <w:noWrap w:val="0"/>
            <w:vAlign w:val="center"/>
          </w:tcPr>
          <w:p>
            <w:pPr>
              <w:pStyle w:val="117"/>
              <w:bidi w:val="0"/>
            </w:pPr>
          </w:p>
        </w:tc>
        <w:tc>
          <w:tcPr>
            <w:tcW w:w="724" w:type="pct"/>
            <w:vMerge w:val="continue"/>
            <w:shd w:val="clear" w:color="auto" w:fill="auto"/>
            <w:noWrap w:val="0"/>
            <w:vAlign w:val="center"/>
          </w:tcPr>
          <w:p>
            <w:pPr>
              <w:pStyle w:val="117"/>
              <w:bidi w:val="0"/>
            </w:pPr>
          </w:p>
        </w:tc>
        <w:tc>
          <w:tcPr>
            <w:tcW w:w="620" w:type="pct"/>
            <w:shd w:val="clear" w:color="auto" w:fill="auto"/>
            <w:noWrap w:val="0"/>
            <w:vAlign w:val="center"/>
          </w:tcPr>
          <w:p>
            <w:pPr>
              <w:pStyle w:val="117"/>
              <w:bidi w:val="0"/>
            </w:pPr>
            <w:r>
              <w:t>COD（t/a）</w:t>
            </w:r>
          </w:p>
        </w:tc>
        <w:tc>
          <w:tcPr>
            <w:tcW w:w="699" w:type="pct"/>
            <w:shd w:val="clear" w:color="auto" w:fill="auto"/>
            <w:noWrap w:val="0"/>
            <w:vAlign w:val="center"/>
          </w:tcPr>
          <w:p>
            <w:pPr>
              <w:pStyle w:val="117"/>
              <w:bidi w:val="0"/>
              <w:rPr>
                <w:rFonts w:hint="default"/>
                <w:lang w:val="en-US" w:eastAsia="zh-CN"/>
              </w:rPr>
            </w:pPr>
            <w:r>
              <w:rPr>
                <w:rFonts w:hint="eastAsia"/>
                <w:lang w:val="en-US" w:eastAsia="zh-CN"/>
              </w:rPr>
              <w:t>0</w:t>
            </w:r>
          </w:p>
        </w:tc>
        <w:tc>
          <w:tcPr>
            <w:tcW w:w="623" w:type="pct"/>
            <w:shd w:val="clear" w:color="auto" w:fill="auto"/>
            <w:noWrap w:val="0"/>
            <w:vAlign w:val="center"/>
          </w:tcPr>
          <w:p>
            <w:pPr>
              <w:pStyle w:val="117"/>
              <w:bidi w:val="0"/>
              <w:rPr>
                <w:rFonts w:hint="default"/>
                <w:lang w:val="en-US" w:eastAsia="zh-CN"/>
              </w:rPr>
            </w:pPr>
            <w:r>
              <w:rPr>
                <w:rFonts w:hint="eastAsia"/>
                <w:lang w:val="en-US" w:eastAsia="zh-CN"/>
              </w:rPr>
              <w:t>0.03</w:t>
            </w:r>
          </w:p>
        </w:tc>
        <w:tc>
          <w:tcPr>
            <w:tcW w:w="559" w:type="pct"/>
            <w:shd w:val="clear" w:color="auto" w:fill="auto"/>
            <w:noWrap w:val="0"/>
            <w:vAlign w:val="center"/>
          </w:tcPr>
          <w:p>
            <w:pPr>
              <w:pStyle w:val="117"/>
              <w:bidi w:val="0"/>
              <w:rPr>
                <w:rFonts w:hint="eastAsia"/>
                <w:lang w:val="en-US" w:eastAsia="zh-CN"/>
              </w:rPr>
            </w:pPr>
            <w:r>
              <w:rPr>
                <w:rFonts w:hint="eastAsia"/>
                <w:lang w:val="en-US" w:eastAsia="zh-CN"/>
              </w:rPr>
              <w:t>/</w:t>
            </w:r>
          </w:p>
        </w:tc>
        <w:tc>
          <w:tcPr>
            <w:tcW w:w="507" w:type="pct"/>
            <w:shd w:val="clear" w:color="auto" w:fill="auto"/>
            <w:noWrap w:val="0"/>
            <w:vAlign w:val="center"/>
          </w:tcPr>
          <w:p>
            <w:pPr>
              <w:pStyle w:val="117"/>
              <w:bidi w:val="0"/>
              <w:rPr>
                <w:rFonts w:hint="eastAsia"/>
                <w:lang w:val="en-US" w:eastAsia="zh-CN"/>
              </w:rPr>
            </w:pPr>
            <w:r>
              <w:rPr>
                <w:rFonts w:hint="eastAsia"/>
                <w:lang w:val="en-US" w:eastAsia="zh-CN"/>
              </w:rPr>
              <w:t>+0.03</w:t>
            </w:r>
          </w:p>
        </w:tc>
        <w:tc>
          <w:tcPr>
            <w:tcW w:w="923" w:type="pct"/>
            <w:vMerge w:val="continue"/>
            <w:shd w:val="clear" w:color="auto" w:fill="auto"/>
            <w:noWrap w:val="0"/>
            <w:vAlign w:val="center"/>
          </w:tcPr>
          <w:p>
            <w:pPr>
              <w:pStyle w:val="117"/>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342" w:type="pct"/>
            <w:vMerge w:val="continue"/>
            <w:shd w:val="clear" w:color="auto" w:fill="auto"/>
            <w:noWrap w:val="0"/>
            <w:vAlign w:val="center"/>
          </w:tcPr>
          <w:p>
            <w:pPr>
              <w:pStyle w:val="117"/>
              <w:bidi w:val="0"/>
            </w:pPr>
          </w:p>
        </w:tc>
        <w:tc>
          <w:tcPr>
            <w:tcW w:w="724" w:type="pct"/>
            <w:vMerge w:val="continue"/>
            <w:shd w:val="clear" w:color="auto" w:fill="auto"/>
            <w:noWrap w:val="0"/>
            <w:vAlign w:val="center"/>
          </w:tcPr>
          <w:p>
            <w:pPr>
              <w:pStyle w:val="117"/>
              <w:bidi w:val="0"/>
            </w:pPr>
          </w:p>
        </w:tc>
        <w:tc>
          <w:tcPr>
            <w:tcW w:w="620" w:type="pct"/>
            <w:shd w:val="clear" w:color="auto" w:fill="auto"/>
            <w:noWrap w:val="0"/>
            <w:vAlign w:val="center"/>
          </w:tcPr>
          <w:p>
            <w:pPr>
              <w:pStyle w:val="117"/>
              <w:bidi w:val="0"/>
            </w:pPr>
            <w:r>
              <w:t>氨氮（t/a）</w:t>
            </w:r>
          </w:p>
        </w:tc>
        <w:tc>
          <w:tcPr>
            <w:tcW w:w="699" w:type="pct"/>
            <w:shd w:val="clear" w:color="auto" w:fill="auto"/>
            <w:noWrap w:val="0"/>
            <w:vAlign w:val="center"/>
          </w:tcPr>
          <w:p>
            <w:pPr>
              <w:pStyle w:val="117"/>
              <w:bidi w:val="0"/>
              <w:rPr>
                <w:rFonts w:hint="default"/>
                <w:lang w:val="en-US" w:eastAsia="zh-CN"/>
              </w:rPr>
            </w:pPr>
            <w:r>
              <w:rPr>
                <w:rFonts w:hint="eastAsia"/>
                <w:lang w:val="en-US" w:eastAsia="zh-CN"/>
              </w:rPr>
              <w:t>0</w:t>
            </w:r>
          </w:p>
        </w:tc>
        <w:tc>
          <w:tcPr>
            <w:tcW w:w="623" w:type="pct"/>
            <w:shd w:val="clear" w:color="auto" w:fill="auto"/>
            <w:noWrap w:val="0"/>
            <w:vAlign w:val="center"/>
          </w:tcPr>
          <w:p>
            <w:pPr>
              <w:pStyle w:val="117"/>
              <w:bidi w:val="0"/>
              <w:rPr>
                <w:rFonts w:hint="default"/>
                <w:lang w:val="en-US" w:eastAsia="zh-CN"/>
              </w:rPr>
            </w:pPr>
            <w:r>
              <w:rPr>
                <w:rFonts w:hint="eastAsia"/>
                <w:lang w:val="en-US" w:eastAsia="zh-CN"/>
              </w:rPr>
              <w:t>0.0026</w:t>
            </w:r>
          </w:p>
        </w:tc>
        <w:tc>
          <w:tcPr>
            <w:tcW w:w="559" w:type="pct"/>
            <w:shd w:val="clear" w:color="auto" w:fill="auto"/>
            <w:noWrap w:val="0"/>
            <w:vAlign w:val="center"/>
          </w:tcPr>
          <w:p>
            <w:pPr>
              <w:pStyle w:val="117"/>
              <w:bidi w:val="0"/>
              <w:rPr>
                <w:rFonts w:hint="eastAsia"/>
                <w:lang w:val="en-US" w:eastAsia="zh-CN"/>
              </w:rPr>
            </w:pPr>
            <w:r>
              <w:rPr>
                <w:rFonts w:hint="eastAsia"/>
                <w:lang w:val="en-US" w:eastAsia="zh-CN"/>
              </w:rPr>
              <w:t>/</w:t>
            </w:r>
          </w:p>
        </w:tc>
        <w:tc>
          <w:tcPr>
            <w:tcW w:w="507" w:type="pct"/>
            <w:shd w:val="clear" w:color="auto" w:fill="auto"/>
            <w:noWrap w:val="0"/>
            <w:vAlign w:val="center"/>
          </w:tcPr>
          <w:p>
            <w:pPr>
              <w:pStyle w:val="117"/>
              <w:bidi w:val="0"/>
              <w:rPr>
                <w:rFonts w:hint="default"/>
                <w:lang w:val="en-US" w:eastAsia="zh-CN"/>
              </w:rPr>
            </w:pPr>
            <w:r>
              <w:rPr>
                <w:rFonts w:hint="eastAsia"/>
                <w:lang w:val="en-US" w:eastAsia="zh-CN"/>
              </w:rPr>
              <w:t>+0.0026</w:t>
            </w:r>
          </w:p>
        </w:tc>
        <w:tc>
          <w:tcPr>
            <w:tcW w:w="923" w:type="pct"/>
            <w:vMerge w:val="continue"/>
            <w:shd w:val="clear" w:color="auto" w:fill="auto"/>
            <w:noWrap w:val="0"/>
            <w:vAlign w:val="center"/>
          </w:tcPr>
          <w:p>
            <w:pPr>
              <w:pStyle w:val="117"/>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1" w:hRule="atLeast"/>
        </w:trPr>
        <w:tc>
          <w:tcPr>
            <w:tcW w:w="342" w:type="pct"/>
            <w:vMerge w:val="continue"/>
            <w:shd w:val="clear" w:color="auto" w:fill="auto"/>
            <w:noWrap w:val="0"/>
            <w:vAlign w:val="center"/>
          </w:tcPr>
          <w:p>
            <w:pPr>
              <w:pStyle w:val="117"/>
              <w:bidi w:val="0"/>
            </w:pPr>
          </w:p>
        </w:tc>
        <w:tc>
          <w:tcPr>
            <w:tcW w:w="724" w:type="pct"/>
            <w:vMerge w:val="restart"/>
            <w:shd w:val="clear" w:color="auto" w:fill="auto"/>
            <w:noWrap w:val="0"/>
            <w:vAlign w:val="center"/>
          </w:tcPr>
          <w:p>
            <w:pPr>
              <w:pStyle w:val="117"/>
              <w:bidi w:val="0"/>
            </w:pPr>
            <w:r>
              <w:rPr>
                <w:rFonts w:hint="eastAsia"/>
                <w:lang w:eastAsia="zh-CN"/>
              </w:rPr>
              <w:t>码头</w:t>
            </w:r>
            <w:r>
              <w:rPr>
                <w:rFonts w:hint="eastAsia"/>
              </w:rPr>
              <w:t>生活污水</w:t>
            </w:r>
          </w:p>
        </w:tc>
        <w:tc>
          <w:tcPr>
            <w:tcW w:w="620" w:type="pct"/>
            <w:shd w:val="clear" w:color="auto" w:fill="auto"/>
            <w:noWrap w:val="0"/>
            <w:vAlign w:val="center"/>
          </w:tcPr>
          <w:p>
            <w:pPr>
              <w:pStyle w:val="117"/>
              <w:bidi w:val="0"/>
            </w:pPr>
            <w:r>
              <w:t>废水量（m3/a）</w:t>
            </w:r>
          </w:p>
        </w:tc>
        <w:tc>
          <w:tcPr>
            <w:tcW w:w="699" w:type="pct"/>
            <w:shd w:val="clear" w:color="auto" w:fill="auto"/>
            <w:noWrap w:val="0"/>
            <w:vAlign w:val="center"/>
          </w:tcPr>
          <w:p>
            <w:pPr>
              <w:pStyle w:val="117"/>
              <w:bidi w:val="0"/>
              <w:rPr>
                <w:rFonts w:hint="eastAsia"/>
                <w:lang w:val="en-US" w:eastAsia="zh-CN"/>
              </w:rPr>
            </w:pPr>
            <w:r>
              <w:rPr>
                <w:rFonts w:hint="eastAsia"/>
                <w:lang w:val="en-US" w:eastAsia="zh-CN"/>
              </w:rPr>
              <w:t>0</w:t>
            </w:r>
          </w:p>
        </w:tc>
        <w:tc>
          <w:tcPr>
            <w:tcW w:w="623" w:type="pct"/>
            <w:shd w:val="clear" w:color="auto" w:fill="auto"/>
            <w:noWrap w:val="0"/>
            <w:vAlign w:val="center"/>
          </w:tcPr>
          <w:p>
            <w:pPr>
              <w:pStyle w:val="117"/>
              <w:bidi w:val="0"/>
              <w:rPr>
                <w:rFonts w:hint="default"/>
                <w:lang w:val="en-US" w:eastAsia="zh-CN"/>
              </w:rPr>
            </w:pPr>
            <w:r>
              <w:rPr>
                <w:rFonts w:hint="eastAsia"/>
                <w:lang w:val="en-US" w:eastAsia="zh-CN"/>
              </w:rPr>
              <w:t>198</w:t>
            </w:r>
          </w:p>
        </w:tc>
        <w:tc>
          <w:tcPr>
            <w:tcW w:w="559" w:type="pct"/>
            <w:shd w:val="clear" w:color="auto" w:fill="auto"/>
            <w:noWrap w:val="0"/>
            <w:vAlign w:val="center"/>
          </w:tcPr>
          <w:p>
            <w:pPr>
              <w:pStyle w:val="117"/>
              <w:bidi w:val="0"/>
              <w:rPr>
                <w:rFonts w:hint="eastAsia"/>
                <w:lang w:val="en-US" w:eastAsia="zh-CN"/>
              </w:rPr>
            </w:pPr>
            <w:r>
              <w:rPr>
                <w:rFonts w:hint="eastAsia"/>
                <w:lang w:val="en-US" w:eastAsia="zh-CN"/>
              </w:rPr>
              <w:t>/</w:t>
            </w:r>
          </w:p>
        </w:tc>
        <w:tc>
          <w:tcPr>
            <w:tcW w:w="507" w:type="pct"/>
            <w:shd w:val="clear" w:color="auto" w:fill="auto"/>
            <w:noWrap w:val="0"/>
            <w:vAlign w:val="center"/>
          </w:tcPr>
          <w:p>
            <w:pPr>
              <w:pStyle w:val="117"/>
              <w:bidi w:val="0"/>
              <w:rPr>
                <w:lang w:val="en-US" w:eastAsia="zh-CN"/>
              </w:rPr>
            </w:pPr>
            <w:r>
              <w:rPr>
                <w:rFonts w:hint="eastAsia"/>
                <w:lang w:val="en-US" w:eastAsia="zh-CN"/>
              </w:rPr>
              <w:t>+198</w:t>
            </w:r>
          </w:p>
        </w:tc>
        <w:tc>
          <w:tcPr>
            <w:tcW w:w="923" w:type="pct"/>
            <w:vMerge w:val="restart"/>
            <w:shd w:val="clear" w:color="auto" w:fill="auto"/>
            <w:noWrap w:val="0"/>
            <w:vAlign w:val="center"/>
          </w:tcPr>
          <w:p>
            <w:pPr>
              <w:pStyle w:val="117"/>
              <w:bidi w:val="0"/>
            </w:pPr>
            <w:r>
              <w:t>化粪池处理后排入市政污水管网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4" w:hRule="atLeast"/>
        </w:trPr>
        <w:tc>
          <w:tcPr>
            <w:tcW w:w="342" w:type="pct"/>
            <w:vMerge w:val="continue"/>
            <w:shd w:val="clear" w:color="auto" w:fill="auto"/>
            <w:noWrap w:val="0"/>
            <w:vAlign w:val="center"/>
          </w:tcPr>
          <w:p>
            <w:pPr>
              <w:pStyle w:val="117"/>
              <w:bidi w:val="0"/>
            </w:pPr>
          </w:p>
        </w:tc>
        <w:tc>
          <w:tcPr>
            <w:tcW w:w="724" w:type="pct"/>
            <w:vMerge w:val="continue"/>
            <w:shd w:val="clear" w:color="auto" w:fill="auto"/>
            <w:noWrap w:val="0"/>
            <w:vAlign w:val="center"/>
          </w:tcPr>
          <w:p>
            <w:pPr>
              <w:pStyle w:val="117"/>
              <w:bidi w:val="0"/>
            </w:pPr>
          </w:p>
        </w:tc>
        <w:tc>
          <w:tcPr>
            <w:tcW w:w="620" w:type="pct"/>
            <w:shd w:val="clear" w:color="auto" w:fill="auto"/>
            <w:noWrap w:val="0"/>
            <w:vAlign w:val="center"/>
          </w:tcPr>
          <w:p>
            <w:pPr>
              <w:pStyle w:val="117"/>
              <w:bidi w:val="0"/>
            </w:pPr>
            <w:r>
              <w:t>COD（t/a）</w:t>
            </w:r>
          </w:p>
        </w:tc>
        <w:tc>
          <w:tcPr>
            <w:tcW w:w="699" w:type="pct"/>
            <w:shd w:val="clear" w:color="auto" w:fill="auto"/>
            <w:noWrap w:val="0"/>
            <w:vAlign w:val="center"/>
          </w:tcPr>
          <w:p>
            <w:pPr>
              <w:pStyle w:val="117"/>
              <w:bidi w:val="0"/>
              <w:rPr>
                <w:rFonts w:hint="eastAsia"/>
                <w:lang w:val="en-US" w:eastAsia="zh-CN"/>
              </w:rPr>
            </w:pPr>
            <w:r>
              <w:rPr>
                <w:rFonts w:hint="eastAsia"/>
                <w:lang w:val="en-US" w:eastAsia="zh-CN"/>
              </w:rPr>
              <w:t>0</w:t>
            </w:r>
          </w:p>
        </w:tc>
        <w:tc>
          <w:tcPr>
            <w:tcW w:w="623" w:type="pct"/>
            <w:shd w:val="clear" w:color="auto" w:fill="auto"/>
            <w:noWrap w:val="0"/>
            <w:vAlign w:val="center"/>
          </w:tcPr>
          <w:p>
            <w:pPr>
              <w:pStyle w:val="117"/>
              <w:bidi w:val="0"/>
              <w:rPr>
                <w:rFonts w:hint="default"/>
                <w:lang w:val="en-US" w:eastAsia="zh-CN"/>
              </w:rPr>
            </w:pPr>
            <w:r>
              <w:rPr>
                <w:rFonts w:hint="eastAsia"/>
                <w:lang w:val="en-US" w:eastAsia="zh-CN"/>
              </w:rPr>
              <w:t>0.07</w:t>
            </w:r>
          </w:p>
        </w:tc>
        <w:tc>
          <w:tcPr>
            <w:tcW w:w="559" w:type="pct"/>
            <w:shd w:val="clear" w:color="auto" w:fill="auto"/>
            <w:noWrap w:val="0"/>
            <w:vAlign w:val="center"/>
          </w:tcPr>
          <w:p>
            <w:pPr>
              <w:pStyle w:val="117"/>
              <w:bidi w:val="0"/>
              <w:rPr>
                <w:rFonts w:hint="eastAsia"/>
                <w:lang w:val="en-US" w:eastAsia="zh-CN"/>
              </w:rPr>
            </w:pPr>
            <w:r>
              <w:rPr>
                <w:rFonts w:hint="eastAsia"/>
                <w:lang w:val="en-US" w:eastAsia="zh-CN"/>
              </w:rPr>
              <w:t>/</w:t>
            </w:r>
          </w:p>
        </w:tc>
        <w:tc>
          <w:tcPr>
            <w:tcW w:w="507" w:type="pct"/>
            <w:shd w:val="clear" w:color="auto" w:fill="auto"/>
            <w:noWrap w:val="0"/>
            <w:vAlign w:val="center"/>
          </w:tcPr>
          <w:p>
            <w:pPr>
              <w:pStyle w:val="117"/>
              <w:bidi w:val="0"/>
              <w:rPr>
                <w:rFonts w:hint="eastAsia"/>
                <w:lang w:val="en-US" w:eastAsia="zh-CN"/>
              </w:rPr>
            </w:pPr>
            <w:r>
              <w:rPr>
                <w:rFonts w:hint="eastAsia"/>
                <w:lang w:val="en-US" w:eastAsia="zh-CN"/>
              </w:rPr>
              <w:t>+0.07</w:t>
            </w:r>
          </w:p>
        </w:tc>
        <w:tc>
          <w:tcPr>
            <w:tcW w:w="923" w:type="pct"/>
            <w:vMerge w:val="continue"/>
            <w:shd w:val="clear" w:color="auto" w:fill="auto"/>
            <w:noWrap w:val="0"/>
            <w:vAlign w:val="center"/>
          </w:tcPr>
          <w:p>
            <w:pPr>
              <w:pStyle w:val="117"/>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8" w:hRule="atLeast"/>
        </w:trPr>
        <w:tc>
          <w:tcPr>
            <w:tcW w:w="342" w:type="pct"/>
            <w:vMerge w:val="continue"/>
            <w:shd w:val="clear" w:color="auto" w:fill="auto"/>
            <w:noWrap w:val="0"/>
            <w:vAlign w:val="center"/>
          </w:tcPr>
          <w:p>
            <w:pPr>
              <w:pStyle w:val="117"/>
              <w:bidi w:val="0"/>
            </w:pPr>
          </w:p>
        </w:tc>
        <w:tc>
          <w:tcPr>
            <w:tcW w:w="724" w:type="pct"/>
            <w:vMerge w:val="continue"/>
            <w:shd w:val="clear" w:color="auto" w:fill="auto"/>
            <w:noWrap w:val="0"/>
            <w:vAlign w:val="center"/>
          </w:tcPr>
          <w:p>
            <w:pPr>
              <w:pStyle w:val="117"/>
              <w:bidi w:val="0"/>
            </w:pPr>
          </w:p>
        </w:tc>
        <w:tc>
          <w:tcPr>
            <w:tcW w:w="620" w:type="pct"/>
            <w:shd w:val="clear" w:color="auto" w:fill="auto"/>
            <w:noWrap w:val="0"/>
            <w:vAlign w:val="center"/>
          </w:tcPr>
          <w:p>
            <w:pPr>
              <w:pStyle w:val="117"/>
              <w:bidi w:val="0"/>
            </w:pPr>
            <w:r>
              <w:t>氨氮（t/a）</w:t>
            </w:r>
          </w:p>
        </w:tc>
        <w:tc>
          <w:tcPr>
            <w:tcW w:w="699" w:type="pct"/>
            <w:shd w:val="clear" w:color="auto" w:fill="auto"/>
            <w:noWrap w:val="0"/>
            <w:vAlign w:val="center"/>
          </w:tcPr>
          <w:p>
            <w:pPr>
              <w:pStyle w:val="117"/>
              <w:bidi w:val="0"/>
              <w:rPr>
                <w:rFonts w:hint="eastAsia"/>
                <w:lang w:val="en-US" w:eastAsia="zh-CN"/>
              </w:rPr>
            </w:pPr>
            <w:r>
              <w:rPr>
                <w:rFonts w:hint="eastAsia"/>
                <w:lang w:val="en-US" w:eastAsia="zh-CN"/>
              </w:rPr>
              <w:t>0</w:t>
            </w:r>
          </w:p>
        </w:tc>
        <w:tc>
          <w:tcPr>
            <w:tcW w:w="623" w:type="pct"/>
            <w:shd w:val="clear" w:color="auto" w:fill="auto"/>
            <w:noWrap w:val="0"/>
            <w:vAlign w:val="center"/>
          </w:tcPr>
          <w:p>
            <w:pPr>
              <w:pStyle w:val="117"/>
              <w:bidi w:val="0"/>
              <w:rPr>
                <w:rFonts w:hint="default"/>
                <w:lang w:val="en-US" w:eastAsia="zh-CN"/>
              </w:rPr>
            </w:pPr>
            <w:r>
              <w:rPr>
                <w:rFonts w:hint="eastAsia"/>
              </w:rPr>
              <w:t>0.0</w:t>
            </w:r>
            <w:r>
              <w:rPr>
                <w:rFonts w:hint="eastAsia"/>
                <w:lang w:val="en-US" w:eastAsia="zh-CN"/>
              </w:rPr>
              <w:t>08</w:t>
            </w:r>
          </w:p>
        </w:tc>
        <w:tc>
          <w:tcPr>
            <w:tcW w:w="559" w:type="pct"/>
            <w:shd w:val="clear" w:color="auto" w:fill="auto"/>
            <w:noWrap w:val="0"/>
            <w:vAlign w:val="center"/>
          </w:tcPr>
          <w:p>
            <w:pPr>
              <w:pStyle w:val="117"/>
              <w:bidi w:val="0"/>
              <w:rPr>
                <w:rFonts w:hint="eastAsia"/>
                <w:lang w:val="en-US" w:eastAsia="zh-CN"/>
              </w:rPr>
            </w:pPr>
            <w:r>
              <w:rPr>
                <w:rFonts w:hint="eastAsia"/>
                <w:lang w:val="en-US" w:eastAsia="zh-CN"/>
              </w:rPr>
              <w:t>/</w:t>
            </w:r>
          </w:p>
        </w:tc>
        <w:tc>
          <w:tcPr>
            <w:tcW w:w="507" w:type="pct"/>
            <w:shd w:val="clear" w:color="auto" w:fill="auto"/>
            <w:noWrap w:val="0"/>
            <w:vAlign w:val="center"/>
          </w:tcPr>
          <w:p>
            <w:pPr>
              <w:pStyle w:val="117"/>
              <w:bidi w:val="0"/>
              <w:rPr>
                <w:lang w:val="en-US" w:eastAsia="zh-CN"/>
              </w:rPr>
            </w:pPr>
            <w:r>
              <w:rPr>
                <w:rFonts w:hint="eastAsia"/>
                <w:lang w:val="en-US" w:eastAsia="zh-CN"/>
              </w:rPr>
              <w:t>+</w:t>
            </w:r>
            <w:r>
              <w:rPr>
                <w:rFonts w:hint="eastAsia"/>
              </w:rPr>
              <w:t>0.0</w:t>
            </w:r>
            <w:r>
              <w:rPr>
                <w:rFonts w:hint="eastAsia"/>
                <w:lang w:val="en-US" w:eastAsia="zh-CN"/>
              </w:rPr>
              <w:t>08</w:t>
            </w:r>
          </w:p>
        </w:tc>
        <w:tc>
          <w:tcPr>
            <w:tcW w:w="923" w:type="pct"/>
            <w:vMerge w:val="continue"/>
            <w:shd w:val="clear" w:color="auto" w:fill="auto"/>
            <w:noWrap w:val="0"/>
            <w:vAlign w:val="center"/>
          </w:tcPr>
          <w:p>
            <w:pPr>
              <w:pStyle w:val="117"/>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trPr>
        <w:tc>
          <w:tcPr>
            <w:tcW w:w="342" w:type="pct"/>
            <w:vMerge w:val="continue"/>
            <w:shd w:val="clear" w:color="auto" w:fill="auto"/>
            <w:noWrap w:val="0"/>
            <w:vAlign w:val="center"/>
          </w:tcPr>
          <w:p>
            <w:pPr>
              <w:pStyle w:val="117"/>
              <w:bidi w:val="0"/>
            </w:pPr>
          </w:p>
        </w:tc>
        <w:tc>
          <w:tcPr>
            <w:tcW w:w="724" w:type="pct"/>
            <w:vMerge w:val="restart"/>
            <w:shd w:val="clear" w:color="auto" w:fill="auto"/>
            <w:noWrap w:val="0"/>
            <w:vAlign w:val="center"/>
          </w:tcPr>
          <w:p>
            <w:pPr>
              <w:pStyle w:val="117"/>
              <w:bidi w:val="0"/>
            </w:pPr>
            <w:r>
              <w:rPr>
                <w:rFonts w:hint="eastAsia"/>
              </w:rPr>
              <w:t>船舶含油污水</w:t>
            </w:r>
          </w:p>
        </w:tc>
        <w:tc>
          <w:tcPr>
            <w:tcW w:w="620" w:type="pct"/>
            <w:shd w:val="clear" w:color="auto" w:fill="auto"/>
            <w:noWrap w:val="0"/>
            <w:vAlign w:val="center"/>
          </w:tcPr>
          <w:p>
            <w:pPr>
              <w:pStyle w:val="117"/>
              <w:bidi w:val="0"/>
            </w:pPr>
            <w:r>
              <w:t>废水量（m3/a）</w:t>
            </w:r>
          </w:p>
        </w:tc>
        <w:tc>
          <w:tcPr>
            <w:tcW w:w="699" w:type="pct"/>
            <w:shd w:val="clear" w:color="auto" w:fill="auto"/>
            <w:noWrap w:val="0"/>
            <w:vAlign w:val="center"/>
          </w:tcPr>
          <w:p>
            <w:pPr>
              <w:pStyle w:val="117"/>
              <w:bidi w:val="0"/>
              <w:rPr>
                <w:rFonts w:hint="default"/>
                <w:lang w:val="en-US" w:eastAsia="zh-CN"/>
              </w:rPr>
            </w:pPr>
            <w:r>
              <w:rPr>
                <w:rFonts w:hint="eastAsia"/>
                <w:lang w:val="en-US" w:eastAsia="zh-CN"/>
              </w:rPr>
              <w:t>0</w:t>
            </w:r>
          </w:p>
        </w:tc>
        <w:tc>
          <w:tcPr>
            <w:tcW w:w="623" w:type="pct"/>
            <w:shd w:val="clear" w:color="auto" w:fill="auto"/>
            <w:noWrap w:val="0"/>
            <w:vAlign w:val="center"/>
          </w:tcPr>
          <w:p>
            <w:pPr>
              <w:pStyle w:val="117"/>
              <w:bidi w:val="0"/>
            </w:pPr>
            <w:r>
              <w:rPr>
                <w:rFonts w:hint="eastAsia"/>
                <w:lang w:val="en-US" w:eastAsia="zh-CN"/>
              </w:rPr>
              <w:t>231</w:t>
            </w:r>
          </w:p>
        </w:tc>
        <w:tc>
          <w:tcPr>
            <w:tcW w:w="559" w:type="pct"/>
            <w:shd w:val="clear" w:color="auto" w:fill="auto"/>
            <w:noWrap w:val="0"/>
            <w:vAlign w:val="center"/>
          </w:tcPr>
          <w:p>
            <w:pPr>
              <w:pStyle w:val="117"/>
              <w:bidi w:val="0"/>
            </w:pPr>
            <w:r>
              <w:rPr>
                <w:rFonts w:hint="eastAsia"/>
                <w:lang w:val="en-US" w:eastAsia="zh-CN"/>
              </w:rPr>
              <w:t>/</w:t>
            </w:r>
          </w:p>
        </w:tc>
        <w:tc>
          <w:tcPr>
            <w:tcW w:w="507" w:type="pct"/>
            <w:shd w:val="clear" w:color="auto" w:fill="auto"/>
            <w:noWrap w:val="0"/>
            <w:vAlign w:val="center"/>
          </w:tcPr>
          <w:p>
            <w:pPr>
              <w:pStyle w:val="117"/>
              <w:bidi w:val="0"/>
            </w:pPr>
            <w:r>
              <w:rPr>
                <w:rFonts w:hint="eastAsia"/>
                <w:lang w:val="en-US" w:eastAsia="zh-CN"/>
              </w:rPr>
              <w:t>+231</w:t>
            </w:r>
          </w:p>
        </w:tc>
        <w:tc>
          <w:tcPr>
            <w:tcW w:w="923" w:type="pct"/>
            <w:vMerge w:val="restart"/>
            <w:shd w:val="clear" w:color="auto" w:fill="auto"/>
            <w:noWrap w:val="0"/>
            <w:vAlign w:val="center"/>
          </w:tcPr>
          <w:p>
            <w:pPr>
              <w:pStyle w:val="117"/>
              <w:bidi w:val="0"/>
            </w:pPr>
            <w:r>
              <w:t>由海事部门环保船回收，交由海事部门指定单位进行处理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342" w:type="pct"/>
            <w:vMerge w:val="continue"/>
            <w:shd w:val="clear" w:color="auto" w:fill="auto"/>
            <w:noWrap w:val="0"/>
            <w:vAlign w:val="center"/>
          </w:tcPr>
          <w:p>
            <w:pPr>
              <w:pStyle w:val="117"/>
              <w:bidi w:val="0"/>
            </w:pPr>
          </w:p>
        </w:tc>
        <w:tc>
          <w:tcPr>
            <w:tcW w:w="724" w:type="pct"/>
            <w:vMerge w:val="continue"/>
            <w:shd w:val="clear" w:color="auto" w:fill="auto"/>
            <w:noWrap w:val="0"/>
            <w:vAlign w:val="center"/>
          </w:tcPr>
          <w:p>
            <w:pPr>
              <w:pStyle w:val="117"/>
              <w:bidi w:val="0"/>
              <w:rPr>
                <w:rFonts w:hint="eastAsia"/>
              </w:rPr>
            </w:pPr>
          </w:p>
        </w:tc>
        <w:tc>
          <w:tcPr>
            <w:tcW w:w="620" w:type="pct"/>
            <w:shd w:val="clear" w:color="auto" w:fill="auto"/>
            <w:noWrap w:val="0"/>
            <w:vAlign w:val="center"/>
          </w:tcPr>
          <w:p>
            <w:pPr>
              <w:pStyle w:val="117"/>
              <w:bidi w:val="0"/>
            </w:pPr>
            <w:r>
              <w:rPr>
                <w:rFonts w:hint="eastAsia"/>
              </w:rPr>
              <w:t>含油量</w:t>
            </w:r>
            <w:r>
              <w:t>（t/a）</w:t>
            </w:r>
          </w:p>
        </w:tc>
        <w:tc>
          <w:tcPr>
            <w:tcW w:w="699" w:type="pct"/>
            <w:shd w:val="clear" w:color="auto" w:fill="auto"/>
            <w:noWrap w:val="0"/>
            <w:vAlign w:val="center"/>
          </w:tcPr>
          <w:p>
            <w:pPr>
              <w:pStyle w:val="117"/>
              <w:bidi w:val="0"/>
              <w:rPr>
                <w:rFonts w:hint="default"/>
                <w:lang w:val="en-US" w:eastAsia="zh-CN"/>
              </w:rPr>
            </w:pPr>
            <w:r>
              <w:rPr>
                <w:rFonts w:hint="eastAsia"/>
                <w:lang w:val="en-US" w:eastAsia="zh-CN"/>
              </w:rPr>
              <w:t>0</w:t>
            </w:r>
          </w:p>
        </w:tc>
        <w:tc>
          <w:tcPr>
            <w:tcW w:w="623" w:type="pct"/>
            <w:shd w:val="clear" w:color="auto" w:fill="auto"/>
            <w:noWrap w:val="0"/>
            <w:vAlign w:val="center"/>
          </w:tcPr>
          <w:p>
            <w:pPr>
              <w:pStyle w:val="117"/>
              <w:bidi w:val="0"/>
            </w:pPr>
            <w:r>
              <w:rPr>
                <w:rFonts w:hint="eastAsia"/>
                <w:lang w:val="en-US" w:eastAsia="zh-CN"/>
              </w:rPr>
              <w:t>1.065</w:t>
            </w:r>
          </w:p>
        </w:tc>
        <w:tc>
          <w:tcPr>
            <w:tcW w:w="559" w:type="pct"/>
            <w:shd w:val="clear" w:color="auto" w:fill="auto"/>
            <w:noWrap w:val="0"/>
            <w:vAlign w:val="center"/>
          </w:tcPr>
          <w:p>
            <w:pPr>
              <w:pStyle w:val="117"/>
              <w:bidi w:val="0"/>
            </w:pPr>
            <w:r>
              <w:rPr>
                <w:rFonts w:hint="eastAsia"/>
                <w:lang w:val="en-US" w:eastAsia="zh-CN"/>
              </w:rPr>
              <w:t>/</w:t>
            </w:r>
          </w:p>
        </w:tc>
        <w:tc>
          <w:tcPr>
            <w:tcW w:w="507" w:type="pct"/>
            <w:shd w:val="clear" w:color="auto" w:fill="auto"/>
            <w:noWrap w:val="0"/>
            <w:vAlign w:val="center"/>
          </w:tcPr>
          <w:p>
            <w:pPr>
              <w:pStyle w:val="117"/>
              <w:bidi w:val="0"/>
            </w:pPr>
            <w:r>
              <w:rPr>
                <w:rFonts w:hint="eastAsia"/>
                <w:lang w:val="en-US" w:eastAsia="zh-CN"/>
              </w:rPr>
              <w:t>+1.065</w:t>
            </w:r>
          </w:p>
        </w:tc>
        <w:tc>
          <w:tcPr>
            <w:tcW w:w="923" w:type="pct"/>
            <w:vMerge w:val="continue"/>
            <w:shd w:val="clear" w:color="auto" w:fill="auto"/>
            <w:noWrap w:val="0"/>
            <w:vAlign w:val="center"/>
          </w:tcPr>
          <w:p>
            <w:pPr>
              <w:pStyle w:val="117"/>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342" w:type="pct"/>
            <w:vMerge w:val="continue"/>
            <w:shd w:val="clear" w:color="auto" w:fill="auto"/>
            <w:noWrap w:val="0"/>
            <w:vAlign w:val="center"/>
          </w:tcPr>
          <w:p>
            <w:pPr>
              <w:pStyle w:val="117"/>
              <w:bidi w:val="0"/>
            </w:pPr>
          </w:p>
        </w:tc>
        <w:tc>
          <w:tcPr>
            <w:tcW w:w="1344" w:type="pct"/>
            <w:gridSpan w:val="2"/>
            <w:shd w:val="clear" w:color="auto" w:fill="auto"/>
            <w:noWrap w:val="0"/>
            <w:vAlign w:val="center"/>
          </w:tcPr>
          <w:p>
            <w:pPr>
              <w:pStyle w:val="117"/>
              <w:bidi w:val="0"/>
            </w:pPr>
            <w:r>
              <w:t>初期雨水（m3/次）</w:t>
            </w:r>
          </w:p>
        </w:tc>
        <w:tc>
          <w:tcPr>
            <w:tcW w:w="699" w:type="pct"/>
            <w:shd w:val="clear" w:color="auto" w:fill="auto"/>
            <w:noWrap w:val="0"/>
            <w:vAlign w:val="center"/>
          </w:tcPr>
          <w:p>
            <w:pPr>
              <w:pStyle w:val="117"/>
              <w:bidi w:val="0"/>
              <w:rPr>
                <w:rFonts w:hint="eastAsia"/>
                <w:lang w:eastAsia="zh-CN"/>
              </w:rPr>
            </w:pPr>
            <w:r>
              <w:rPr>
                <w:rFonts w:hint="eastAsia"/>
                <w:lang w:val="en-US" w:eastAsia="zh-CN"/>
              </w:rPr>
              <w:t>0</w:t>
            </w:r>
          </w:p>
        </w:tc>
        <w:tc>
          <w:tcPr>
            <w:tcW w:w="623" w:type="pct"/>
            <w:shd w:val="clear" w:color="auto" w:fill="auto"/>
            <w:noWrap w:val="0"/>
            <w:vAlign w:val="center"/>
          </w:tcPr>
          <w:p>
            <w:pPr>
              <w:pStyle w:val="117"/>
              <w:bidi w:val="0"/>
              <w:rPr>
                <w:rFonts w:hint="default"/>
                <w:lang w:val="en-US" w:eastAsia="zh-CN"/>
              </w:rPr>
            </w:pPr>
            <w:r>
              <w:rPr>
                <w:rFonts w:hint="eastAsia"/>
                <w:lang w:val="en-US" w:eastAsia="zh-CN"/>
              </w:rPr>
              <w:t>1458</w:t>
            </w:r>
          </w:p>
        </w:tc>
        <w:tc>
          <w:tcPr>
            <w:tcW w:w="559" w:type="pct"/>
            <w:shd w:val="clear" w:color="auto" w:fill="auto"/>
            <w:noWrap w:val="0"/>
            <w:vAlign w:val="center"/>
          </w:tcPr>
          <w:p>
            <w:pPr>
              <w:pStyle w:val="117"/>
              <w:bidi w:val="0"/>
              <w:rPr>
                <w:rFonts w:hint="eastAsia"/>
                <w:lang w:eastAsia="zh-CN"/>
              </w:rPr>
            </w:pPr>
            <w:r>
              <w:rPr>
                <w:rFonts w:hint="eastAsia"/>
                <w:lang w:val="en-US" w:eastAsia="zh-CN"/>
              </w:rPr>
              <w:t>/</w:t>
            </w:r>
          </w:p>
        </w:tc>
        <w:tc>
          <w:tcPr>
            <w:tcW w:w="507" w:type="pct"/>
            <w:shd w:val="clear" w:color="auto" w:fill="auto"/>
            <w:noWrap w:val="0"/>
            <w:vAlign w:val="center"/>
          </w:tcPr>
          <w:p>
            <w:pPr>
              <w:pStyle w:val="117"/>
              <w:bidi w:val="0"/>
              <w:rPr>
                <w:rFonts w:hint="default"/>
                <w:lang w:val="en-US" w:eastAsia="zh-CN"/>
              </w:rPr>
            </w:pPr>
            <w:r>
              <w:rPr>
                <w:rFonts w:hint="eastAsia"/>
                <w:lang w:val="en-US" w:eastAsia="zh-CN"/>
              </w:rPr>
              <w:t>+1458</w:t>
            </w:r>
          </w:p>
        </w:tc>
        <w:tc>
          <w:tcPr>
            <w:tcW w:w="923" w:type="pct"/>
            <w:vMerge w:val="restart"/>
            <w:shd w:val="clear" w:color="auto" w:fill="auto"/>
            <w:noWrap w:val="0"/>
            <w:vAlign w:val="center"/>
          </w:tcPr>
          <w:p>
            <w:pPr>
              <w:pStyle w:val="117"/>
              <w:bidi w:val="0"/>
              <w:rPr>
                <w:rFonts w:hint="eastAsia"/>
              </w:rPr>
            </w:pPr>
            <w:r>
              <w:t>由海事部门环保船回收，交由海事部门指定单位进行处理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342" w:type="pct"/>
            <w:vMerge w:val="continue"/>
            <w:shd w:val="clear" w:color="auto" w:fill="auto"/>
            <w:noWrap w:val="0"/>
            <w:vAlign w:val="center"/>
          </w:tcPr>
          <w:p>
            <w:pPr>
              <w:pStyle w:val="117"/>
              <w:bidi w:val="0"/>
            </w:pPr>
          </w:p>
        </w:tc>
        <w:tc>
          <w:tcPr>
            <w:tcW w:w="1344" w:type="pct"/>
            <w:gridSpan w:val="2"/>
            <w:shd w:val="clear" w:color="auto" w:fill="auto"/>
            <w:noWrap w:val="0"/>
            <w:vAlign w:val="center"/>
          </w:tcPr>
          <w:p>
            <w:pPr>
              <w:pStyle w:val="117"/>
              <w:bidi w:val="0"/>
            </w:pPr>
            <w:r>
              <w:t>趸船冲洗废水（m3/a）</w:t>
            </w:r>
          </w:p>
        </w:tc>
        <w:tc>
          <w:tcPr>
            <w:tcW w:w="699" w:type="pct"/>
            <w:shd w:val="clear" w:color="auto" w:fill="auto"/>
            <w:noWrap w:val="0"/>
            <w:vAlign w:val="center"/>
          </w:tcPr>
          <w:p>
            <w:pPr>
              <w:pStyle w:val="117"/>
              <w:bidi w:val="0"/>
            </w:pPr>
            <w:r>
              <w:rPr>
                <w:rFonts w:hint="eastAsia"/>
              </w:rPr>
              <w:t>0</w:t>
            </w:r>
          </w:p>
        </w:tc>
        <w:tc>
          <w:tcPr>
            <w:tcW w:w="623" w:type="pct"/>
            <w:shd w:val="clear" w:color="auto" w:fill="auto"/>
            <w:noWrap w:val="0"/>
            <w:vAlign w:val="center"/>
          </w:tcPr>
          <w:p>
            <w:pPr>
              <w:pStyle w:val="117"/>
              <w:bidi w:val="0"/>
              <w:rPr>
                <w:rFonts w:hint="default"/>
                <w:lang w:val="en-US" w:eastAsia="zh-CN"/>
              </w:rPr>
            </w:pPr>
            <w:r>
              <w:rPr>
                <w:rFonts w:hint="eastAsia"/>
                <w:lang w:val="en-US" w:eastAsia="zh-CN"/>
              </w:rPr>
              <w:t>384</w:t>
            </w:r>
          </w:p>
        </w:tc>
        <w:tc>
          <w:tcPr>
            <w:tcW w:w="559" w:type="pct"/>
            <w:shd w:val="clear" w:color="auto" w:fill="auto"/>
            <w:noWrap w:val="0"/>
            <w:vAlign w:val="center"/>
          </w:tcPr>
          <w:p>
            <w:pPr>
              <w:pStyle w:val="117"/>
              <w:bidi w:val="0"/>
              <w:rPr>
                <w:rFonts w:hint="eastAsia"/>
                <w:lang w:eastAsia="zh-CN"/>
              </w:rPr>
            </w:pPr>
            <w:r>
              <w:rPr>
                <w:rFonts w:hint="eastAsia"/>
                <w:lang w:val="en-US" w:eastAsia="zh-CN"/>
              </w:rPr>
              <w:t>/</w:t>
            </w:r>
          </w:p>
        </w:tc>
        <w:tc>
          <w:tcPr>
            <w:tcW w:w="507" w:type="pct"/>
            <w:shd w:val="clear" w:color="auto" w:fill="auto"/>
            <w:noWrap w:val="0"/>
            <w:vAlign w:val="center"/>
          </w:tcPr>
          <w:p>
            <w:pPr>
              <w:pStyle w:val="117"/>
              <w:bidi w:val="0"/>
              <w:rPr>
                <w:rFonts w:hint="default"/>
                <w:lang w:val="en-US" w:eastAsia="zh-CN"/>
              </w:rPr>
            </w:pPr>
            <w:r>
              <w:rPr>
                <w:rFonts w:hint="eastAsia"/>
                <w:lang w:val="en-US" w:eastAsia="zh-CN"/>
              </w:rPr>
              <w:t>+384</w:t>
            </w:r>
          </w:p>
        </w:tc>
        <w:tc>
          <w:tcPr>
            <w:tcW w:w="923" w:type="pct"/>
            <w:vMerge w:val="continue"/>
            <w:shd w:val="clear" w:color="auto" w:fill="auto"/>
            <w:noWrap w:val="0"/>
            <w:vAlign w:val="center"/>
          </w:tcPr>
          <w:p>
            <w:pPr>
              <w:pStyle w:val="117"/>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342" w:type="pct"/>
            <w:shd w:val="clear" w:color="auto" w:fill="auto"/>
            <w:noWrap w:val="0"/>
            <w:vAlign w:val="center"/>
          </w:tcPr>
          <w:p>
            <w:pPr>
              <w:pStyle w:val="117"/>
              <w:bidi w:val="0"/>
            </w:pPr>
            <w:r>
              <w:t>废气</w:t>
            </w:r>
          </w:p>
        </w:tc>
        <w:tc>
          <w:tcPr>
            <w:tcW w:w="724" w:type="pct"/>
            <w:shd w:val="clear" w:color="auto" w:fill="auto"/>
            <w:noWrap w:val="0"/>
            <w:vAlign w:val="center"/>
          </w:tcPr>
          <w:p>
            <w:pPr>
              <w:pStyle w:val="117"/>
              <w:bidi w:val="0"/>
            </w:pPr>
            <w:r>
              <w:rPr>
                <w:rFonts w:hint="eastAsia"/>
                <w:lang w:eastAsia="zh-CN"/>
              </w:rPr>
              <w:t>卸载沥青</w:t>
            </w:r>
            <w:r>
              <w:t>废气（t/a）</w:t>
            </w:r>
          </w:p>
        </w:tc>
        <w:tc>
          <w:tcPr>
            <w:tcW w:w="620" w:type="pct"/>
            <w:shd w:val="clear" w:color="auto" w:fill="auto"/>
            <w:noWrap w:val="0"/>
            <w:vAlign w:val="center"/>
          </w:tcPr>
          <w:p>
            <w:pPr>
              <w:pStyle w:val="117"/>
              <w:bidi w:val="0"/>
              <w:rPr>
                <w:rFonts w:hint="default"/>
                <w:lang w:val="en-US" w:eastAsia="zh-CN"/>
              </w:rPr>
            </w:pPr>
            <w:r>
              <w:rPr>
                <w:rFonts w:hint="eastAsia"/>
                <w:lang w:val="en-US" w:eastAsia="zh-CN"/>
              </w:rPr>
              <w:t>VOCs</w:t>
            </w:r>
          </w:p>
        </w:tc>
        <w:tc>
          <w:tcPr>
            <w:tcW w:w="699" w:type="pct"/>
            <w:shd w:val="clear" w:color="auto" w:fill="auto"/>
            <w:noWrap w:val="0"/>
            <w:vAlign w:val="center"/>
          </w:tcPr>
          <w:p>
            <w:pPr>
              <w:pStyle w:val="117"/>
              <w:bidi w:val="0"/>
              <w:rPr>
                <w:rFonts w:hint="default"/>
                <w:lang w:val="en-US" w:eastAsia="zh-CN"/>
              </w:rPr>
            </w:pPr>
            <w:r>
              <w:rPr>
                <w:rFonts w:hint="eastAsia"/>
                <w:lang w:val="en-US" w:eastAsia="zh-CN"/>
              </w:rPr>
              <w:t>0.03125（汽车库区卸载产生）</w:t>
            </w:r>
          </w:p>
        </w:tc>
        <w:tc>
          <w:tcPr>
            <w:tcW w:w="623" w:type="pct"/>
            <w:shd w:val="clear" w:color="auto" w:fill="auto"/>
            <w:noWrap w:val="0"/>
            <w:vAlign w:val="center"/>
          </w:tcPr>
          <w:p>
            <w:pPr>
              <w:pStyle w:val="117"/>
              <w:bidi w:val="0"/>
            </w:pPr>
            <w:r>
              <w:rPr>
                <w:rFonts w:hint="eastAsia"/>
                <w:lang w:val="en-US" w:eastAsia="zh-CN"/>
              </w:rPr>
              <w:t>0.03125</w:t>
            </w:r>
          </w:p>
        </w:tc>
        <w:tc>
          <w:tcPr>
            <w:tcW w:w="559" w:type="pct"/>
            <w:shd w:val="clear" w:color="auto" w:fill="auto"/>
            <w:noWrap w:val="0"/>
            <w:vAlign w:val="center"/>
          </w:tcPr>
          <w:p>
            <w:pPr>
              <w:pStyle w:val="117"/>
              <w:bidi w:val="0"/>
              <w:rPr>
                <w:rFonts w:hint="eastAsia"/>
                <w:lang w:eastAsia="zh-CN"/>
              </w:rPr>
            </w:pPr>
            <w:r>
              <w:rPr>
                <w:rFonts w:hint="eastAsia"/>
                <w:lang w:val="en-US" w:eastAsia="zh-CN"/>
              </w:rPr>
              <w:t>/</w:t>
            </w:r>
          </w:p>
        </w:tc>
        <w:tc>
          <w:tcPr>
            <w:tcW w:w="507" w:type="pct"/>
            <w:shd w:val="clear" w:color="auto" w:fill="auto"/>
            <w:noWrap w:val="0"/>
            <w:vAlign w:val="center"/>
          </w:tcPr>
          <w:p>
            <w:pPr>
              <w:pStyle w:val="117"/>
              <w:bidi w:val="0"/>
              <w:rPr>
                <w:rFonts w:hint="eastAsia"/>
                <w:lang w:eastAsia="zh-CN"/>
              </w:rPr>
            </w:pPr>
            <w:r>
              <w:rPr>
                <w:rFonts w:hint="eastAsia"/>
                <w:lang w:val="en-US" w:eastAsia="zh-CN"/>
              </w:rPr>
              <w:t>0</w:t>
            </w:r>
          </w:p>
        </w:tc>
        <w:tc>
          <w:tcPr>
            <w:tcW w:w="923" w:type="pct"/>
            <w:shd w:val="clear" w:color="auto" w:fill="auto"/>
            <w:noWrap w:val="0"/>
            <w:vAlign w:val="center"/>
          </w:tcPr>
          <w:p>
            <w:pPr>
              <w:pStyle w:val="117"/>
              <w:bidi w:val="0"/>
            </w:pP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342" w:type="pct"/>
            <w:vMerge w:val="restart"/>
            <w:shd w:val="clear" w:color="auto" w:fill="auto"/>
            <w:noWrap w:val="0"/>
            <w:vAlign w:val="center"/>
          </w:tcPr>
          <w:p>
            <w:pPr>
              <w:pStyle w:val="117"/>
              <w:bidi w:val="0"/>
            </w:pPr>
            <w:r>
              <w:t>固废</w:t>
            </w:r>
          </w:p>
        </w:tc>
        <w:tc>
          <w:tcPr>
            <w:tcW w:w="1344" w:type="pct"/>
            <w:gridSpan w:val="2"/>
            <w:shd w:val="clear" w:color="auto" w:fill="auto"/>
            <w:noWrap w:val="0"/>
            <w:vAlign w:val="center"/>
          </w:tcPr>
          <w:p>
            <w:pPr>
              <w:pStyle w:val="117"/>
              <w:bidi w:val="0"/>
              <w:rPr>
                <w:rFonts w:hint="eastAsia"/>
              </w:rPr>
            </w:pPr>
            <w:r>
              <w:rPr>
                <w:rFonts w:hint="eastAsia"/>
                <w:lang w:eastAsia="zh-CN"/>
              </w:rPr>
              <w:t>废沥青</w:t>
            </w:r>
          </w:p>
        </w:tc>
        <w:tc>
          <w:tcPr>
            <w:tcW w:w="699" w:type="pct"/>
            <w:shd w:val="clear" w:color="auto" w:fill="auto"/>
            <w:noWrap w:val="0"/>
            <w:vAlign w:val="center"/>
          </w:tcPr>
          <w:p>
            <w:pPr>
              <w:pStyle w:val="117"/>
              <w:bidi w:val="0"/>
              <w:rPr>
                <w:rFonts w:hint="default"/>
                <w:lang w:val="en-US" w:eastAsia="zh-CN"/>
              </w:rPr>
            </w:pPr>
            <w:r>
              <w:rPr>
                <w:rFonts w:hint="eastAsia"/>
                <w:lang w:val="en-US" w:eastAsia="zh-CN"/>
              </w:rPr>
              <w:t>1.5（库区汽车卸载）</w:t>
            </w:r>
          </w:p>
        </w:tc>
        <w:tc>
          <w:tcPr>
            <w:tcW w:w="623" w:type="pct"/>
            <w:shd w:val="clear" w:color="auto" w:fill="auto"/>
            <w:noWrap w:val="0"/>
            <w:vAlign w:val="center"/>
          </w:tcPr>
          <w:p>
            <w:pPr>
              <w:pStyle w:val="117"/>
              <w:bidi w:val="0"/>
              <w:rPr>
                <w:rFonts w:hint="default"/>
                <w:lang w:val="en-US" w:eastAsia="zh-CN"/>
              </w:rPr>
            </w:pPr>
            <w:r>
              <w:rPr>
                <w:rFonts w:hint="eastAsia"/>
                <w:lang w:val="en-US" w:eastAsia="zh-CN"/>
              </w:rPr>
              <w:t>1.5</w:t>
            </w:r>
          </w:p>
        </w:tc>
        <w:tc>
          <w:tcPr>
            <w:tcW w:w="559" w:type="pct"/>
            <w:shd w:val="clear" w:color="auto" w:fill="auto"/>
            <w:noWrap w:val="0"/>
            <w:vAlign w:val="center"/>
          </w:tcPr>
          <w:p>
            <w:pPr>
              <w:pStyle w:val="117"/>
              <w:bidi w:val="0"/>
            </w:pPr>
            <w:r>
              <w:t>0</w:t>
            </w:r>
          </w:p>
        </w:tc>
        <w:tc>
          <w:tcPr>
            <w:tcW w:w="507" w:type="pct"/>
            <w:shd w:val="clear" w:color="auto" w:fill="auto"/>
            <w:noWrap w:val="0"/>
            <w:vAlign w:val="center"/>
          </w:tcPr>
          <w:p>
            <w:pPr>
              <w:pStyle w:val="117"/>
              <w:bidi w:val="0"/>
            </w:pPr>
            <w:r>
              <w:t>0</w:t>
            </w:r>
          </w:p>
        </w:tc>
        <w:tc>
          <w:tcPr>
            <w:tcW w:w="923" w:type="pct"/>
            <w:shd w:val="clear" w:color="auto" w:fill="auto"/>
            <w:noWrap w:val="0"/>
            <w:vAlign w:val="center"/>
          </w:tcPr>
          <w:p>
            <w:pPr>
              <w:pStyle w:val="117"/>
              <w:bidi w:val="0"/>
              <w:rPr>
                <w:rFonts w:hint="eastAsia"/>
                <w:lang w:eastAsia="zh-CN"/>
              </w:rPr>
            </w:pPr>
            <w:r>
              <w:rPr>
                <w:rFonts w:hint="eastAsia"/>
                <w:lang w:eastAsia="zh-CN"/>
              </w:rPr>
              <w:t>回收利用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342" w:type="pct"/>
            <w:vMerge w:val="continue"/>
            <w:shd w:val="clear" w:color="auto" w:fill="auto"/>
            <w:noWrap w:val="0"/>
            <w:vAlign w:val="center"/>
          </w:tcPr>
          <w:p>
            <w:pPr>
              <w:pStyle w:val="117"/>
              <w:bidi w:val="0"/>
            </w:pPr>
          </w:p>
        </w:tc>
        <w:tc>
          <w:tcPr>
            <w:tcW w:w="724" w:type="pct"/>
            <w:vMerge w:val="restart"/>
            <w:shd w:val="clear" w:color="auto" w:fill="auto"/>
            <w:noWrap w:val="0"/>
            <w:vAlign w:val="center"/>
          </w:tcPr>
          <w:p>
            <w:pPr>
              <w:pStyle w:val="117"/>
              <w:bidi w:val="0"/>
            </w:pPr>
            <w:r>
              <w:t>生活垃圾t/a</w:t>
            </w:r>
          </w:p>
        </w:tc>
        <w:tc>
          <w:tcPr>
            <w:tcW w:w="620" w:type="pct"/>
            <w:shd w:val="clear" w:color="auto" w:fill="auto"/>
            <w:noWrap w:val="0"/>
            <w:vAlign w:val="center"/>
          </w:tcPr>
          <w:p>
            <w:pPr>
              <w:pStyle w:val="117"/>
              <w:bidi w:val="0"/>
            </w:pPr>
            <w:r>
              <w:t>船舶生活垃圾</w:t>
            </w:r>
          </w:p>
        </w:tc>
        <w:tc>
          <w:tcPr>
            <w:tcW w:w="699" w:type="pct"/>
            <w:shd w:val="clear" w:color="auto" w:fill="auto"/>
            <w:noWrap w:val="0"/>
            <w:vAlign w:val="center"/>
          </w:tcPr>
          <w:p>
            <w:pPr>
              <w:pStyle w:val="117"/>
              <w:bidi w:val="0"/>
              <w:rPr>
                <w:rFonts w:hint="eastAsia"/>
                <w:lang w:eastAsia="zh-CN"/>
              </w:rPr>
            </w:pPr>
            <w:r>
              <w:rPr>
                <w:rFonts w:hint="eastAsia"/>
                <w:lang w:val="en-US" w:eastAsia="zh-CN"/>
              </w:rPr>
              <w:t>0</w:t>
            </w:r>
          </w:p>
        </w:tc>
        <w:tc>
          <w:tcPr>
            <w:tcW w:w="1773" w:type="dxa"/>
            <w:shd w:val="clear" w:color="auto" w:fill="auto"/>
            <w:noWrap w:val="0"/>
            <w:vAlign w:val="center"/>
          </w:tcPr>
          <w:p>
            <w:pPr>
              <w:pStyle w:val="117"/>
              <w:bidi w:val="0"/>
            </w:pPr>
            <w:r>
              <w:rPr>
                <w:rFonts w:hint="eastAsia"/>
                <w:lang w:val="en-US" w:eastAsia="zh-CN"/>
              </w:rPr>
              <w:t>1.4</w:t>
            </w:r>
            <w:r>
              <w:t>4</w:t>
            </w:r>
          </w:p>
        </w:tc>
        <w:tc>
          <w:tcPr>
            <w:tcW w:w="559" w:type="pct"/>
            <w:shd w:val="clear" w:color="auto" w:fill="auto"/>
            <w:noWrap w:val="0"/>
            <w:vAlign w:val="center"/>
          </w:tcPr>
          <w:p>
            <w:pPr>
              <w:pStyle w:val="117"/>
              <w:bidi w:val="0"/>
              <w:rPr>
                <w:rFonts w:hint="eastAsia"/>
                <w:lang w:eastAsia="zh-CN"/>
              </w:rPr>
            </w:pPr>
            <w:r>
              <w:rPr>
                <w:rFonts w:hint="eastAsia"/>
                <w:lang w:val="en-US" w:eastAsia="zh-CN"/>
              </w:rPr>
              <w:t>/</w:t>
            </w:r>
          </w:p>
        </w:tc>
        <w:tc>
          <w:tcPr>
            <w:tcW w:w="507" w:type="pct"/>
            <w:shd w:val="clear" w:color="auto" w:fill="auto"/>
            <w:noWrap w:val="0"/>
            <w:vAlign w:val="center"/>
          </w:tcPr>
          <w:p>
            <w:pPr>
              <w:pStyle w:val="117"/>
              <w:bidi w:val="0"/>
              <w:rPr>
                <w:rFonts w:hint="eastAsia"/>
                <w:lang w:eastAsia="zh-CN"/>
              </w:rPr>
            </w:pPr>
            <w:r>
              <w:rPr>
                <w:rFonts w:hint="eastAsia"/>
                <w:lang w:val="en-US" w:eastAsia="zh-CN"/>
              </w:rPr>
              <w:t>0</w:t>
            </w:r>
          </w:p>
        </w:tc>
        <w:tc>
          <w:tcPr>
            <w:tcW w:w="923" w:type="pct"/>
            <w:vMerge w:val="restart"/>
            <w:shd w:val="clear" w:color="auto" w:fill="auto"/>
            <w:noWrap w:val="0"/>
            <w:vAlign w:val="center"/>
          </w:tcPr>
          <w:p>
            <w:pPr>
              <w:pStyle w:val="117"/>
              <w:bidi w:val="0"/>
            </w:pPr>
            <w:r>
              <w:t>环卫部门处理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342" w:type="pct"/>
            <w:vMerge w:val="continue"/>
            <w:shd w:val="clear" w:color="auto" w:fill="auto"/>
            <w:noWrap w:val="0"/>
            <w:vAlign w:val="center"/>
          </w:tcPr>
          <w:p>
            <w:pPr>
              <w:pStyle w:val="117"/>
              <w:bidi w:val="0"/>
            </w:pPr>
          </w:p>
        </w:tc>
        <w:tc>
          <w:tcPr>
            <w:tcW w:w="724" w:type="pct"/>
            <w:vMerge w:val="continue"/>
            <w:shd w:val="clear" w:color="auto" w:fill="auto"/>
            <w:noWrap w:val="0"/>
            <w:vAlign w:val="center"/>
          </w:tcPr>
          <w:p>
            <w:pPr>
              <w:pStyle w:val="117"/>
              <w:bidi w:val="0"/>
            </w:pPr>
          </w:p>
        </w:tc>
        <w:tc>
          <w:tcPr>
            <w:tcW w:w="620" w:type="pct"/>
            <w:shd w:val="clear" w:color="auto" w:fill="auto"/>
            <w:noWrap w:val="0"/>
            <w:vAlign w:val="center"/>
          </w:tcPr>
          <w:p>
            <w:pPr>
              <w:pStyle w:val="117"/>
              <w:bidi w:val="0"/>
            </w:pPr>
            <w:r>
              <w:t>港区生活垃圾</w:t>
            </w:r>
          </w:p>
        </w:tc>
        <w:tc>
          <w:tcPr>
            <w:tcW w:w="699" w:type="pct"/>
            <w:shd w:val="clear" w:color="auto" w:fill="auto"/>
            <w:noWrap w:val="0"/>
            <w:vAlign w:val="center"/>
          </w:tcPr>
          <w:p>
            <w:pPr>
              <w:pStyle w:val="117"/>
              <w:bidi w:val="0"/>
              <w:rPr>
                <w:rFonts w:hint="eastAsia"/>
                <w:lang w:eastAsia="zh-CN"/>
              </w:rPr>
            </w:pPr>
            <w:r>
              <w:rPr>
                <w:rFonts w:hint="eastAsia"/>
                <w:lang w:val="en-US" w:eastAsia="zh-CN"/>
              </w:rPr>
              <w:t>0</w:t>
            </w:r>
          </w:p>
        </w:tc>
        <w:tc>
          <w:tcPr>
            <w:tcW w:w="1773" w:type="dxa"/>
            <w:shd w:val="clear" w:color="auto" w:fill="auto"/>
            <w:noWrap w:val="0"/>
            <w:vAlign w:val="center"/>
          </w:tcPr>
          <w:p>
            <w:pPr>
              <w:pStyle w:val="117"/>
              <w:bidi w:val="0"/>
            </w:pPr>
            <w:r>
              <w:rPr>
                <w:rFonts w:hint="eastAsia"/>
                <w:lang w:val="en-US" w:eastAsia="zh-CN"/>
              </w:rPr>
              <w:t>2.475</w:t>
            </w:r>
          </w:p>
        </w:tc>
        <w:tc>
          <w:tcPr>
            <w:tcW w:w="559" w:type="pct"/>
            <w:shd w:val="clear" w:color="auto" w:fill="auto"/>
            <w:noWrap w:val="0"/>
            <w:vAlign w:val="center"/>
          </w:tcPr>
          <w:p>
            <w:pPr>
              <w:pStyle w:val="117"/>
              <w:bidi w:val="0"/>
            </w:pPr>
            <w:r>
              <w:t>/</w:t>
            </w:r>
          </w:p>
        </w:tc>
        <w:tc>
          <w:tcPr>
            <w:tcW w:w="507" w:type="pct"/>
            <w:shd w:val="clear" w:color="auto" w:fill="auto"/>
            <w:noWrap w:val="0"/>
            <w:vAlign w:val="center"/>
          </w:tcPr>
          <w:p>
            <w:pPr>
              <w:pStyle w:val="117"/>
              <w:bidi w:val="0"/>
            </w:pPr>
            <w:r>
              <w:t>0</w:t>
            </w:r>
          </w:p>
        </w:tc>
        <w:tc>
          <w:tcPr>
            <w:tcW w:w="923" w:type="pct"/>
            <w:vMerge w:val="continue"/>
            <w:shd w:val="clear" w:color="auto" w:fill="auto"/>
            <w:noWrap w:val="0"/>
            <w:vAlign w:val="center"/>
          </w:tcPr>
          <w:p>
            <w:pPr>
              <w:pStyle w:val="117"/>
              <w:bidi w:val="0"/>
            </w:pPr>
          </w:p>
        </w:tc>
      </w:tr>
    </w:tbl>
    <w:p>
      <w:pPr>
        <w:pStyle w:val="117"/>
        <w:bidi w:val="0"/>
        <w:ind w:firstLine="420" w:firstLineChars="200"/>
        <w:jc w:val="both"/>
      </w:pPr>
      <w:r>
        <w:t>注：污染物排放增减量</w:t>
      </w:r>
      <w:r>
        <w:rPr>
          <w:rFonts w:hint="eastAsia"/>
        </w:rPr>
        <w:t>一栏</w:t>
      </w:r>
      <w:r>
        <w:t>中</w:t>
      </w:r>
      <w:r>
        <w:rPr>
          <w:rFonts w:hint="eastAsia"/>
        </w:rPr>
        <w:t>，</w:t>
      </w:r>
      <w:r>
        <w:t>“+”表示环保提质改造后污染物排放量较提质改造前有所增加</w:t>
      </w:r>
      <w:r>
        <w:rPr>
          <w:rFonts w:hint="eastAsia"/>
        </w:rPr>
        <w:t>;</w:t>
      </w:r>
      <w:r>
        <w:t xml:space="preserve"> “-”表示环保提质改造后污染物排放量较提质改造前有所减少</w:t>
      </w:r>
      <w:r>
        <w:rPr>
          <w:rFonts w:hint="eastAsia"/>
        </w:rPr>
        <w:t>;</w:t>
      </w:r>
      <w:r>
        <w:t xml:space="preserve"> “0”</w:t>
      </w:r>
      <w:r>
        <w:rPr>
          <w:rFonts w:hint="eastAsia"/>
        </w:rPr>
        <w:t>表示提质改造前后污染物排放量不发生变化</w:t>
      </w:r>
      <w:r>
        <w:t>。</w:t>
      </w:r>
    </w:p>
    <w:p>
      <w:pPr>
        <w:rPr>
          <w:rFonts w:ascii="Times New Roman" w:hAnsi="Times New Roman" w:cs="Times New Roman"/>
          <w:caps w:val="0"/>
          <w:smallCaps w:val="0"/>
          <w:lang w:val="zh-CN"/>
        </w:rPr>
        <w:sectPr>
          <w:pgSz w:w="16838" w:h="11906" w:orient="landscape"/>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69"/>
        <w:rPr>
          <w:rFonts w:ascii="Times New Roman" w:hAnsi="Times New Roman" w:cs="Times New Roman"/>
          <w:caps w:val="0"/>
          <w:smallCaps w:val="0"/>
          <w:lang w:val="zh-CN"/>
        </w:rPr>
      </w:pPr>
    </w:p>
    <w:p>
      <w:pPr>
        <w:pStyle w:val="4"/>
        <w:spacing w:line="480" w:lineRule="auto"/>
        <w:ind w:left="431" w:hanging="431"/>
        <w:jc w:val="center"/>
        <w:rPr>
          <w:rFonts w:ascii="Times New Roman" w:hAnsi="Times New Roman" w:cs="Times New Roman" w:eastAsiaTheme="minorEastAsia"/>
          <w:b/>
          <w:caps w:val="0"/>
          <w:smallCaps w:val="0"/>
          <w:sz w:val="32"/>
          <w:szCs w:val="32"/>
        </w:rPr>
      </w:pPr>
      <w:bookmarkStart w:id="41" w:name="_Toc1647842"/>
      <w:bookmarkEnd w:id="41"/>
      <w:bookmarkStart w:id="42" w:name="_Toc298750557"/>
      <w:bookmarkEnd w:id="42"/>
      <w:bookmarkStart w:id="43" w:name="_Toc298750356"/>
      <w:bookmarkEnd w:id="43"/>
      <w:r>
        <w:rPr>
          <w:rFonts w:hint="eastAsia" w:ascii="Times New Roman" w:hAnsi="Times New Roman" w:cs="Times New Roman" w:eastAsiaTheme="minorEastAsia"/>
          <w:b/>
          <w:caps w:val="0"/>
          <w:smallCaps w:val="0"/>
          <w:sz w:val="32"/>
          <w:szCs w:val="32"/>
          <w:lang w:val="en-US" w:eastAsia="zh-CN"/>
        </w:rPr>
        <w:t xml:space="preserve">   </w:t>
      </w:r>
      <w:bookmarkStart w:id="44" w:name="_Toc13121"/>
      <w:r>
        <w:rPr>
          <w:rFonts w:ascii="Times New Roman" w:hAnsi="Times New Roman" w:cs="Times New Roman" w:eastAsiaTheme="minorEastAsia"/>
          <w:b/>
          <w:caps w:val="0"/>
          <w:smallCaps w:val="0"/>
          <w:sz w:val="32"/>
          <w:szCs w:val="32"/>
        </w:rPr>
        <w:t>环境质量现状调查与评价</w:t>
      </w:r>
      <w:bookmarkEnd w:id="44"/>
    </w:p>
    <w:p>
      <w:pPr>
        <w:pStyle w:val="5"/>
        <w:rPr>
          <w:rFonts w:ascii="Times New Roman" w:hAnsi="Times New Roman" w:cs="Times New Roman" w:eastAsiaTheme="minorEastAsia"/>
          <w:b/>
          <w:caps w:val="0"/>
          <w:smallCaps w:val="0"/>
        </w:rPr>
      </w:pPr>
      <w:bookmarkStart w:id="45" w:name="_Toc533797477"/>
      <w:bookmarkEnd w:id="45"/>
      <w:bookmarkStart w:id="46" w:name="_Toc187830035"/>
      <w:bookmarkEnd w:id="46"/>
      <w:bookmarkStart w:id="47" w:name="_Toc106965861"/>
      <w:bookmarkEnd w:id="47"/>
      <w:bookmarkStart w:id="48" w:name="_Toc65582253"/>
      <w:bookmarkEnd w:id="48"/>
      <w:bookmarkStart w:id="49" w:name="_Toc51482818"/>
      <w:bookmarkEnd w:id="49"/>
      <w:bookmarkStart w:id="50" w:name="_Toc75346460"/>
      <w:bookmarkEnd w:id="50"/>
      <w:bookmarkStart w:id="51" w:name="_Toc286754878"/>
      <w:bookmarkEnd w:id="51"/>
      <w:bookmarkStart w:id="52" w:name="_Toc292191926"/>
      <w:bookmarkEnd w:id="52"/>
      <w:bookmarkStart w:id="53" w:name="_Toc516646380"/>
      <w:bookmarkEnd w:id="53"/>
      <w:bookmarkStart w:id="54" w:name="_Toc54065368"/>
      <w:bookmarkEnd w:id="54"/>
      <w:bookmarkStart w:id="55" w:name="_Toc22716456"/>
      <w:bookmarkEnd w:id="55"/>
      <w:bookmarkStart w:id="56" w:name="_Toc198447153"/>
      <w:bookmarkEnd w:id="56"/>
      <w:bookmarkStart w:id="57" w:name="_Toc298750357"/>
      <w:bookmarkEnd w:id="57"/>
      <w:bookmarkStart w:id="58" w:name="_Toc503927716"/>
      <w:bookmarkEnd w:id="58"/>
      <w:bookmarkStart w:id="59" w:name="_Toc237075125"/>
      <w:bookmarkEnd w:id="59"/>
      <w:bookmarkStart w:id="60" w:name="_Toc511395686"/>
      <w:bookmarkEnd w:id="60"/>
      <w:bookmarkStart w:id="61" w:name="_Toc22716342"/>
      <w:bookmarkEnd w:id="61"/>
      <w:bookmarkStart w:id="62" w:name="_Toc501441545"/>
      <w:bookmarkEnd w:id="62"/>
      <w:bookmarkStart w:id="63" w:name="_Toc514130103"/>
      <w:bookmarkEnd w:id="63"/>
      <w:bookmarkStart w:id="64" w:name="_Toc66000288"/>
      <w:bookmarkEnd w:id="64"/>
      <w:bookmarkStart w:id="65" w:name="_Toc516882498"/>
      <w:bookmarkEnd w:id="65"/>
      <w:bookmarkStart w:id="66" w:name="_Toc51421588"/>
      <w:bookmarkEnd w:id="66"/>
      <w:bookmarkStart w:id="67" w:name="_Toc298750558"/>
      <w:bookmarkEnd w:id="67"/>
      <w:bookmarkStart w:id="68" w:name="_Toc25248"/>
      <w:bookmarkStart w:id="69" w:name="_Toc298750358"/>
      <w:r>
        <w:rPr>
          <w:rFonts w:ascii="Times New Roman" w:hAnsi="Times New Roman" w:cs="Times New Roman" w:eastAsiaTheme="minorEastAsia"/>
          <w:b/>
          <w:caps w:val="0"/>
          <w:smallCaps w:val="0"/>
        </w:rPr>
        <w:t>自然环境概况</w:t>
      </w:r>
      <w:bookmarkEnd w:id="68"/>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地理位置</w:t>
      </w:r>
    </w:p>
    <w:bookmarkEnd w:id="69"/>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岳阳地处湖南东北部，东邻湖北赤壁、崇阳、通城、江西铜鼓、修水，南抵长沙、浏阳、望城，西接沅江、南县、安乡县，北界湖北的石首、监利、洪湖、蒲圻市。市境北滨“黄金水道”长江，南抱洞庭，纳湘资沅澧四水，沿长江水路逆江而上247km可达沙市，再达枝江、宜昌、重庆和宜宾；顺长江而下231km可抵武汉，再抵九江、南京和上海等大中城市；南上洞庭湖经171km湘江可至长沙，再至株洲、湘潭；沿资水可至益阳，沿沅水可至常德，经澧水可至津市等省内重要城市。</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屈原管理区位于湘江与汨罗江交汇口，向东与向南与汨罗市相邻，向西南与湘阴县相连，通过水陆交通与长沙、岳阳相联系，地势平坦、交通便利，具有很强的经济吸纳能力和市场发展潜力。境内有省道307线（屈汨公路）经过，京港澳高速公路、国道107线、京广铁路等交通干线伴境而过，距省会长沙82公里，距岳阳市66公里。距京广铁路4公里，上S201线3.5公里，距107国道12公里，距京珠高速公路15公里，成为沟通南北连接的通道。距营田码头2公里，已形成四通八达、水陆兼济的运输网络。</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本项目位于岳阳市屈原管理区营田镇推山咀。地理位置示意图见附图1。</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地形地貌</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屈原管理区位于洞庭湖碟形盆地，凹形地区的边缘，在区域上属垄岗化平原地貌。因沉降和水蚀溶化作业而形成许多弯岔，淤积河湖冲积物经人为加工围垦而形成平原。地表形态为浅谷宽沟缓坡平顶丘垄状地形，组成高低起伏的垄岗化平原，地势较平坦，局部高低起伏。场区内植被发育较好，平原区主要为水稻田及水塘展布。地势由东南向西北倾斜。</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工程区域湘江右岸有宽约80米的边滩，高程约27.3～29.0米。工程区域陆域地形基本成阶梯状，大堤内侧为平原开阔地，旱地、稻田、鱼塘展布。一级阶梯为防洪大堤，堤顶高程约35。0米；二级阶梯为堤内约150米范围内荒地，高程约27.3～29.0米；三级阶梯为后方池塘，塘底高程略高于24.7米，塘肩高程约26.3米。三级阶梯高差较大，相对于防洪大堤，荒地高差为7.6米，塘底高差为11.8米。</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气候气象</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本项目处属亚热带季风气候区，冬季寒冷干燥，降雨偏少；夏季炎热，春秋季雨量偏多。</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ascii="Times New Roman" w:hAnsi="Times New Roman" w:cs="Times New Roman" w:eastAsiaTheme="minorEastAsia"/>
          <w:caps w:val="0"/>
          <w:smallCaps w:val="0"/>
          <w:color w:val="000000"/>
          <w:sz w:val="24"/>
        </w:rPr>
        <w:t>岳阳国家基本气象站位于北纬29°23′、东经113°05′，海拔53.0</w:t>
      </w:r>
      <w:r>
        <w:rPr>
          <w:rFonts w:hint="eastAsia" w:ascii="Times New Roman" w:hAnsi="Times New Roman" w:cs="Times New Roman" w:eastAsiaTheme="minorEastAsia"/>
          <w:caps w:val="0"/>
          <w:smallCaps w:val="0"/>
          <w:color w:val="000000"/>
          <w:sz w:val="24"/>
        </w:rPr>
        <w:t>m</w:t>
      </w:r>
      <w:r>
        <w:rPr>
          <w:rFonts w:ascii="Times New Roman" w:hAnsi="Times New Roman" w:cs="Times New Roman" w:eastAsiaTheme="minorEastAsia"/>
          <w:caps w:val="0"/>
          <w:smallCaps w:val="0"/>
          <w:color w:val="000000"/>
          <w:sz w:val="24"/>
        </w:rPr>
        <w:t>，始建于1952年，具有建站以来50多年气象原始资料。根据岳阳气象站1952年以来统计资料，工程处气象条件如下：</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caps w:val="0"/>
          <w:smallCaps w:val="0"/>
          <w:color w:val="000000"/>
          <w:sz w:val="24"/>
        </w:rPr>
        <w:t>⑴</w:t>
      </w:r>
      <w:r>
        <w:rPr>
          <w:rFonts w:ascii="Times New Roman" w:hAnsi="Times New Roman" w:cs="Times New Roman" w:eastAsiaTheme="minorEastAsia"/>
          <w:caps w:val="0"/>
          <w:smallCaps w:val="0"/>
          <w:color w:val="000000"/>
          <w:sz w:val="24"/>
        </w:rPr>
        <w:t>气温：多年平均气温16.4</w:t>
      </w:r>
      <w:r>
        <w:rPr>
          <w:rFonts w:hint="eastAsia" w:ascii="Times New Roman" w:hAnsi="Times New Roman" w:cs="Times New Roman"/>
          <w:caps w:val="0"/>
          <w:smallCaps w:val="0"/>
          <w:color w:val="000000"/>
          <w:sz w:val="24"/>
        </w:rPr>
        <w:t>℃</w:t>
      </w:r>
      <w:r>
        <w:rPr>
          <w:rFonts w:ascii="Times New Roman" w:hAnsi="Times New Roman" w:cs="Times New Roman" w:eastAsiaTheme="minorEastAsia"/>
          <w:caps w:val="0"/>
          <w:smallCaps w:val="0"/>
          <w:color w:val="000000"/>
          <w:sz w:val="24"/>
        </w:rPr>
        <w:t>，1月份气温最低，7月份气温最高，温差不大。极端最高气温40.4</w:t>
      </w:r>
      <w:r>
        <w:rPr>
          <w:rFonts w:hint="eastAsia" w:ascii="Times New Roman" w:hAnsi="Times New Roman" w:cs="Times New Roman"/>
          <w:caps w:val="0"/>
          <w:smallCaps w:val="0"/>
          <w:color w:val="000000"/>
          <w:sz w:val="24"/>
        </w:rPr>
        <w:t>℃</w:t>
      </w:r>
      <w:r>
        <w:rPr>
          <w:rFonts w:ascii="Times New Roman" w:hAnsi="Times New Roman" w:cs="Times New Roman" w:eastAsiaTheme="minorEastAsia"/>
          <w:caps w:val="0"/>
          <w:smallCaps w:val="0"/>
          <w:color w:val="000000"/>
          <w:sz w:val="24"/>
        </w:rPr>
        <w:t>（1966年8月1日），极端最低气温为-18.0</w:t>
      </w:r>
      <w:r>
        <w:rPr>
          <w:rFonts w:hint="eastAsia" w:ascii="Times New Roman" w:hAnsi="Times New Roman" w:cs="Times New Roman"/>
          <w:caps w:val="0"/>
          <w:smallCaps w:val="0"/>
          <w:color w:val="000000"/>
          <w:sz w:val="24"/>
        </w:rPr>
        <w:t>℃</w:t>
      </w:r>
      <w:r>
        <w:rPr>
          <w:rFonts w:ascii="Times New Roman" w:hAnsi="Times New Roman" w:cs="Times New Roman" w:eastAsiaTheme="minorEastAsia"/>
          <w:caps w:val="0"/>
          <w:smallCaps w:val="0"/>
          <w:color w:val="000000"/>
          <w:sz w:val="24"/>
        </w:rPr>
        <w:t>（1969年1月31日）。</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caps w:val="0"/>
          <w:smallCaps w:val="0"/>
          <w:color w:val="000000"/>
          <w:sz w:val="24"/>
        </w:rPr>
        <w:t>⑵</w:t>
      </w:r>
      <w:r>
        <w:rPr>
          <w:rFonts w:ascii="Times New Roman" w:hAnsi="Times New Roman" w:cs="Times New Roman" w:eastAsiaTheme="minorEastAsia"/>
          <w:caps w:val="0"/>
          <w:smallCaps w:val="0"/>
          <w:color w:val="000000"/>
          <w:sz w:val="24"/>
        </w:rPr>
        <w:t>降水：本地区降水量较丰富，多年平均降水量1307mm，降水年际间变化大，年内分布不均。年降水多集中在4~7月，4~6月三个月降水一般占全年降水40%以上。平均年降雨天数为139天。</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caps w:val="0"/>
          <w:smallCaps w:val="0"/>
          <w:color w:val="000000"/>
          <w:sz w:val="24"/>
        </w:rPr>
        <w:t>⑶</w:t>
      </w:r>
      <w:r>
        <w:rPr>
          <w:rFonts w:ascii="Times New Roman" w:hAnsi="Times New Roman" w:cs="Times New Roman" w:eastAsiaTheme="minorEastAsia"/>
          <w:caps w:val="0"/>
          <w:smallCaps w:val="0"/>
          <w:color w:val="000000"/>
          <w:sz w:val="24"/>
        </w:rPr>
        <w:t>风：强风向和常风向为NE向,多年平均风速3m/s，最大风速28m/s（1965年7月21日）。</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caps w:val="0"/>
          <w:smallCaps w:val="0"/>
          <w:color w:val="000000"/>
          <w:sz w:val="24"/>
        </w:rPr>
        <w:t>⑷</w:t>
      </w:r>
      <w:r>
        <w:rPr>
          <w:rFonts w:ascii="Times New Roman" w:hAnsi="Times New Roman" w:cs="Times New Roman" w:eastAsiaTheme="minorEastAsia"/>
          <w:caps w:val="0"/>
          <w:smallCaps w:val="0"/>
          <w:color w:val="000000"/>
          <w:sz w:val="24"/>
        </w:rPr>
        <w:t>雾：雾日多发生在冬春两季，雾的出现多在清晨和夜间。多年平均雾日16.5天（能见度小于1000m以下的雾日）。最多年雾日数为29天；最少年雾日数为7天。</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地质地震</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1、</w:t>
      </w:r>
      <w:r>
        <w:rPr>
          <w:rFonts w:ascii="Times New Roman" w:hAnsi="Times New Roman" w:cs="Times New Roman" w:eastAsiaTheme="minorEastAsia"/>
          <w:caps w:val="0"/>
          <w:smallCaps w:val="0"/>
          <w:color w:val="000000"/>
          <w:sz w:val="24"/>
        </w:rPr>
        <w:t>地质</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本工程地质资料采用《湖南海丰物流老码头提质改造技改项目工程可行性研究阶段岩土工程勘察报告》。</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（1）工程区域地质构造概况</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拟建场地位于新华夏系第二复式沉降带洞庭湖新华夏系凹陷区的南面、汨罗-湘阴次级断陷带的西南部，处于新华夏系构造与西北向构造的交汇处。通过区域地质资料分析和本次对场区的野外调查，场区临近新华夏系构造有岳阳-湘阴断裂，又称湘江断裂，呈北东10°走向，由南至东经过湘阴、营田、磊石山西侧、六门闸之东抵达岳阳，全长100公里以上。北东向构造主要有青山断裂，走向300°-315°，具有典型的压性断裂特征。场区及临近未见大的断裂构造分布，第四系覆盖层广泛分布，区域地质构造稳定。</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w:t>
      </w:r>
      <w:r>
        <w:rPr>
          <w:rFonts w:ascii="Times New Roman" w:hAnsi="Times New Roman" w:cs="Times New Roman"/>
          <w:caps w:val="0"/>
          <w:smallCaps w:val="0"/>
          <w:color w:val="000000"/>
          <w:kern w:val="0"/>
          <w:sz w:val="24"/>
          <w:szCs w:val="24"/>
        </w:rPr>
        <w:t>2</w:t>
      </w:r>
      <w:r>
        <w:rPr>
          <w:rFonts w:hint="eastAsia" w:ascii="Times New Roman" w:hAnsi="Times New Roman" w:cs="Times New Roman"/>
          <w:caps w:val="0"/>
          <w:smallCaps w:val="0"/>
          <w:color w:val="000000"/>
          <w:kern w:val="0"/>
          <w:sz w:val="24"/>
          <w:szCs w:val="24"/>
        </w:rPr>
        <w:t>）岩土层分布及工程地质</w:t>
      </w:r>
    </w:p>
    <w:p>
      <w:pPr>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根据本次钻孔揭露情况，按照地层的埋藏条件、形成时代和成因类型，可将场地内的地层划分为</w:t>
      </w:r>
      <w:r>
        <w:rPr>
          <w:rFonts w:ascii="Times New Roman" w:hAnsi="Times New Roman" w:cs="Times New Roman"/>
          <w:caps w:val="0"/>
          <w:smallCaps w:val="0"/>
          <w:color w:val="000000"/>
          <w:kern w:val="0"/>
          <w:sz w:val="24"/>
          <w:szCs w:val="24"/>
        </w:rPr>
        <w:t>9</w:t>
      </w:r>
      <w:r>
        <w:rPr>
          <w:rFonts w:hint="eastAsia" w:ascii="Times New Roman" w:hAnsi="Times New Roman" w:cs="Times New Roman"/>
          <w:caps w:val="0"/>
          <w:smallCaps w:val="0"/>
          <w:color w:val="000000"/>
          <w:kern w:val="0"/>
          <w:sz w:val="24"/>
          <w:szCs w:val="24"/>
        </w:rPr>
        <w:t>个岩性单元层，从上至下依次为①素填土、②淤泥混砂、③粉质黏土（可塑</w:t>
      </w:r>
      <w:r>
        <w:rPr>
          <w:rFonts w:ascii="Times New Roman" w:hAnsi="Times New Roman" w:cs="Times New Roman"/>
          <w:caps w:val="0"/>
          <w:smallCaps w:val="0"/>
          <w:color w:val="000000"/>
          <w:kern w:val="0"/>
          <w:sz w:val="24"/>
          <w:szCs w:val="24"/>
        </w:rPr>
        <w:t>-</w:t>
      </w:r>
      <w:r>
        <w:rPr>
          <w:rFonts w:hint="eastAsia" w:ascii="Times New Roman" w:hAnsi="Times New Roman" w:cs="Times New Roman"/>
          <w:caps w:val="0"/>
          <w:smallCaps w:val="0"/>
          <w:color w:val="000000"/>
          <w:kern w:val="0"/>
          <w:sz w:val="24"/>
          <w:szCs w:val="24"/>
        </w:rPr>
        <w:t>硬塑）、④砾砂、⑤圆砾、⑥砾砂、⑦粉质黏土（硬塑）、⑧粗砂、⑨砾砂，地层分布汇总详见表</w:t>
      </w:r>
      <w:r>
        <w:rPr>
          <w:rFonts w:ascii="Times New Roman" w:hAnsi="Times New Roman" w:cs="Times New Roman"/>
          <w:caps w:val="0"/>
          <w:smallCaps w:val="0"/>
          <w:color w:val="000000"/>
          <w:kern w:val="0"/>
          <w:sz w:val="24"/>
          <w:szCs w:val="24"/>
        </w:rPr>
        <w:t>2.3</w:t>
      </w:r>
      <w:r>
        <w:rPr>
          <w:rFonts w:hint="eastAsia" w:ascii="Times New Roman" w:hAnsi="Times New Roman" w:cs="Times New Roman"/>
          <w:caps w:val="0"/>
          <w:smallCaps w:val="0"/>
          <w:color w:val="000000"/>
          <w:kern w:val="0"/>
          <w:sz w:val="24"/>
          <w:szCs w:val="24"/>
        </w:rPr>
        <w:t>。各土层岩性及埋藏分布特征分述如下：</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第四系全新统（Q4）</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①素填土（Q4ml）：褐色、黄色，稍湿，松散-稍密状，成分以砂卵石为主，粒径一般为20-30mm，最大约40mm，为路基填土。本次勘察仅在钻孔ZK1中揭露，揭露厚度为2.40m，直接出露地表，层顶高程为30.20m。</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②淤泥混砂（Q4al+pl）：灰黑色、褐灰色，稍湿-湿，软塑，含有机质、腐殖质，淤泥含量大于45%，土质不均匀，层间夹薄层砂、砾及少许卵石，系河漫滩冲淤积而成。主要分布在陆域和水域近岸地段，呈现陆域薄、水域厚的规律；本次勘察钻孔揭露厚度范围值为0.70～4.30m，平均值为2.13m，层顶埋深0.0m，层顶高程14.53～24.50m。</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③粉质黏土（Q4al+pl）：黄色、局部灰白色，稍湿，硬塑状，干强度、韧性中等，无摇振反应，局部间夹薄层砂、砾。该层主要分布于陆域,钻孔ZK1～ZK3中揭露，揭露厚度范围值为0.60～5.60m，平均值为2.47m，层顶埋深0.70～2.40，层顶高程22.30～27.80m。</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第四系更新统（Q2）</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④砾砂（Q2al+pl）：黄色、灰黄色，稍湿-湿，稍密-中密，砾成分以石英质为主，呈亚圆-圆状，粒径大于2mm的约占40%-45%，层间偶夹卵石，粘性土约占20%-25%。该层仅在钻孔ZK1中揭露，揭露厚度为10.20m，层顶高程22.20m，层顶埋深8.0m。</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⑤圆砾（Q2al+pl）：黄色、灰白色，湿～饱和，中密，砾成分主要为石英质，呈圆状-亚圆状，粒径主要为10～20mm之间约占50%～60%，粘性土含量约15%～20%，层间夹少许卵石粒径最大约30～40mm，约占5～25%，其余为中粗砂充填，分选性差。该层整个场区均有分布，厚度较大，本次勘察钻孔揭露厚度范围值为13.80～17.20m，平均值为15.59m，层顶埋深0.80～18.20，层顶高程11.43～23.20m。</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⑥砾砂（Q2al+pl）：黄色、灰白色，饱和，中密-密实，砾成分以石英质为主，呈亚圆-圆状，粒径主要为5-10mm约占35%～40%，偶夹卵石，最大约30～40mm；粘性土约占15%～20%。该层整个场区均有分布，钻孔揭露厚度范围值为4.30～12.90m，平均值为7.87m，层顶高程-3.87～6.20m，层顶埋深17.60～32.0m。</w:t>
      </w:r>
    </w:p>
    <w:p>
      <w:pPr>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⑦粉质黏土（Q2al+pl）：黄色夹灰白色，稍湿，硬塑状，切面稍有光泽，干强度、韧性中等，无摇振反应。该层整个场区均有分布，厚度较小，本次勘察钻孔揭露厚度范围值为1.60～4.30m，平均值为2.54m，层顶埋深23.10～37.20，层顶高程-8.87～-5.34m。</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⑧粗砂（Q2al+pl）：黄色、灰白色，饱和，中密～密实，粒径主要为0.5-2mm之间，约占60%-65%，粘性土含量约占15-20%。该层整个场区均有分布，厚度变化较大，呈现由水域向陆域厚度逐渐增大的规律。本次勘察钻孔揭露厚度范围值为1.50～7.60m（ZK1未揭穿），平均值为4.22m，层顶埋深25.30～39.50，层顶高程-11.0～-7.44m。</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⑨砾砂（Q2al+pl）：黄色、灰白色，饱和，密实，砾成分以石英质为主，呈亚圆-圆状，粒径在5-10mm之间的约占35%-40%，粘性土含量约占15-20%，偶见卵石。该层分布较广，本次勘察钻孔未揭穿，最大揭露厚度18.70m，层顶埋深26.80～40.40，层顶高程-16.0～-9.04m。</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w:t>
      </w:r>
      <w:r>
        <w:rPr>
          <w:rFonts w:ascii="Times New Roman" w:hAnsi="Times New Roman" w:cs="Times New Roman"/>
          <w:caps w:val="0"/>
          <w:smallCaps w:val="0"/>
          <w:color w:val="000000"/>
          <w:kern w:val="0"/>
          <w:sz w:val="24"/>
          <w:szCs w:val="24"/>
        </w:rPr>
        <w:t>3</w:t>
      </w:r>
      <w:r>
        <w:rPr>
          <w:rFonts w:hint="eastAsia" w:ascii="Times New Roman" w:hAnsi="Times New Roman" w:cs="Times New Roman"/>
          <w:caps w:val="0"/>
          <w:smallCaps w:val="0"/>
          <w:color w:val="000000"/>
          <w:kern w:val="0"/>
          <w:sz w:val="24"/>
          <w:szCs w:val="24"/>
        </w:rPr>
        <w:t>）工程地质条件评价</w:t>
      </w:r>
    </w:p>
    <w:p>
      <w:pPr>
        <w:widowControl/>
        <w:spacing w:line="360" w:lineRule="auto"/>
        <w:ind w:firstLine="480" w:firstLineChars="200"/>
        <w:jc w:val="left"/>
        <w:rPr>
          <w:rFonts w:ascii="Times New Roman" w:hAnsi="Times New Roman" w:cs="Times New Roman"/>
          <w:caps w:val="0"/>
          <w:smallCaps w:val="0"/>
          <w:sz w:val="24"/>
          <w:szCs w:val="24"/>
        </w:rPr>
      </w:pPr>
      <w:r>
        <w:rPr>
          <w:rFonts w:ascii="Times New Roman" w:hAnsi="Times New Roman" w:cs="Times New Roman"/>
          <w:caps w:val="0"/>
          <w:smallCaps w:val="0"/>
          <w:color w:val="000000"/>
          <w:kern w:val="0"/>
          <w:sz w:val="24"/>
          <w:szCs w:val="24"/>
        </w:rPr>
        <w:t>1</w:t>
      </w:r>
      <w:r>
        <w:rPr>
          <w:rFonts w:hint="eastAsia" w:ascii="Times New Roman" w:hAnsi="Times New Roman" w:cs="Times New Roman"/>
          <w:caps w:val="0"/>
          <w:smallCaps w:val="0"/>
          <w:color w:val="000000"/>
          <w:kern w:val="0"/>
          <w:sz w:val="24"/>
          <w:szCs w:val="24"/>
        </w:rPr>
        <w:t>）场地稳定性评价</w:t>
      </w:r>
    </w:p>
    <w:p>
      <w:pPr>
        <w:widowControl/>
        <w:spacing w:line="360" w:lineRule="auto"/>
        <w:ind w:firstLine="480" w:firstLineChars="200"/>
        <w:jc w:val="left"/>
        <w:rPr>
          <w:rFonts w:ascii="Times New Roman" w:hAnsi="Times New Roman" w:cs="Times New Roman"/>
          <w:caps w:val="0"/>
          <w:smallCaps w:val="0"/>
          <w:color w:val="000000"/>
          <w:kern w:val="0"/>
          <w:sz w:val="24"/>
          <w:szCs w:val="24"/>
        </w:rPr>
      </w:pPr>
      <w:r>
        <w:rPr>
          <w:rFonts w:hint="eastAsia" w:ascii="Times New Roman" w:hAnsi="Times New Roman" w:cs="Times New Roman"/>
          <w:caps w:val="0"/>
          <w:smallCaps w:val="0"/>
          <w:color w:val="000000"/>
          <w:kern w:val="0"/>
          <w:sz w:val="24"/>
          <w:szCs w:val="24"/>
        </w:rPr>
        <w:t>根据区域地质资料，拟建场地晚近期无活动性断裂通过，新构造活动微弱。拟建场地及附近区域不存在泥石流、崩塌、滑坡、地面沉降等对场地稳定性有影响的不良地质作用。虽存在特殊性岩土，但均可通过桩基础或地基处理措施来消除其影响，对场地整体稳定性影响不大。</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综上所述，拟建场地区域地质构造稳定，场地整体稳定。</w:t>
      </w:r>
    </w:p>
    <w:p>
      <w:pPr>
        <w:widowControl/>
        <w:spacing w:line="360" w:lineRule="auto"/>
        <w:ind w:firstLine="480" w:firstLineChars="200"/>
        <w:jc w:val="left"/>
        <w:rPr>
          <w:rFonts w:ascii="Times New Roman" w:hAnsi="Times New Roman" w:cs="Times New Roman"/>
          <w:caps w:val="0"/>
          <w:smallCaps w:val="0"/>
          <w:sz w:val="24"/>
          <w:szCs w:val="24"/>
        </w:rPr>
      </w:pPr>
      <w:r>
        <w:rPr>
          <w:rFonts w:ascii="Times New Roman" w:hAnsi="Times New Roman" w:cs="Times New Roman"/>
          <w:caps w:val="0"/>
          <w:smallCaps w:val="0"/>
          <w:color w:val="000000"/>
          <w:kern w:val="0"/>
          <w:sz w:val="24"/>
          <w:szCs w:val="24"/>
        </w:rPr>
        <w:t>2</w:t>
      </w:r>
      <w:r>
        <w:rPr>
          <w:rFonts w:hint="eastAsia" w:ascii="Times New Roman" w:hAnsi="Times New Roman" w:cs="Times New Roman"/>
          <w:caps w:val="0"/>
          <w:smallCaps w:val="0"/>
          <w:color w:val="000000"/>
          <w:kern w:val="0"/>
          <w:sz w:val="24"/>
          <w:szCs w:val="24"/>
        </w:rPr>
        <w:t>）岸坡稳定性评价</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拟建工程紧邻湘江，水工结构区前沿为宽广的河漫滩区域，主要分布土层为②软塑状淤泥混砂和④圆砾，现状稳定。考虑到项目后期基础施工影响，现今的场地地形条件将会大幅改变，为防止在修建及运营期间，岸坡遭受河水水流冲刷侵蚀作用而产生坍塌，需对岸坡采取护坡措施。根据类似工程经验，建议岸坡采用</w:t>
      </w:r>
      <w:r>
        <w:rPr>
          <w:rFonts w:ascii="Times New Roman" w:hAnsi="Times New Roman" w:cs="Times New Roman"/>
          <w:caps w:val="0"/>
          <w:smallCaps w:val="0"/>
          <w:color w:val="000000"/>
          <w:kern w:val="0"/>
          <w:sz w:val="24"/>
          <w:szCs w:val="24"/>
        </w:rPr>
        <w:t>1:1.50</w:t>
      </w:r>
      <w:r>
        <w:rPr>
          <w:rFonts w:hint="eastAsia" w:ascii="Times New Roman" w:hAnsi="Times New Roman" w:cs="Times New Roman"/>
          <w:caps w:val="0"/>
          <w:smallCaps w:val="0"/>
          <w:color w:val="000000"/>
          <w:kern w:val="0"/>
          <w:sz w:val="24"/>
          <w:szCs w:val="24"/>
        </w:rPr>
        <w:t>坡率放坡，坡面采用抛石方式进行护坡。</w:t>
      </w:r>
    </w:p>
    <w:p>
      <w:pPr>
        <w:widowControl/>
        <w:spacing w:line="360" w:lineRule="auto"/>
        <w:ind w:firstLine="480" w:firstLineChars="200"/>
        <w:jc w:val="left"/>
        <w:rPr>
          <w:rFonts w:ascii="Times New Roman" w:hAnsi="Times New Roman" w:cs="Times New Roman"/>
          <w:caps w:val="0"/>
          <w:smallCaps w:val="0"/>
          <w:sz w:val="24"/>
          <w:szCs w:val="24"/>
        </w:rPr>
      </w:pPr>
      <w:r>
        <w:rPr>
          <w:rFonts w:ascii="Times New Roman" w:hAnsi="Times New Roman" w:cs="Times New Roman"/>
          <w:caps w:val="0"/>
          <w:smallCaps w:val="0"/>
          <w:color w:val="000000"/>
          <w:kern w:val="0"/>
          <w:sz w:val="24"/>
          <w:szCs w:val="24"/>
        </w:rPr>
        <w:t>3</w:t>
      </w:r>
      <w:r>
        <w:rPr>
          <w:rFonts w:hint="eastAsia" w:ascii="Times New Roman" w:hAnsi="Times New Roman" w:cs="Times New Roman"/>
          <w:caps w:val="0"/>
          <w:smallCaps w:val="0"/>
          <w:color w:val="000000"/>
          <w:kern w:val="0"/>
          <w:sz w:val="24"/>
          <w:szCs w:val="24"/>
        </w:rPr>
        <w:t>）桩基础稳定性评价</w:t>
      </w:r>
    </w:p>
    <w:p>
      <w:pPr>
        <w:widowControl/>
        <w:spacing w:line="360" w:lineRule="auto"/>
        <w:ind w:firstLine="480" w:firstLineChars="200"/>
        <w:jc w:val="left"/>
        <w:rPr>
          <w:rFonts w:ascii="Times New Roman" w:hAnsi="Times New Roman" w:cs="Times New Roman"/>
          <w:caps w:val="0"/>
          <w:smallCaps w:val="0"/>
          <w:sz w:val="24"/>
          <w:szCs w:val="24"/>
        </w:rPr>
      </w:pPr>
      <w:r>
        <w:rPr>
          <w:rFonts w:hint="eastAsia" w:ascii="Times New Roman" w:hAnsi="Times New Roman" w:cs="Times New Roman"/>
          <w:caps w:val="0"/>
          <w:smallCaps w:val="0"/>
          <w:color w:val="000000"/>
          <w:kern w:val="0"/>
          <w:sz w:val="24"/>
          <w:szCs w:val="24"/>
        </w:rPr>
        <w:t>根据本次勘察成果分析，结合本工程的特性，拟建工程采用桩基础时可能选择的地基持力层为⑤圆砾、⑥砾砂、⑧粗砂和⑨砾砂，桩型以摩擦桩为主，持力层范围均为第四系覆盖层，拟采用的桩基础埋深较大，且拟建工程场地地形简单，地势起伏较小，未见对拟建场地稳定性有影响的不良地质作用，总体来说桩基础稳定性较好。需要注意的是：同一结构区桩基础荷载差异较大或采用不同的桩基础持力层时，应充分考虑由此产生的不均匀沉降对桩基础的影响。</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2、</w:t>
      </w:r>
      <w:r>
        <w:rPr>
          <w:rFonts w:ascii="Times New Roman" w:hAnsi="Times New Roman" w:cs="Times New Roman" w:eastAsiaTheme="minorEastAsia"/>
          <w:caps w:val="0"/>
          <w:smallCaps w:val="0"/>
          <w:color w:val="000000"/>
          <w:sz w:val="24"/>
          <w:szCs w:val="24"/>
        </w:rPr>
        <w:t>地震</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根据《中国地震动参数区划图》(GB18306-2001)和《建筑抗震设计规范》(GB50011-2010)，拟建场地的地震动峰值加速度为0.10g，地震动反应谱特征周期为0.35s，设计抗震分组为第一组，抗震设防烈度为7度</w:t>
      </w:r>
      <w:r>
        <w:rPr>
          <w:rFonts w:ascii="Times New Roman" w:hAnsi="Times New Roman" w:cs="Times New Roman" w:eastAsiaTheme="minorEastAsia"/>
          <w:caps w:val="0"/>
          <w:smallCaps w:val="0"/>
          <w:color w:val="000000"/>
          <w:sz w:val="24"/>
          <w:szCs w:val="24"/>
        </w:rPr>
        <w:t>。</w:t>
      </w:r>
    </w:p>
    <w:p>
      <w:pPr>
        <w:pStyle w:val="6"/>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地表水文动力环境与冲淤环境</w:t>
      </w:r>
    </w:p>
    <w:p>
      <w:pPr>
        <w:widowControl/>
        <w:jc w:val="left"/>
        <w:rPr>
          <w:rFonts w:hint="eastAsia" w:ascii="Times New Roman" w:hAnsi="Times New Roman" w:eastAsia="宋体" w:cs="Times New Roman"/>
          <w:b/>
          <w:caps w:val="0"/>
          <w:smallCaps w:val="0"/>
          <w:color w:val="000000"/>
          <w:kern w:val="0"/>
          <w:sz w:val="24"/>
          <w:szCs w:val="24"/>
          <w:u w:val="single"/>
          <w:lang w:eastAsia="zh-CN"/>
        </w:rPr>
      </w:pPr>
      <w:r>
        <w:rPr>
          <w:rFonts w:hint="eastAsia" w:ascii="Times New Roman" w:hAnsi="Times New Roman" w:cs="Times New Roman"/>
          <w:b/>
          <w:caps w:val="0"/>
          <w:smallCaps w:val="0"/>
          <w:color w:val="000000"/>
          <w:kern w:val="0"/>
          <w:sz w:val="24"/>
          <w:szCs w:val="24"/>
          <w:u w:val="single"/>
        </w:rPr>
        <w:t>1、</w:t>
      </w:r>
      <w:r>
        <w:rPr>
          <w:rFonts w:hint="eastAsia" w:cs="Times New Roman"/>
          <w:b/>
          <w:caps w:val="0"/>
          <w:smallCaps w:val="0"/>
          <w:color w:val="000000"/>
          <w:kern w:val="0"/>
          <w:sz w:val="24"/>
          <w:szCs w:val="24"/>
          <w:u w:val="single"/>
          <w:lang w:eastAsia="zh-CN"/>
        </w:rPr>
        <w:t>河道概况</w:t>
      </w:r>
    </w:p>
    <w:p>
      <w:pPr>
        <w:widowControl/>
        <w:jc w:val="left"/>
        <w:rPr>
          <w:rFonts w:hint="eastAsia" w:ascii="Times New Roman" w:hAnsi="Times New Roman" w:cs="Times New Roman"/>
          <w:b w:val="0"/>
          <w:bCs/>
          <w:caps w:val="0"/>
          <w:smallCaps w:val="0"/>
          <w:color w:val="000000"/>
          <w:kern w:val="0"/>
          <w:sz w:val="24"/>
          <w:szCs w:val="24"/>
          <w:u w:val="single"/>
          <w:lang w:val="en-US" w:eastAsia="zh-CN"/>
        </w:rPr>
      </w:pPr>
      <w:r>
        <w:rPr>
          <w:rFonts w:hint="eastAsia" w:ascii="Times New Roman" w:hAnsi="Times New Roman" w:cs="Times New Roman"/>
          <w:b w:val="0"/>
          <w:bCs/>
          <w:caps w:val="0"/>
          <w:smallCaps w:val="0"/>
          <w:color w:val="000000"/>
          <w:kern w:val="0"/>
          <w:sz w:val="24"/>
          <w:szCs w:val="24"/>
          <w:u w:val="single"/>
          <w:lang w:val="en-US" w:eastAsia="zh-CN"/>
        </w:rPr>
        <w:t>工程作业区属湘江尾闾洪道，作业区外河为湘江主航道，对面为南洞庭湖大片淤积洲滩，这些淤滩，枯水时芦苇丛生，洪水时蔓延成一片汪洋。</w:t>
      </w:r>
    </w:p>
    <w:p>
      <w:pPr>
        <w:widowControl/>
        <w:jc w:val="left"/>
        <w:rPr>
          <w:rFonts w:hint="eastAsia" w:ascii="Times New Roman" w:hAnsi="Times New Roman" w:cs="Times New Roman"/>
          <w:b w:val="0"/>
          <w:bCs/>
          <w:caps w:val="0"/>
          <w:smallCaps w:val="0"/>
          <w:color w:val="000000"/>
          <w:kern w:val="0"/>
          <w:sz w:val="24"/>
          <w:szCs w:val="24"/>
          <w:u w:val="single"/>
        </w:rPr>
      </w:pPr>
      <w:r>
        <w:rPr>
          <w:rFonts w:hint="eastAsia" w:ascii="Times New Roman" w:hAnsi="Times New Roman" w:cs="Times New Roman"/>
          <w:b w:val="0"/>
          <w:bCs/>
          <w:caps w:val="0"/>
          <w:smallCaps w:val="0"/>
          <w:color w:val="000000"/>
          <w:kern w:val="0"/>
          <w:sz w:val="24"/>
          <w:szCs w:val="24"/>
          <w:u w:val="single"/>
          <w:lang w:val="en-US" w:eastAsia="zh-CN"/>
        </w:rPr>
        <w:t>湘江地处长江之南、南岭之北，是长江水系中的主要支流之一。湘江发源于广西省灵川县海洋山，自南向北流经广西省的兴安、全州至斗牛岭后进入湖南省境。经过湖南省的永州、衡阳、株洲、湘潭、长沙至湘阴县濠河口注入洞庭湖，汇合沅水、资水、澧水三流，于城陵矶汇入长江。水量充沛，流域内多年平均降水量一般为1300～1500mm，径流与降水关系极为密切，年际变化大，年内分布不均。每年4～9月为汛期，10月至次年2月为枯水期。年内水位变幅较大，达9.5～17m。</w:t>
      </w:r>
    </w:p>
    <w:p>
      <w:pPr>
        <w:widowControl/>
        <w:jc w:val="left"/>
        <w:rPr>
          <w:rFonts w:hint="eastAsia" w:ascii="Times New Roman" w:hAnsi="Times New Roman" w:cs="Times New Roman"/>
          <w:b w:val="0"/>
          <w:bCs/>
          <w:caps w:val="0"/>
          <w:smallCaps w:val="0"/>
          <w:color w:val="000000"/>
          <w:kern w:val="0"/>
          <w:sz w:val="24"/>
          <w:szCs w:val="24"/>
          <w:u w:val="single"/>
        </w:rPr>
      </w:pPr>
      <w:r>
        <w:rPr>
          <w:rFonts w:hint="eastAsia" w:ascii="Times New Roman" w:hAnsi="Times New Roman" w:cs="Times New Roman"/>
          <w:b w:val="0"/>
          <w:bCs/>
          <w:caps w:val="0"/>
          <w:smallCaps w:val="0"/>
          <w:color w:val="000000"/>
          <w:kern w:val="0"/>
          <w:sz w:val="24"/>
          <w:szCs w:val="24"/>
          <w:u w:val="single"/>
          <w:lang w:val="en-US" w:eastAsia="zh-CN"/>
        </w:rPr>
        <w:t>湘江尾闾枯水洪道，上起三圹，下至沙洲村，全长约30km，其中上段三圹～九条沟为微弯分汊河段，左汊为主汊，右汊为支汊，长约11km；下段九条沟～沙洲村为顺直微弯河段，长约19km。工程河道内有营田洲，工程河段附近右岸自上而下分布有北港村边滩、凤凰滩、磊石滩等边滩。河段进口左岸潮洲左汊内有上河口、下河口与荷叶湖相通，洪水期南洞庭湖有部分水流由上、下河口汇入湘江河道，下游右岸有汨罗江入汇。区域水资源年际变化大，年内丰、枯水位变化可达6～7m，5～10月为汛期。受季节性涨退水影响，湖区沼泽湿地广泛分布而且多样，具有“水涨为湖、水落为洲”的动态景观特征，汛期浩浩渺渺，天水一色，枯季则洲滩裸露，河汊纵横。河道较为顺直，平均比降约0.04%，洪水期湖面开阔，属于东、南洞庭湖连接段，上连南洞庭湖，下接东洞庭湖，接纳湘江、南洞庭湖洪水；枯水期间宽约350～500m，仅接纳湘江来水。河段右岸为屈原垸（蓄洪堤），左岸为共双茶垸（蓄洪垸），下游右岸为磊石垸（一般垸），左岸为大通湖垸。</w:t>
      </w:r>
    </w:p>
    <w:p>
      <w:pPr>
        <w:widowControl/>
        <w:jc w:val="left"/>
        <w:rPr>
          <w:rFonts w:hint="eastAsia" w:ascii="Times New Roman" w:hAnsi="Times New Roman" w:cs="Times New Roman"/>
          <w:b w:val="0"/>
          <w:bCs/>
          <w:caps w:val="0"/>
          <w:smallCaps w:val="0"/>
          <w:color w:val="000000"/>
          <w:kern w:val="0"/>
          <w:sz w:val="24"/>
          <w:szCs w:val="24"/>
          <w:u w:val="single"/>
        </w:rPr>
      </w:pPr>
      <w:r>
        <w:rPr>
          <w:rFonts w:hint="eastAsia" w:ascii="Times New Roman" w:hAnsi="Times New Roman" w:cs="Times New Roman"/>
          <w:b w:val="0"/>
          <w:bCs/>
          <w:caps w:val="0"/>
          <w:smallCaps w:val="0"/>
          <w:color w:val="000000"/>
          <w:kern w:val="0"/>
          <w:sz w:val="24"/>
          <w:szCs w:val="24"/>
          <w:u w:val="single"/>
          <w:lang w:val="en-US" w:eastAsia="zh-CN"/>
        </w:rPr>
        <w:t>本河段主流自三圹流入后在营田水位站附近分流，至虞公庙附近汇流，此后主流居中下行，至刘家山附近深泓线逐渐向左岸凹岸过渡并沿左岸下行，在沉沙港防汛所附近深泓线由左岸向右岸过渡，在湖洲附近主流走左岸凹岸，此后在磊石滩过渡到右岸磊石山，并沿右岸闸南村下行，至长湖村附近下行出本河段。</w:t>
      </w:r>
    </w:p>
    <w:p>
      <w:pPr>
        <w:widowControl/>
        <w:jc w:val="left"/>
        <w:rPr>
          <w:rFonts w:hint="eastAsia" w:ascii="Times New Roman" w:hAnsi="Times New Roman" w:cs="Times New Roman"/>
          <w:b w:val="0"/>
          <w:bCs/>
          <w:caps w:val="0"/>
          <w:smallCaps w:val="0"/>
          <w:color w:val="000000"/>
          <w:kern w:val="0"/>
          <w:sz w:val="24"/>
          <w:szCs w:val="24"/>
          <w:u w:val="single"/>
        </w:rPr>
      </w:pPr>
      <w:r>
        <w:rPr>
          <w:rFonts w:hint="eastAsia" w:ascii="Times New Roman" w:hAnsi="Times New Roman" w:cs="Times New Roman"/>
          <w:b w:val="0"/>
          <w:bCs/>
          <w:caps w:val="0"/>
          <w:smallCaps w:val="0"/>
          <w:color w:val="000000"/>
          <w:kern w:val="0"/>
          <w:sz w:val="24"/>
          <w:szCs w:val="24"/>
          <w:u w:val="single"/>
          <w:lang w:val="en-US" w:eastAsia="zh-CN"/>
        </w:rPr>
        <w:t>拟建作业区河段水道顺直微弯，总体北向，洪水成湖，枯水成河。作业区所处岸线基本顺直。河段河面宽阔，21m以下河床宽度达1000m。</w:t>
      </w:r>
    </w:p>
    <w:p>
      <w:pPr>
        <w:widowControl/>
        <w:jc w:val="left"/>
        <w:rPr>
          <w:rFonts w:ascii="Times New Roman" w:hAnsi="Times New Roman" w:cs="Times New Roman"/>
          <w:b/>
          <w:caps w:val="0"/>
          <w:smallCaps w:val="0"/>
          <w:color w:val="000000"/>
          <w:kern w:val="0"/>
          <w:sz w:val="24"/>
          <w:szCs w:val="24"/>
          <w:u w:val="single"/>
        </w:rPr>
      </w:pPr>
      <w:r>
        <w:rPr>
          <w:rFonts w:hint="eastAsia" w:cs="Times New Roman"/>
          <w:b/>
          <w:caps w:val="0"/>
          <w:smallCaps w:val="0"/>
          <w:color w:val="000000"/>
          <w:kern w:val="0"/>
          <w:sz w:val="24"/>
          <w:szCs w:val="24"/>
          <w:u w:val="single"/>
          <w:lang w:val="en-US" w:eastAsia="zh-CN"/>
        </w:rPr>
        <w:t>2、</w:t>
      </w:r>
      <w:r>
        <w:rPr>
          <w:rFonts w:hint="eastAsia" w:ascii="Times New Roman" w:hAnsi="Times New Roman" w:cs="Times New Roman"/>
          <w:b/>
          <w:caps w:val="0"/>
          <w:smallCaps w:val="0"/>
          <w:color w:val="000000"/>
          <w:kern w:val="0"/>
          <w:sz w:val="24"/>
          <w:szCs w:val="24"/>
          <w:u w:val="single"/>
        </w:rPr>
        <w:t>工程区水文站概况</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u w:val="single"/>
        </w:rPr>
      </w:pPr>
      <w:r>
        <w:rPr>
          <w:rFonts w:hint="eastAsia" w:ascii="Times New Roman" w:hAnsi="Times New Roman" w:cs="Times New Roman" w:eastAsiaTheme="minorEastAsia"/>
          <w:caps w:val="0"/>
          <w:smallCaps w:val="0"/>
          <w:color w:val="000000"/>
          <w:sz w:val="24"/>
          <w:u w:val="single"/>
        </w:rPr>
        <w:t>工程位置位于湘江长沙枢纽以下游河段，项目地址上游2.5km处有营田水位站，下游35.7km处有鹿角水位站。据资料统计，营田站多年平均水位计算值为24.59m（85国家高程，下同），历年最高水位为34.55m（1996年），历年最低水位为18.20m（2019年）。因码头位置与营田站位置较近，故可以直接以营田站为基本控制站进行本次水文分析。</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u w:val="single"/>
        </w:rPr>
      </w:pPr>
      <w:r>
        <w:rPr>
          <w:rFonts w:hint="eastAsia" w:ascii="Times New Roman" w:hAnsi="Times New Roman" w:cs="Times New Roman" w:eastAsiaTheme="minorEastAsia"/>
          <w:caps w:val="0"/>
          <w:smallCaps w:val="0"/>
          <w:color w:val="000000"/>
          <w:sz w:val="24"/>
          <w:u w:val="single"/>
        </w:rPr>
        <w:t>营田站的高程换算关系为85国家高程＝冻结高程－1.923m。</w:t>
      </w:r>
    </w:p>
    <w:p>
      <w:pPr>
        <w:widowControl/>
        <w:jc w:val="left"/>
        <w:rPr>
          <w:rFonts w:hint="eastAsia" w:ascii="Times New Roman" w:hAnsi="Times New Roman" w:eastAsia="宋体" w:cs="Times New Roman"/>
          <w:b/>
          <w:caps w:val="0"/>
          <w:smallCaps w:val="0"/>
          <w:color w:val="000000"/>
          <w:kern w:val="0"/>
          <w:sz w:val="24"/>
          <w:szCs w:val="24"/>
          <w:u w:val="single"/>
          <w:lang w:val="en-US" w:eastAsia="zh-CN"/>
        </w:rPr>
      </w:pPr>
      <w:r>
        <w:rPr>
          <w:rFonts w:hint="eastAsia" w:cs="Times New Roman"/>
          <w:b/>
          <w:caps w:val="0"/>
          <w:smallCaps w:val="0"/>
          <w:color w:val="000000"/>
          <w:kern w:val="0"/>
          <w:sz w:val="24"/>
          <w:szCs w:val="24"/>
          <w:u w:val="single"/>
          <w:lang w:val="en-US" w:eastAsia="zh-CN"/>
        </w:rPr>
        <w:t>3、来水来沙特性</w:t>
      </w:r>
    </w:p>
    <w:p>
      <w:pPr>
        <w:widowControl/>
        <w:jc w:val="left"/>
        <w:rPr>
          <w:rFonts w:hint="eastAsia" w:ascii="Times New Roman" w:hAnsi="Times New Roman" w:cs="Times New Roman"/>
          <w:b w:val="0"/>
          <w:bCs/>
          <w:caps w:val="0"/>
          <w:smallCaps w:val="0"/>
          <w:color w:val="000000"/>
          <w:kern w:val="0"/>
          <w:sz w:val="24"/>
          <w:szCs w:val="24"/>
          <w:u w:val="single"/>
          <w:lang w:val="en-US" w:eastAsia="zh-CN"/>
        </w:rPr>
      </w:pPr>
      <w:r>
        <w:rPr>
          <w:rFonts w:hint="eastAsia" w:ascii="Times New Roman" w:hAnsi="Times New Roman" w:cs="Times New Roman"/>
          <w:b w:val="0"/>
          <w:bCs/>
          <w:caps w:val="0"/>
          <w:smallCaps w:val="0"/>
          <w:color w:val="000000"/>
          <w:kern w:val="0"/>
          <w:sz w:val="24"/>
          <w:szCs w:val="24"/>
          <w:u w:val="single"/>
          <w:lang w:val="en-US" w:eastAsia="zh-CN"/>
        </w:rPr>
        <w:t>随着泥沙游积，江湖关系的变化，受湖口及湘水与南洞庭洪水顶托影响，湖区水位不断抬高。自各水文（位）测站设立以来，营田站实测最高水位34.59m，出现于1996年7月22日，多年平均水位24.86m；鹿角站实测最高水位34.16m，出现于1998年8月20日，多年平均水位23.96m。</w:t>
      </w:r>
    </w:p>
    <w:p>
      <w:pPr>
        <w:pStyle w:val="2"/>
        <w:rPr>
          <w:rFonts w:hint="eastAsia"/>
          <w:u w:val="single"/>
        </w:rPr>
      </w:pPr>
      <w:r>
        <w:rPr>
          <w:rFonts w:hint="eastAsia"/>
          <w:u w:val="single"/>
          <w:lang w:val="en-US" w:eastAsia="zh-CN"/>
        </w:rPr>
        <w:t>屈原垸属湘江尾闾与东、南洞庭湖地区，洪水特性既受湘江干流的影响，又与洞庭湖水位变化特性息息相关。洪水的时空变化特性与暴雨一致，年最大洪水大都发生在5月~8月，其中5、6月更甚，洪水具有峰高量大、涨落缓慢的特点，单峰洪水较多，一般历时7d～12d，复峰洪水也常有发生，一般历时15d～20d，此类洪水往往构成大洪水。</w:t>
      </w:r>
    </w:p>
    <w:p>
      <w:pPr>
        <w:pStyle w:val="2"/>
        <w:rPr>
          <w:rFonts w:hint="eastAsia"/>
          <w:u w:val="single"/>
        </w:rPr>
      </w:pPr>
      <w:r>
        <w:rPr>
          <w:rFonts w:hint="eastAsia"/>
          <w:u w:val="single"/>
          <w:lang w:val="en-US" w:eastAsia="zh-CN"/>
        </w:rPr>
        <w:t>汨罗江的洪水由暴雨产生，下游受洞庭湖顶托影响，致使水流不畅，汛期从4月开始，个别年份发生在3月，一般持续到7月，年最大流量多发生在4月～7月，中、上游为高山和丘陵地区，水系发达，洪水多暴涨暴落，历时一般2天～3天，下游受洞庭湖洪水顶托，洪水组合因素复杂，持续时间长。</w:t>
      </w:r>
    </w:p>
    <w:p>
      <w:pPr>
        <w:pStyle w:val="2"/>
        <w:rPr>
          <w:rFonts w:hint="eastAsia"/>
          <w:u w:val="single"/>
          <w:lang w:val="en-US" w:eastAsia="zh-CN"/>
        </w:rPr>
      </w:pPr>
      <w:r>
        <w:rPr>
          <w:rFonts w:hint="eastAsia"/>
          <w:u w:val="single"/>
          <w:lang w:val="en-US" w:eastAsia="zh-CN"/>
        </w:rPr>
        <w:t>因洞庭湖承接湘、资、沅、澧四水来流，四水流域径流主要由降水形成。根据湖南湘、资、沅、澧四水入洞庭湖主要控制站(湘潭站、桃江站、桃源站和石门站)资料，以四站之和作为来水来沙条件特征量。多年来，湘江湘潭站和沅江桃源站年径流量变化幅度和数值明显大于资水桃江站和澧水石门站，湘潭、桃江、桃源和石门四站多年平均径流量分别为658亿m</w:t>
      </w:r>
      <w:r>
        <w:rPr>
          <w:rFonts w:hint="eastAsia"/>
          <w:u w:val="single"/>
          <w:vertAlign w:val="superscript"/>
          <w:lang w:val="en-US" w:eastAsia="zh-CN"/>
        </w:rPr>
        <w:t>3</w:t>
      </w:r>
      <w:r>
        <w:rPr>
          <w:rFonts w:hint="eastAsia"/>
          <w:u w:val="single"/>
          <w:lang w:val="en-US" w:eastAsia="zh-CN"/>
        </w:rPr>
        <w:t>、228亿m</w:t>
      </w:r>
      <w:r>
        <w:rPr>
          <w:rFonts w:hint="eastAsia"/>
          <w:u w:val="single"/>
          <w:vertAlign w:val="superscript"/>
          <w:lang w:val="en-US" w:eastAsia="zh-CN"/>
        </w:rPr>
        <w:t>3</w:t>
      </w:r>
      <w:r>
        <w:rPr>
          <w:rFonts w:hint="eastAsia"/>
          <w:u w:val="single"/>
          <w:lang w:val="en-US" w:eastAsia="zh-CN"/>
        </w:rPr>
        <w:t>、640亿m</w:t>
      </w:r>
      <w:r>
        <w:rPr>
          <w:rFonts w:hint="eastAsia"/>
          <w:u w:val="single"/>
          <w:vertAlign w:val="superscript"/>
          <w:lang w:val="en-US" w:eastAsia="zh-CN"/>
        </w:rPr>
        <w:t>3</w:t>
      </w:r>
      <w:r>
        <w:rPr>
          <w:rFonts w:hint="eastAsia"/>
          <w:u w:val="single"/>
          <w:lang w:val="en-US" w:eastAsia="zh-CN"/>
        </w:rPr>
        <w:t>和147亿m</w:t>
      </w:r>
      <w:r>
        <w:rPr>
          <w:rFonts w:hint="eastAsia"/>
          <w:u w:val="single"/>
          <w:vertAlign w:val="superscript"/>
          <w:lang w:val="en-US" w:eastAsia="zh-CN"/>
        </w:rPr>
        <w:t>3</w:t>
      </w:r>
      <w:r>
        <w:rPr>
          <w:rFonts w:hint="eastAsia"/>
          <w:u w:val="single"/>
          <w:lang w:val="en-US" w:eastAsia="zh-CN"/>
        </w:rPr>
        <w:t>。多年来资水桃江站、沅江桃源站和澧水石门站年输沙量整体稳定并略有增大的趋势，湘潭、桃江、桃源和石门四站多年平均输沙量分别为909万t、183万t、940万t和500万t，根据1987~2002年四水主要水文控制站悬移质泥沙中值粒径统计情况可知，四水控制站（湘潭站、桃江站、桃源站和石门站）入湖泥沙多年平均中值粒径为0.022mm、0.039mm、0.011mm和0.016mm。多年来（1987年~2015年）湘江和资水来沙偏粗，沅江来沙粒径最细。</w:t>
      </w:r>
    </w:p>
    <w:p>
      <w:pPr>
        <w:adjustRightInd w:val="0"/>
        <w:snapToGrid w:val="0"/>
        <w:spacing w:line="360" w:lineRule="auto"/>
        <w:ind w:firstLine="482" w:firstLineChars="200"/>
        <w:rPr>
          <w:rFonts w:hint="eastAsia" w:cs="Times New Roman" w:eastAsiaTheme="minorEastAsia"/>
          <w:b/>
          <w:bCs/>
          <w:caps w:val="0"/>
          <w:smallCaps w:val="0"/>
          <w:color w:val="000000"/>
          <w:sz w:val="24"/>
          <w:u w:val="single"/>
          <w:lang w:val="en-US" w:eastAsia="zh-CN"/>
        </w:rPr>
      </w:pPr>
      <w:r>
        <w:rPr>
          <w:rFonts w:hint="eastAsia" w:cs="Times New Roman" w:eastAsiaTheme="minorEastAsia"/>
          <w:b/>
          <w:bCs/>
          <w:caps w:val="0"/>
          <w:smallCaps w:val="0"/>
          <w:color w:val="000000"/>
          <w:sz w:val="24"/>
          <w:u w:val="single"/>
          <w:lang w:val="en-US" w:eastAsia="zh-CN"/>
        </w:rPr>
        <w:t xml:space="preserve">4、平面变化和深泓线变化 </w:t>
      </w:r>
    </w:p>
    <w:p>
      <w:pPr>
        <w:adjustRightInd w:val="0"/>
        <w:snapToGrid w:val="0"/>
        <w:spacing w:line="360" w:lineRule="auto"/>
        <w:ind w:firstLine="480" w:firstLineChars="200"/>
        <w:rPr>
          <w:rFonts w:hint="eastAsia" w:cs="Times New Roman" w:eastAsiaTheme="minorEastAsia"/>
          <w:b w:val="0"/>
          <w:bCs w:val="0"/>
          <w:caps w:val="0"/>
          <w:smallCaps w:val="0"/>
          <w:color w:val="000000"/>
          <w:sz w:val="24"/>
          <w:u w:val="single"/>
          <w:lang w:val="en-US" w:eastAsia="zh-CN"/>
        </w:rPr>
      </w:pPr>
      <w:r>
        <w:rPr>
          <w:rFonts w:hint="eastAsia" w:cs="Times New Roman" w:eastAsiaTheme="minorEastAsia"/>
          <w:b w:val="0"/>
          <w:bCs w:val="0"/>
          <w:caps w:val="0"/>
          <w:smallCaps w:val="0"/>
          <w:color w:val="000000"/>
          <w:sz w:val="24"/>
          <w:u w:val="single"/>
          <w:lang w:val="en-US" w:eastAsia="zh-CN"/>
        </w:rPr>
        <w:t xml:space="preserve">本河段右岸建有屈原垸一线大堤，近期（2003 年 3 月～2017 年11 月）资料（见附图 4.2-1）表明，除琴棋乡至磊石山河段外，两岸 25m 高程岸线总体而言变化较小，磊石滩局部岸线最大变化约 990m。 </w:t>
      </w:r>
    </w:p>
    <w:p>
      <w:pPr>
        <w:adjustRightInd w:val="0"/>
        <w:snapToGrid w:val="0"/>
        <w:spacing w:line="360" w:lineRule="auto"/>
        <w:ind w:firstLine="480" w:firstLineChars="200"/>
        <w:rPr>
          <w:rFonts w:hint="eastAsia" w:cs="Times New Roman" w:eastAsiaTheme="minorEastAsia"/>
          <w:b w:val="0"/>
          <w:bCs w:val="0"/>
          <w:caps w:val="0"/>
          <w:smallCaps w:val="0"/>
          <w:color w:val="000000"/>
          <w:sz w:val="24"/>
          <w:u w:val="single"/>
          <w:lang w:val="en-US" w:eastAsia="zh-CN"/>
        </w:rPr>
      </w:pPr>
      <w:r>
        <w:rPr>
          <w:rFonts w:hint="eastAsia" w:cs="Times New Roman" w:eastAsiaTheme="minorEastAsia"/>
          <w:b w:val="0"/>
          <w:bCs w:val="0"/>
          <w:caps w:val="0"/>
          <w:smallCaps w:val="0"/>
          <w:color w:val="000000"/>
          <w:sz w:val="24"/>
          <w:u w:val="single"/>
          <w:lang w:val="en-US" w:eastAsia="zh-CN"/>
        </w:rPr>
        <w:t xml:space="preserve">近期（2003 年 3 月～2017 年 11 月）深泓线就整体而言平面摆动较小（见附图 4.2-2），仅局部位置（如过渡段、分流口、入汇口、磊石滩附近等）深泓线摆动幅度较大，如屈原琴棋乡～磊石山附近湖州深泓线最大摆幅约 200m，推山嘴电排灌站过渡段附近深泓线最大摆幅约 350m；海丰物流码头所在位置右汊深泓较为稳定，深泓最大摆幅约为 60m。 </w:t>
      </w:r>
    </w:p>
    <w:p>
      <w:pPr>
        <w:adjustRightInd w:val="0"/>
        <w:snapToGrid w:val="0"/>
        <w:spacing w:line="360" w:lineRule="auto"/>
        <w:ind w:firstLine="482" w:firstLineChars="200"/>
        <w:rPr>
          <w:rFonts w:hint="eastAsia" w:cs="Times New Roman" w:eastAsiaTheme="minorEastAsia"/>
          <w:b/>
          <w:bCs/>
          <w:caps w:val="0"/>
          <w:smallCaps w:val="0"/>
          <w:color w:val="000000"/>
          <w:sz w:val="24"/>
          <w:u w:val="single"/>
          <w:lang w:val="en-US" w:eastAsia="zh-CN"/>
        </w:rPr>
      </w:pPr>
      <w:r>
        <w:rPr>
          <w:rFonts w:hint="eastAsia" w:cs="Times New Roman" w:eastAsiaTheme="minorEastAsia"/>
          <w:b/>
          <w:bCs/>
          <w:caps w:val="0"/>
          <w:smallCaps w:val="0"/>
          <w:color w:val="000000"/>
          <w:sz w:val="24"/>
          <w:u w:val="single"/>
          <w:lang w:val="en-US" w:eastAsia="zh-CN"/>
        </w:rPr>
        <w:t>5、洲滩变化</w:t>
      </w:r>
    </w:p>
    <w:p>
      <w:pPr>
        <w:pStyle w:val="2"/>
        <w:rPr>
          <w:rFonts w:hint="default"/>
          <w:u w:val="single"/>
          <w:lang w:val="en-US" w:eastAsia="zh-CN"/>
        </w:rPr>
      </w:pPr>
      <w:r>
        <w:rPr>
          <w:rFonts w:hint="default"/>
          <w:u w:val="single"/>
          <w:lang w:val="en-US" w:eastAsia="zh-CN"/>
        </w:rPr>
        <w:t>本河段内自上而下分布有营田洲、北港村边滩、凤凰滩和磊石滩等边滩，同时分布有一些大小不等的深槽。</w:t>
      </w:r>
    </w:p>
    <w:p>
      <w:pPr>
        <w:pStyle w:val="2"/>
        <w:rPr>
          <w:rFonts w:hint="default"/>
          <w:u w:val="single"/>
          <w:lang w:val="en-US" w:eastAsia="zh-CN"/>
        </w:rPr>
      </w:pPr>
      <w:r>
        <w:rPr>
          <w:rFonts w:hint="default"/>
          <w:u w:val="single"/>
          <w:lang w:val="en-US" w:eastAsia="zh-CN"/>
        </w:rPr>
        <w:t>近期（2003年3月～2017年11月）营田洲累计表现为冲刷缩小，其中2003年3月～2012年7月营田洲（23m高程等高线）洲头冲刷后退约600m，2012年7月～2017年11月冲淤变化较小，洲尾左缘累计有所冲刷右移；北港村边滩2003年3月～2017年11月边滩较为稳定，局部最大冲刷后退约70m；凤凰滩冲淤交替变化，多年来23m边滩局部最大冲刷后退约80m；磊石滩边滩多年来变化较大，其中2003年3月～2012年7月整体变化相对较小，局部边滩最大左移约200m，2012年7月～2017年6月局部边滩最大左移约600m，2017年6月～2017年12月磊石滩边滩冲淤交替，变化较小。</w:t>
      </w:r>
    </w:p>
    <w:p>
      <w:pPr>
        <w:pStyle w:val="2"/>
        <w:rPr>
          <w:rFonts w:hint="default"/>
          <w:u w:val="single"/>
          <w:lang w:val="en-US" w:eastAsia="zh-CN"/>
        </w:rPr>
      </w:pPr>
      <w:r>
        <w:rPr>
          <w:rFonts w:hint="default"/>
          <w:u w:val="single"/>
          <w:lang w:val="en-US" w:eastAsia="zh-CN"/>
        </w:rPr>
        <w:t>近期（2003年1月～2017年11月）河段深槽冲刷明显。其中2003年1月～2012年7月刘家山附近冲刷出现两个高程为2m长分别为2.4km、2km的深槽，北港村～磊石滩河段由两个高程4m长分别为610m、540m的小深槽冲刷展宽为长约10km的大深槽。2012年7月～2017年11月刘家山附近两个高程2m的深槽有所冲刷展宽，总长度增长约250m，北港村～磊石滩河段高程为4m的大深槽分割成两个独立的长度分别为4km和6km的深槽，湖州附近深槽冲刷展宽约160m，深槽尾端磊石滩附近往左移动约350m。</w:t>
      </w:r>
    </w:p>
    <w:p>
      <w:pPr>
        <w:pStyle w:val="2"/>
        <w:rPr>
          <w:rFonts w:hint="default"/>
          <w:u w:val="single"/>
          <w:lang w:val="en-US" w:eastAsia="zh-CN"/>
        </w:rPr>
      </w:pPr>
      <w:r>
        <w:rPr>
          <w:rFonts w:hint="default"/>
          <w:u w:val="single"/>
          <w:lang w:val="en-US" w:eastAsia="zh-CN"/>
        </w:rPr>
        <w:t>从以上分析可知，近期（2003年3月～2017年11月）</w:t>
      </w:r>
      <w:r>
        <w:rPr>
          <w:rFonts w:hint="eastAsia"/>
          <w:u w:val="single"/>
          <w:lang w:val="en-US" w:eastAsia="zh-CN"/>
        </w:rPr>
        <w:t>本</w:t>
      </w:r>
      <w:r>
        <w:rPr>
          <w:rFonts w:hint="default"/>
          <w:u w:val="single"/>
          <w:lang w:val="en-US" w:eastAsia="zh-CN"/>
        </w:rPr>
        <w:t>河段内除局部位置（如过渡段、分流口、入汇口附近等）外，岸线、深泓线平面位置整体相对较为稳定，洲滩及深槽仅随水文年不同有所冲淤变化。故本河段河势及平面形态总体而言是稳定的。</w:t>
      </w:r>
    </w:p>
    <w:p>
      <w:pPr>
        <w:pStyle w:val="2"/>
        <w:rPr>
          <w:rFonts w:hint="eastAsia" w:cs="Times New Roman" w:eastAsiaTheme="minorEastAsia"/>
          <w:b/>
          <w:bCs/>
          <w:caps w:val="0"/>
          <w:smallCaps w:val="0"/>
          <w:color w:val="000000"/>
          <w:sz w:val="24"/>
          <w:u w:val="single"/>
          <w:lang w:val="en-US" w:eastAsia="zh-CN"/>
        </w:rPr>
      </w:pPr>
      <w:r>
        <w:rPr>
          <w:rFonts w:hint="eastAsia" w:cs="Times New Roman" w:eastAsiaTheme="minorEastAsia"/>
          <w:b/>
          <w:bCs/>
          <w:caps w:val="0"/>
          <w:smallCaps w:val="0"/>
          <w:color w:val="000000"/>
          <w:sz w:val="24"/>
          <w:u w:val="single"/>
          <w:lang w:val="en-US" w:eastAsia="zh-CN"/>
        </w:rPr>
        <w:t>6、河床冲淤变化</w:t>
      </w:r>
    </w:p>
    <w:p>
      <w:pPr>
        <w:pStyle w:val="2"/>
        <w:rPr>
          <w:rFonts w:hint="default"/>
          <w:u w:val="single"/>
          <w:lang w:val="en-US" w:eastAsia="zh-CN"/>
        </w:rPr>
      </w:pPr>
      <w:r>
        <w:rPr>
          <w:rFonts w:hint="default"/>
          <w:u w:val="single"/>
          <w:lang w:val="en-US" w:eastAsia="zh-CN"/>
        </w:rPr>
        <w:t>湘江湖南灏东船厂～磊石山河段（2#～25#段）2003年3月～2012年7月，平滩河槽累计冲刷量约为14800万m</w:t>
      </w:r>
      <w:r>
        <w:rPr>
          <w:rFonts w:hint="default"/>
          <w:u w:val="single"/>
          <w:vertAlign w:val="superscript"/>
          <w:lang w:val="en-US" w:eastAsia="zh-CN"/>
        </w:rPr>
        <w:t>3</w:t>
      </w:r>
      <w:r>
        <w:rPr>
          <w:rFonts w:hint="default"/>
          <w:u w:val="single"/>
          <w:lang w:val="en-US" w:eastAsia="zh-CN"/>
        </w:rPr>
        <w:t>，平均冲刷强度为73万m</w:t>
      </w:r>
      <w:r>
        <w:rPr>
          <w:rFonts w:hint="default"/>
          <w:u w:val="single"/>
          <w:vertAlign w:val="superscript"/>
          <w:lang w:val="en-US" w:eastAsia="zh-CN"/>
        </w:rPr>
        <w:t>3</w:t>
      </w:r>
      <w:r>
        <w:rPr>
          <w:rFonts w:hint="default"/>
          <w:u w:val="single"/>
          <w:lang w:val="en-US" w:eastAsia="zh-CN"/>
        </w:rPr>
        <w:t>/（km.a）；2012年7月～2017年6月，平滩河槽累计冲刷量约为4300万m</w:t>
      </w:r>
      <w:r>
        <w:rPr>
          <w:rFonts w:hint="default"/>
          <w:u w:val="single"/>
          <w:vertAlign w:val="superscript"/>
          <w:lang w:val="en-US" w:eastAsia="zh-CN"/>
        </w:rPr>
        <w:t>3</w:t>
      </w:r>
      <w:r>
        <w:rPr>
          <w:rFonts w:hint="default"/>
          <w:u w:val="single"/>
          <w:lang w:val="en-US" w:eastAsia="zh-CN"/>
        </w:rPr>
        <w:t>，平均冲刷强度为40万m</w:t>
      </w:r>
      <w:r>
        <w:rPr>
          <w:rFonts w:hint="default"/>
          <w:u w:val="single"/>
          <w:vertAlign w:val="superscript"/>
          <w:lang w:val="en-US" w:eastAsia="zh-CN"/>
        </w:rPr>
        <w:t>3</w:t>
      </w:r>
      <w:r>
        <w:rPr>
          <w:rFonts w:hint="default"/>
          <w:u w:val="single"/>
          <w:lang w:val="en-US" w:eastAsia="zh-CN"/>
        </w:rPr>
        <w:t>/（km.a）；2017年6月～2017年12月，平滩河槽累计冲刷量约为970万m</w:t>
      </w:r>
      <w:r>
        <w:rPr>
          <w:rFonts w:hint="default"/>
          <w:u w:val="single"/>
          <w:vertAlign w:val="superscript"/>
          <w:lang w:val="en-US" w:eastAsia="zh-CN"/>
        </w:rPr>
        <w:t>3</w:t>
      </w:r>
      <w:r>
        <w:rPr>
          <w:rFonts w:hint="default"/>
          <w:u w:val="single"/>
          <w:lang w:val="en-US" w:eastAsia="zh-CN"/>
        </w:rPr>
        <w:t>，平均冲刷强度为90万m</w:t>
      </w:r>
      <w:r>
        <w:rPr>
          <w:rFonts w:hint="default"/>
          <w:u w:val="single"/>
          <w:vertAlign w:val="superscript"/>
          <w:lang w:val="en-US" w:eastAsia="zh-CN"/>
        </w:rPr>
        <w:t>3</w:t>
      </w:r>
      <w:r>
        <w:rPr>
          <w:rFonts w:hint="default"/>
          <w:u w:val="single"/>
          <w:lang w:val="en-US" w:eastAsia="zh-CN"/>
        </w:rPr>
        <w:t>/（km.a）。</w:t>
      </w:r>
    </w:p>
    <w:p>
      <w:pPr>
        <w:pStyle w:val="2"/>
        <w:rPr>
          <w:rFonts w:hint="default"/>
          <w:u w:val="single"/>
          <w:lang w:val="en-US" w:eastAsia="zh-CN"/>
        </w:rPr>
      </w:pPr>
      <w:r>
        <w:rPr>
          <w:rFonts w:hint="default"/>
          <w:u w:val="single"/>
          <w:lang w:val="en-US" w:eastAsia="zh-CN"/>
        </w:rPr>
        <w:t>湘江湖南灏东船厂～长湖村河段（2#～33#段）2003年3月～2012年7月，平滩河槽累计冲刷量约为17600万m</w:t>
      </w:r>
      <w:r>
        <w:rPr>
          <w:rFonts w:hint="default"/>
          <w:u w:val="single"/>
          <w:vertAlign w:val="superscript"/>
          <w:lang w:val="en-US" w:eastAsia="zh-CN"/>
        </w:rPr>
        <w:t>3</w:t>
      </w:r>
      <w:r>
        <w:rPr>
          <w:rFonts w:hint="default"/>
          <w:u w:val="single"/>
          <w:lang w:val="en-US" w:eastAsia="zh-CN"/>
        </w:rPr>
        <w:t>，平均冲刷强度为73万m</w:t>
      </w:r>
      <w:r>
        <w:rPr>
          <w:rFonts w:hint="default"/>
          <w:u w:val="single"/>
          <w:vertAlign w:val="superscript"/>
          <w:lang w:val="en-US" w:eastAsia="zh-CN"/>
        </w:rPr>
        <w:t>3</w:t>
      </w:r>
      <w:r>
        <w:rPr>
          <w:rFonts w:hint="default"/>
          <w:u w:val="single"/>
          <w:lang w:val="en-US" w:eastAsia="zh-CN"/>
        </w:rPr>
        <w:t>（/km.a）；2012年7月～2017年12月，平滩河槽累计冲刷量约为5900万m</w:t>
      </w:r>
      <w:r>
        <w:rPr>
          <w:rFonts w:hint="default"/>
          <w:u w:val="single"/>
          <w:vertAlign w:val="superscript"/>
          <w:lang w:val="en-US" w:eastAsia="zh-CN"/>
        </w:rPr>
        <w:t>3</w:t>
      </w:r>
      <w:r>
        <w:rPr>
          <w:rFonts w:hint="default"/>
          <w:u w:val="single"/>
          <w:lang w:val="en-US" w:eastAsia="zh-CN"/>
        </w:rPr>
        <w:t>，平均冲刷强度为42万m</w:t>
      </w:r>
      <w:r>
        <w:rPr>
          <w:rFonts w:hint="default"/>
          <w:u w:val="single"/>
          <w:vertAlign w:val="superscript"/>
          <w:lang w:val="en-US" w:eastAsia="zh-CN"/>
        </w:rPr>
        <w:t>3</w:t>
      </w:r>
      <w:r>
        <w:rPr>
          <w:rFonts w:hint="default"/>
          <w:u w:val="single"/>
          <w:lang w:val="en-US" w:eastAsia="zh-CN"/>
        </w:rPr>
        <w:t>/（km.a）。</w:t>
      </w:r>
    </w:p>
    <w:p>
      <w:pPr>
        <w:pStyle w:val="2"/>
        <w:rPr>
          <w:rFonts w:hint="default"/>
          <w:u w:val="single"/>
          <w:lang w:val="en-US" w:eastAsia="zh-CN"/>
        </w:rPr>
      </w:pPr>
      <w:r>
        <w:rPr>
          <w:rFonts w:hint="default"/>
          <w:u w:val="single"/>
          <w:lang w:val="en-US" w:eastAsia="zh-CN"/>
        </w:rPr>
        <w:t>由上可知，湘江湖南灏东船厂～磊石山河段（2#～25#段）2003年3月～2017年12月，平滩河槽合计冲刷量约为20070万m</w:t>
      </w:r>
      <w:r>
        <w:rPr>
          <w:rFonts w:hint="default"/>
          <w:u w:val="single"/>
          <w:vertAlign w:val="superscript"/>
          <w:lang w:val="en-US" w:eastAsia="zh-CN"/>
        </w:rPr>
        <w:t>3</w:t>
      </w:r>
      <w:r>
        <w:rPr>
          <w:rFonts w:hint="default"/>
          <w:u w:val="single"/>
          <w:lang w:val="en-US" w:eastAsia="zh-CN"/>
        </w:rPr>
        <w:t>，合计冲刷强度为63万m</w:t>
      </w:r>
      <w:r>
        <w:rPr>
          <w:rFonts w:hint="default"/>
          <w:u w:val="single"/>
          <w:vertAlign w:val="superscript"/>
          <w:lang w:val="en-US" w:eastAsia="zh-CN"/>
        </w:rPr>
        <w:t>3</w:t>
      </w:r>
      <w:r>
        <w:rPr>
          <w:rFonts w:hint="default"/>
          <w:u w:val="single"/>
          <w:lang w:val="en-US" w:eastAsia="zh-CN"/>
        </w:rPr>
        <w:t>/（km.a）。湘江湖南灏东船厂～长湖村河段（2#～33#段）2003年3月～2017年12月，平滩河槽合计冲刷量约为23500万m</w:t>
      </w:r>
      <w:r>
        <w:rPr>
          <w:rFonts w:hint="default"/>
          <w:u w:val="single"/>
          <w:vertAlign w:val="superscript"/>
          <w:lang w:val="en-US" w:eastAsia="zh-CN"/>
        </w:rPr>
        <w:t>3</w:t>
      </w:r>
      <w:r>
        <w:rPr>
          <w:rFonts w:hint="default"/>
          <w:u w:val="single"/>
          <w:lang w:val="en-US" w:eastAsia="zh-CN"/>
        </w:rPr>
        <w:t>，合计冲刷强度为61万m</w:t>
      </w:r>
      <w:r>
        <w:rPr>
          <w:rFonts w:hint="default"/>
          <w:u w:val="single"/>
          <w:vertAlign w:val="superscript"/>
          <w:lang w:val="en-US" w:eastAsia="zh-CN"/>
        </w:rPr>
        <w:t>3</w:t>
      </w:r>
      <w:r>
        <w:rPr>
          <w:rFonts w:hint="default"/>
          <w:u w:val="single"/>
          <w:lang w:val="en-US" w:eastAsia="zh-CN"/>
        </w:rPr>
        <w:t>/（km.a）。</w:t>
      </w:r>
    </w:p>
    <w:p>
      <w:pPr>
        <w:pStyle w:val="6"/>
        <w:rPr>
          <w:rFonts w:ascii="Times New Roman" w:hAnsi="Times New Roman" w:cs="Times New Roman" w:eastAsiaTheme="minorEastAsia"/>
          <w:b w:val="0"/>
          <w:bCs w:val="0"/>
          <w:caps w:val="0"/>
          <w:smallCaps w:val="0"/>
          <w:color w:val="000000" w:themeColor="text1"/>
          <w14:textFill>
            <w14:solidFill>
              <w14:schemeClr w14:val="tx1"/>
            </w14:solidFill>
          </w14:textFill>
        </w:rPr>
      </w:pPr>
      <w:r>
        <w:rPr>
          <w:rFonts w:ascii="Times New Roman" w:hAnsi="Times New Roman" w:cs="Times New Roman" w:eastAsiaTheme="minorEastAsia"/>
          <w:b w:val="0"/>
          <w:bCs w:val="0"/>
          <w:caps w:val="0"/>
          <w:smallCaps w:val="0"/>
          <w:color w:val="000000" w:themeColor="text1"/>
          <w14:textFill>
            <w14:solidFill>
              <w14:schemeClr w14:val="tx1"/>
            </w14:solidFill>
          </w14:textFill>
        </w:rPr>
        <w:t>地下水</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14:textFill>
            <w14:solidFill>
              <w14:schemeClr w14:val="tx1"/>
            </w14:solidFill>
          </w14:textFill>
        </w:rPr>
      </w:pPr>
      <w:r>
        <w:rPr>
          <w:rFonts w:ascii="Times New Roman" w:hAnsi="Times New Roman" w:cs="Times New Roman" w:eastAsiaTheme="minorEastAsia"/>
          <w:caps w:val="0"/>
          <w:smallCaps w:val="0"/>
          <w:color w:val="000000" w:themeColor="text1"/>
          <w:sz w:val="24"/>
          <w14:textFill>
            <w14:solidFill>
              <w14:schemeClr w14:val="tx1"/>
            </w14:solidFill>
          </w14:textFill>
        </w:rPr>
        <w:t>地下水根据其赋存特征和埋藏条件可分为孔隙潜水和季节性承压水。</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14:textFill>
            <w14:solidFill>
              <w14:schemeClr w14:val="tx1"/>
            </w14:solidFill>
          </w14:textFill>
        </w:rPr>
      </w:pPr>
      <w:r>
        <w:rPr>
          <w:rFonts w:ascii="Times New Roman" w:hAnsi="Times New Roman" w:cs="Times New Roman" w:eastAsiaTheme="minorEastAsia"/>
          <w:caps w:val="0"/>
          <w:smallCaps w:val="0"/>
          <w:color w:val="000000" w:themeColor="text1"/>
          <w:sz w:val="24"/>
          <w14:textFill>
            <w14:solidFill>
              <w14:schemeClr w14:val="tx1"/>
            </w14:solidFill>
          </w14:textFill>
        </w:rPr>
        <w:t>潜水：主要为孔隙水，埋藏于上部的第四系粉质粘土层中，受大气降水与地表水的补给，随季节变化与地表水呈互补关系，枯水期地下水向江、渠排泄，洪水期接受江河水补给。</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14:textFill>
            <w14:solidFill>
              <w14:schemeClr w14:val="tx1"/>
            </w14:solidFill>
          </w14:textFill>
        </w:rPr>
      </w:pPr>
      <w:r>
        <w:rPr>
          <w:rFonts w:ascii="Times New Roman" w:hAnsi="Times New Roman" w:cs="Times New Roman" w:eastAsiaTheme="minorEastAsia"/>
          <w:caps w:val="0"/>
          <w:smallCaps w:val="0"/>
          <w:color w:val="000000" w:themeColor="text1"/>
          <w:sz w:val="24"/>
          <w14:textFill>
            <w14:solidFill>
              <w14:schemeClr w14:val="tx1"/>
            </w14:solidFill>
          </w14:textFill>
        </w:rPr>
        <w:t>季节性承压水：埋藏于第四系粘性土层之下的砂性土层中，与江水相通，承压水头的大小随补给区江水位的变化而变化。枯水期，河水位降低，地下水向河床方向运移，并排泄于河床之中；洪水期，河水位抬高，地下水沿透水层向远离河床方向运移，补给地下水。</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14:textFill>
            <w14:solidFill>
              <w14:schemeClr w14:val="tx1"/>
            </w14:solidFill>
          </w14:textFill>
        </w:rPr>
      </w:pPr>
      <w:r>
        <w:rPr>
          <w:rFonts w:ascii="Times New Roman" w:hAnsi="Times New Roman" w:cs="Times New Roman" w:eastAsiaTheme="minorEastAsia"/>
          <w:caps w:val="0"/>
          <w:smallCaps w:val="0"/>
          <w:color w:val="000000" w:themeColor="text1"/>
          <w:sz w:val="24"/>
          <w14:textFill>
            <w14:solidFill>
              <w14:schemeClr w14:val="tx1"/>
            </w14:solidFill>
          </w14:textFill>
        </w:rPr>
        <w:t>根据区域水文地质资料，工程区地下水排泄通畅，地下水位主要受江水制约，随江水升降而变化；一般在地表以下0.5~2.5m，水位多受地表水塘、沟渠控制。</w:t>
      </w:r>
    </w:p>
    <w:p>
      <w:pPr>
        <w:ind w:firstLine="480"/>
        <w:rPr>
          <w:rFonts w:ascii="Times New Roman" w:hAnsi="Times New Roman" w:cs="Times New Roman"/>
          <w:caps w:val="0"/>
          <w:smallCaps w:val="0"/>
        </w:rPr>
      </w:pPr>
    </w:p>
    <w:p>
      <w:pPr>
        <w:pStyle w:val="5"/>
        <w:rPr>
          <w:rFonts w:ascii="Times New Roman" w:hAnsi="Times New Roman" w:cs="Times New Roman" w:eastAsiaTheme="minorEastAsia"/>
          <w:b/>
          <w:caps w:val="0"/>
          <w:smallCaps w:val="0"/>
        </w:rPr>
      </w:pPr>
      <w:bookmarkStart w:id="70" w:name="_Toc13855"/>
      <w:r>
        <w:rPr>
          <w:rFonts w:hint="eastAsia" w:cs="Times New Roman" w:eastAsiaTheme="minorEastAsia"/>
          <w:b/>
          <w:caps w:val="0"/>
          <w:smallCaps w:val="0"/>
          <w:lang w:eastAsia="zh-CN"/>
        </w:rPr>
        <w:t>生态敏感区环境概况</w:t>
      </w:r>
      <w:bookmarkEnd w:id="70"/>
    </w:p>
    <w:p>
      <w:pPr>
        <w:pStyle w:val="6"/>
        <w:bidi w:val="0"/>
      </w:pPr>
      <w:r>
        <w:t>岳阳市东洞庭湖江豚自然保护</w:t>
      </w:r>
      <w:r>
        <w:rPr>
          <w:rFonts w:hint="eastAsia"/>
        </w:rPr>
        <w:t>区</w:t>
      </w:r>
      <w:r>
        <w:t>环境概况</w:t>
      </w:r>
    </w:p>
    <w:p>
      <w:pPr>
        <w:widowControl/>
        <w:adjustRightInd w:val="0"/>
        <w:snapToGrid w:val="0"/>
        <w:spacing w:line="360" w:lineRule="auto"/>
        <w:ind w:firstLine="480" w:firstLineChars="200"/>
        <w:jc w:val="left"/>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本项目位于岳阳市东洞庭湖江豚自然保护</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区</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实验区，见附图</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5</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为了保护洞庭湖江豚种群，1996年岳阳市人民政府批准成立了东洞庭湖江豚自然保护区，范围介于E112°43′～113°15，N 28°59′～29°38′之间，包括岳阳省道S306线三江口至鲶鱼口湘江洪道和东洞庭湖水域，总面积667km</w:t>
      </w:r>
      <w:r>
        <w:rPr>
          <w:rFonts w:hint="eastAsia" w:ascii="Times New Roman" w:hAnsi="Times New Roman" w:cs="Times New Roman" w:eastAsiaTheme="minorEastAsia"/>
          <w:caps w:val="0"/>
          <w:smallCaps w:val="0"/>
          <w:color w:val="000000"/>
          <w:sz w:val="24"/>
          <w:vertAlign w:val="superscript"/>
        </w:rPr>
        <w:t>2</w:t>
      </w:r>
      <w:r>
        <w:rPr>
          <w:rFonts w:hint="eastAsia" w:ascii="Times New Roman" w:hAnsi="Times New Roman" w:cs="Times New Roman" w:eastAsiaTheme="minorEastAsia"/>
          <w:caps w:val="0"/>
          <w:smallCaps w:val="0"/>
          <w:color w:val="000000"/>
          <w:sz w:val="24"/>
        </w:rPr>
        <w:t>，其中核心区66km</w:t>
      </w:r>
      <w:r>
        <w:rPr>
          <w:rFonts w:hint="eastAsia" w:ascii="Times New Roman" w:hAnsi="Times New Roman" w:cs="Times New Roman" w:eastAsiaTheme="minorEastAsia"/>
          <w:caps w:val="0"/>
          <w:smallCaps w:val="0"/>
          <w:color w:val="000000"/>
          <w:sz w:val="24"/>
          <w:vertAlign w:val="superscript"/>
        </w:rPr>
        <w:t>2</w:t>
      </w:r>
      <w:r>
        <w:rPr>
          <w:rFonts w:hint="eastAsia" w:ascii="Times New Roman" w:hAnsi="Times New Roman" w:cs="Times New Roman" w:eastAsiaTheme="minorEastAsia"/>
          <w:caps w:val="0"/>
          <w:smallCaps w:val="0"/>
          <w:color w:val="000000"/>
          <w:sz w:val="24"/>
        </w:rPr>
        <w:t>、缓冲区593km</w:t>
      </w:r>
      <w:r>
        <w:rPr>
          <w:rFonts w:hint="eastAsia" w:ascii="Times New Roman" w:hAnsi="Times New Roman" w:cs="Times New Roman" w:eastAsiaTheme="minorEastAsia"/>
          <w:caps w:val="0"/>
          <w:smallCaps w:val="0"/>
          <w:color w:val="000000"/>
          <w:sz w:val="24"/>
          <w:vertAlign w:val="superscript"/>
        </w:rPr>
        <w:t>2</w:t>
      </w:r>
      <w:r>
        <w:rPr>
          <w:rFonts w:hint="eastAsia" w:ascii="Times New Roman" w:hAnsi="Times New Roman" w:cs="Times New Roman" w:eastAsiaTheme="minorEastAsia"/>
          <w:caps w:val="0"/>
          <w:smallCaps w:val="0"/>
          <w:color w:val="000000"/>
          <w:sz w:val="24"/>
        </w:rPr>
        <w:t>、试验区8km</w:t>
      </w:r>
      <w:r>
        <w:rPr>
          <w:rFonts w:hint="eastAsia" w:ascii="Times New Roman" w:hAnsi="Times New Roman" w:cs="Times New Roman" w:eastAsiaTheme="minorEastAsia"/>
          <w:caps w:val="0"/>
          <w:smallCaps w:val="0"/>
          <w:color w:val="000000"/>
          <w:sz w:val="24"/>
          <w:vertAlign w:val="superscript"/>
        </w:rPr>
        <w:t>2</w:t>
      </w:r>
      <w:r>
        <w:rPr>
          <w:rFonts w:hint="eastAsia" w:ascii="Times New Roman" w:hAnsi="Times New Roman" w:cs="Times New Roman" w:eastAsiaTheme="minorEastAsia"/>
          <w:caps w:val="0"/>
          <w:smallCaps w:val="0"/>
          <w:color w:val="000000"/>
          <w:sz w:val="24"/>
        </w:rPr>
        <w: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2003年建立岳阳市省道S306线水生野生动物救护中心，为江豚保护做了大量基础性工作。2012年开始了江豚保护区范围调整和升级工作，根据江豚专项监测与考察，为更好地开展江豚保护工作，根据岳政办函[2013]151号岳阳市人民政府办公室“关于同意调整岳阳市洞庭湖江豚自然保护区及其功能区范围的批复”，对保护区范围应进行必要的调整，将岳阳市东洞庭湖江豚自然保护区总面积调整为6.67万公顷，其中，核心区面积0.67万公顷，缓冲区面积为4万公顷，实验区面积为2万公顷。调整后江豚自然保护区基本情况如下：</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岳阳市东洞庭湖江豚自然保护区位于长江中下游荆江江段南侧，地处湖南省东北部岳阳市境内，地理坐标为东经112°45'35″～113°08'51″，北纬28°59'59″～29°32'07″之间。东与岳阳楼区毗邻，南与汨罗市、湘阴县、沅江县接壤，西、北与华容县、君山区相接，保护区总面积为6.67万公顷，其范围的具体四至界限为：北边界线（西东）走向：采桑湖→大西湖→黄安湖排灌站→中心闸→丁字堤→君山造纸厂→君山农场水委会→芦西湾→湘鄂两省主航道分界线→省道S306线；东边界线（北南）走向：省道S306线→市汽车渡口→市货运码头→粮运码头→龟山→太平咀→月形湖→春风乡渔场→湘粮湖→毛家湖渔场→九马嘴→万石湖→杨庙湖→下塔湖→上塔湖→小明湖→大明外湖→钓鱼台湖→磊石山→营田镇→潮洲尾；南边界线（东西）走向：潮洲尾→严家山→青潭乡→杨家台；西边界线（南北）走向：杨家台→草尾河口→港南洲→上行河→下行河→简易闸→月亮湖→风车拐→漉湖→友谊沟→舵杆洲→三角围子→新沟闸→新胜村→团洲中学→团南四组→团福闸→二门闸→华容河→一门闸→采桑湖。</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保护区分为核心区、实验区和缓冲区。其中核心区总面积0.67万公顷，分为两大块，一是扁山核心区：北起洞庭湖污水处理设施建设项目大桥，西至芦溪湾、裤裆弯、麻拐石、壕坝、君山、香炉山、君山后湖，南至太平咀、扁山往南1千米处、罗汉州、元咀，东至从东风湖沿洞庭湖岸线至太平嘴范围内的深水区区域，面积为0.39万公顷；二是鲶鱼口核心区:以鲶鱼口为中心上下游各约10公里范围的主河道深水区，北起陡沙坡头、西至柴家嘴，东至上、下青年湖，西北至漉洲苜蓿草场（草尾河入洞庭湖湖口），东南至磊石山范围内的深水区水域，面积为0.28万公顷。</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缓冲区：保护区域内除核心区、水运航道、传统苜蓿草生产区以及防浪林带以外的区域划为缓冲区，面积4万公顷。</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rPr>
      </w:pPr>
      <w:r>
        <w:rPr>
          <w:rFonts w:hint="eastAsia" w:ascii="Times New Roman" w:hAnsi="Times New Roman" w:cs="Times New Roman" w:eastAsiaTheme="minorEastAsia"/>
          <w:caps w:val="0"/>
          <w:smallCaps w:val="0"/>
          <w:color w:val="000000"/>
          <w:sz w:val="24"/>
        </w:rPr>
        <w:t>实验区：保护区区界以内缓冲区以外的区域，包括大西湖、小西湖、春风湖等在内的湖泊和洲滩划为实验区，面积2万公顷。</w:t>
      </w:r>
    </w:p>
    <w:p>
      <w:pPr>
        <w:pStyle w:val="2"/>
        <w:rPr>
          <w:rFonts w:hint="eastAsia" w:eastAsiaTheme="minorEastAsia"/>
          <w:lang w:eastAsia="zh-CN"/>
        </w:rPr>
      </w:pPr>
      <w:r>
        <w:rPr>
          <w:rFonts w:hint="eastAsia" w:ascii="Times New Roman" w:hAnsi="Times New Roman" w:cs="Times New Roman" w:eastAsiaTheme="minorEastAsia"/>
          <w:caps w:val="0"/>
          <w:smallCaps w:val="0"/>
          <w:color w:val="000000"/>
          <w:sz w:val="24"/>
        </w:rPr>
        <w:t>岳阳市东洞庭湖江豚自然保护区范围占洞庭湖总水面的三分之二左右，保护区水生动植物资源丰富，特别是鱼类资源，有鱼类125种，是淡水鱼类重要的种质资源库，同时也是重点保护鱼类胭脂鱼、中华鲟的重要栖息地，通过对保护区的有效管理，在保护好江豚的同时，对保护其他鱼类种质资源和野生鱼类，保持洞庭湖生物多样性将起到同样重要的作用。</w:t>
      </w:r>
    </w:p>
    <w:p>
      <w:pPr>
        <w:pStyle w:val="6"/>
        <w:bidi w:val="0"/>
      </w:pPr>
      <w:r>
        <w:rPr>
          <w:rFonts w:hint="eastAsia"/>
          <w:lang w:val="en-US" w:eastAsia="zh-CN"/>
        </w:rPr>
        <w:t xml:space="preserve">南洞庭湖大口鲶青虾中华鳖国家级水产种质资源保护区 </w:t>
      </w:r>
    </w:p>
    <w:p>
      <w:pPr>
        <w:keepNext w:val="0"/>
        <w:keepLines w:val="0"/>
        <w:widowControl/>
        <w:suppressLineNumbers w:val="0"/>
        <w:jc w:val="left"/>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本项目不在南洞庭湖大口鲶青虾中华鳖国家级水产种质资源保护区内，距离南洞庭湖大口鲶青虾中华鳖国家级水产种质资源保护区</w:t>
      </w:r>
      <w:r>
        <w:rPr>
          <w:rFonts w:hint="eastAsia" w:ascii="宋体" w:hAnsi="宋体" w:cs="宋体"/>
          <w:color w:val="000000"/>
          <w:kern w:val="0"/>
          <w:sz w:val="24"/>
          <w:szCs w:val="24"/>
          <w:lang w:val="en-US" w:eastAsia="zh-CN" w:bidi="ar"/>
        </w:rPr>
        <w:t>最近的距离为1000m。</w:t>
      </w:r>
    </w:p>
    <w:p>
      <w:pPr>
        <w:keepNext w:val="0"/>
        <w:keepLines w:val="0"/>
        <w:widowControl/>
        <w:suppressLineNumbers w:val="0"/>
        <w:jc w:val="left"/>
      </w:pPr>
      <w:r>
        <w:rPr>
          <w:rFonts w:hint="eastAsia" w:ascii="宋体" w:hAnsi="宋体" w:eastAsia="宋体" w:cs="宋体"/>
          <w:color w:val="000000"/>
          <w:kern w:val="0"/>
          <w:sz w:val="24"/>
          <w:szCs w:val="24"/>
          <w:lang w:val="en-US" w:eastAsia="zh-CN" w:bidi="ar"/>
        </w:rPr>
        <w:t xml:space="preserve">南洞庭湖大口鲶青虾中华鳖国家级水产种质资源保护区于 </w:t>
      </w:r>
      <w:r>
        <w:rPr>
          <w:rFonts w:hint="default" w:ascii="Times New Roman" w:hAnsi="Times New Roman" w:eastAsia="宋体" w:cs="Times New Roman"/>
          <w:color w:val="000000"/>
          <w:kern w:val="0"/>
          <w:sz w:val="24"/>
          <w:szCs w:val="24"/>
          <w:lang w:val="en-US" w:eastAsia="zh-CN" w:bidi="ar"/>
        </w:rPr>
        <w:t xml:space="preserve">2008 </w:t>
      </w:r>
      <w:r>
        <w:rPr>
          <w:rFonts w:hint="eastAsia" w:ascii="宋体" w:hAnsi="宋体" w:eastAsia="宋体" w:cs="宋体"/>
          <w:color w:val="000000"/>
          <w:kern w:val="0"/>
          <w:sz w:val="24"/>
          <w:szCs w:val="24"/>
          <w:lang w:val="en-US" w:eastAsia="zh-CN" w:bidi="ar"/>
        </w:rPr>
        <w:t xml:space="preserve">年经农业部批准设立（农业部 </w:t>
      </w:r>
      <w:r>
        <w:rPr>
          <w:rFonts w:hint="default" w:ascii="Times New Roman" w:hAnsi="Times New Roman" w:eastAsia="宋体" w:cs="Times New Roman"/>
          <w:color w:val="000000"/>
          <w:kern w:val="0"/>
          <w:sz w:val="24"/>
          <w:szCs w:val="24"/>
          <w:lang w:val="en-US" w:eastAsia="zh-CN" w:bidi="ar"/>
        </w:rPr>
        <w:t xml:space="preserve">2008 </w:t>
      </w:r>
      <w:r>
        <w:rPr>
          <w:rFonts w:hint="eastAsia" w:ascii="宋体" w:hAnsi="宋体" w:eastAsia="宋体" w:cs="宋体"/>
          <w:color w:val="000000"/>
          <w:kern w:val="0"/>
          <w:sz w:val="24"/>
          <w:szCs w:val="24"/>
          <w:lang w:val="en-US" w:eastAsia="zh-CN" w:bidi="ar"/>
        </w:rPr>
        <w:t xml:space="preserve">年第 </w:t>
      </w:r>
      <w:r>
        <w:rPr>
          <w:rFonts w:hint="default" w:ascii="Times New Roman" w:hAnsi="Times New Roman" w:eastAsia="宋体" w:cs="Times New Roman"/>
          <w:color w:val="000000"/>
          <w:kern w:val="0"/>
          <w:sz w:val="24"/>
          <w:szCs w:val="24"/>
          <w:lang w:val="en-US" w:eastAsia="zh-CN" w:bidi="ar"/>
        </w:rPr>
        <w:t xml:space="preserve">1130 </w:t>
      </w:r>
      <w:r>
        <w:rPr>
          <w:rFonts w:hint="eastAsia" w:ascii="宋体" w:hAnsi="宋体" w:eastAsia="宋体" w:cs="宋体"/>
          <w:color w:val="000000"/>
          <w:kern w:val="0"/>
          <w:sz w:val="24"/>
          <w:szCs w:val="24"/>
          <w:lang w:val="en-US" w:eastAsia="zh-CN" w:bidi="ar"/>
        </w:rPr>
        <w:t xml:space="preserve">号），总面积 </w:t>
      </w:r>
      <w:r>
        <w:rPr>
          <w:rFonts w:hint="default" w:ascii="Times New Roman" w:hAnsi="Times New Roman" w:eastAsia="宋体" w:cs="Times New Roman"/>
          <w:color w:val="000000"/>
          <w:kern w:val="0"/>
          <w:sz w:val="24"/>
          <w:szCs w:val="24"/>
          <w:lang w:val="en-US" w:eastAsia="zh-CN" w:bidi="ar"/>
        </w:rPr>
        <w:t xml:space="preserve">4.3 </w:t>
      </w:r>
      <w:r>
        <w:rPr>
          <w:rFonts w:hint="eastAsia" w:ascii="宋体" w:hAnsi="宋体" w:eastAsia="宋体" w:cs="宋体"/>
          <w:color w:val="000000"/>
          <w:kern w:val="0"/>
          <w:sz w:val="24"/>
          <w:szCs w:val="24"/>
          <w:lang w:val="en-US" w:eastAsia="zh-CN" w:bidi="ar"/>
        </w:rPr>
        <w:t xml:space="preserve">万公顷，范围为湘阴县所辖南洞庭湖（横岭湖）。保护区核心区总面积 </w:t>
      </w:r>
      <w:r>
        <w:rPr>
          <w:rFonts w:hint="default" w:ascii="Times New Roman" w:hAnsi="Times New Roman" w:eastAsia="宋体" w:cs="Times New Roman"/>
          <w:color w:val="000000"/>
          <w:kern w:val="0"/>
          <w:sz w:val="24"/>
          <w:szCs w:val="24"/>
          <w:lang w:val="en-US" w:eastAsia="zh-CN" w:bidi="ar"/>
        </w:rPr>
        <w:t xml:space="preserve">1.2 </w:t>
      </w:r>
      <w:r>
        <w:rPr>
          <w:rFonts w:hint="eastAsia" w:ascii="宋体" w:hAnsi="宋体" w:eastAsia="宋体" w:cs="宋体"/>
          <w:color w:val="000000"/>
          <w:kern w:val="0"/>
          <w:sz w:val="24"/>
          <w:szCs w:val="24"/>
          <w:lang w:val="en-US" w:eastAsia="zh-CN" w:bidi="ar"/>
        </w:rPr>
        <w:t xml:space="preserve">万公顷，分为 </w:t>
      </w:r>
      <w:r>
        <w:rPr>
          <w:rFonts w:hint="default" w:ascii="Times New Roman" w:hAnsi="Times New Roman" w:eastAsia="宋体" w:cs="Times New Roman"/>
          <w:color w:val="000000"/>
          <w:kern w:val="0"/>
          <w:sz w:val="24"/>
          <w:szCs w:val="24"/>
          <w:lang w:val="en-US" w:eastAsia="zh-CN" w:bidi="ar"/>
        </w:rPr>
        <w:t xml:space="preserve">3 </w:t>
      </w:r>
      <w:r>
        <w:rPr>
          <w:rFonts w:hint="eastAsia" w:ascii="宋体" w:hAnsi="宋体" w:eastAsia="宋体" w:cs="宋体"/>
          <w:color w:val="000000"/>
          <w:kern w:val="0"/>
          <w:sz w:val="24"/>
          <w:szCs w:val="24"/>
          <w:lang w:val="en-US" w:eastAsia="zh-CN" w:bidi="ar"/>
        </w:rPr>
        <w:t xml:space="preserve">个片区：一是西口核心保护区，面积 </w:t>
      </w:r>
      <w:r>
        <w:rPr>
          <w:rFonts w:hint="default" w:ascii="Times New Roman" w:hAnsi="Times New Roman" w:eastAsia="宋体" w:cs="Times New Roman"/>
          <w:color w:val="000000"/>
          <w:kern w:val="0"/>
          <w:sz w:val="24"/>
          <w:szCs w:val="24"/>
          <w:lang w:val="en-US" w:eastAsia="zh-CN" w:bidi="ar"/>
        </w:rPr>
        <w:t xml:space="preserve">7200 </w:t>
      </w:r>
      <w:r>
        <w:rPr>
          <w:rFonts w:hint="eastAsia" w:ascii="宋体" w:hAnsi="宋体" w:eastAsia="宋体" w:cs="宋体"/>
          <w:color w:val="000000"/>
          <w:kern w:val="0"/>
          <w:sz w:val="24"/>
          <w:szCs w:val="24"/>
          <w:lang w:val="en-US" w:eastAsia="zh-CN" w:bidi="ar"/>
        </w:rPr>
        <w:t xml:space="preserve">公顷，是主要保护鱼类的产卵和索饵场；二是畎口核心保护区，面积 </w:t>
      </w:r>
      <w:r>
        <w:rPr>
          <w:rFonts w:hint="default" w:ascii="Times New Roman" w:hAnsi="Times New Roman" w:eastAsia="宋体" w:cs="Times New Roman"/>
          <w:color w:val="000000"/>
          <w:kern w:val="0"/>
          <w:sz w:val="24"/>
          <w:szCs w:val="24"/>
          <w:lang w:val="en-US" w:eastAsia="zh-CN" w:bidi="ar"/>
        </w:rPr>
        <w:t xml:space="preserve">3000 </w:t>
      </w:r>
      <w:r>
        <w:rPr>
          <w:rFonts w:hint="eastAsia" w:ascii="宋体" w:hAnsi="宋体" w:eastAsia="宋体" w:cs="宋体"/>
          <w:color w:val="000000"/>
          <w:kern w:val="0"/>
          <w:sz w:val="24"/>
          <w:szCs w:val="24"/>
          <w:lang w:val="en-US" w:eastAsia="zh-CN" w:bidi="ar"/>
        </w:rPr>
        <w:t xml:space="preserve">公顷，是主要保护鱼类的越冬和产卵场；三是荷叶湖核心保护区，即整个荷叶湖水域面积 </w:t>
      </w:r>
      <w:r>
        <w:rPr>
          <w:rFonts w:hint="default" w:ascii="Times New Roman" w:hAnsi="Times New Roman" w:eastAsia="宋体" w:cs="Times New Roman"/>
          <w:color w:val="000000"/>
          <w:kern w:val="0"/>
          <w:sz w:val="24"/>
          <w:szCs w:val="24"/>
          <w:lang w:val="en-US" w:eastAsia="zh-CN" w:bidi="ar"/>
        </w:rPr>
        <w:t xml:space="preserve">1800 </w:t>
      </w:r>
      <w:r>
        <w:rPr>
          <w:rFonts w:hint="eastAsia" w:ascii="宋体" w:hAnsi="宋体" w:eastAsia="宋体" w:cs="宋体"/>
          <w:color w:val="000000"/>
          <w:kern w:val="0"/>
          <w:sz w:val="24"/>
          <w:szCs w:val="24"/>
          <w:lang w:val="en-US" w:eastAsia="zh-CN" w:bidi="ar"/>
        </w:rPr>
        <w:t xml:space="preserve">公顷，是主要保护鱼类的越冬和索饵场。核心保护区外围为实验区，面积 </w:t>
      </w:r>
      <w:r>
        <w:rPr>
          <w:rFonts w:hint="default" w:ascii="Times New Roman" w:hAnsi="Times New Roman" w:eastAsia="宋体" w:cs="Times New Roman"/>
          <w:color w:val="000000"/>
          <w:kern w:val="0"/>
          <w:sz w:val="24"/>
          <w:szCs w:val="24"/>
          <w:lang w:val="en-US" w:eastAsia="zh-CN" w:bidi="ar"/>
        </w:rPr>
        <w:t xml:space="preserve">3.1 </w:t>
      </w:r>
      <w:r>
        <w:rPr>
          <w:rFonts w:hint="eastAsia" w:ascii="宋体" w:hAnsi="宋体" w:eastAsia="宋体" w:cs="宋体"/>
          <w:color w:val="000000"/>
          <w:kern w:val="0"/>
          <w:sz w:val="24"/>
          <w:szCs w:val="24"/>
          <w:lang w:val="en-US" w:eastAsia="zh-CN" w:bidi="ar"/>
        </w:rPr>
        <w:t xml:space="preserve">万公顷。 </w:t>
      </w:r>
    </w:p>
    <w:p>
      <w:pPr>
        <w:keepNext w:val="0"/>
        <w:keepLines w:val="0"/>
        <w:widowControl/>
        <w:suppressLineNumbers w:val="0"/>
        <w:jc w:val="left"/>
      </w:pPr>
      <w:r>
        <w:rPr>
          <w:rFonts w:hint="eastAsia" w:ascii="宋体" w:hAnsi="宋体" w:eastAsia="宋体" w:cs="宋体"/>
          <w:color w:val="000000"/>
          <w:kern w:val="0"/>
          <w:sz w:val="24"/>
          <w:szCs w:val="24"/>
          <w:lang w:val="en-US" w:eastAsia="zh-CN" w:bidi="ar"/>
        </w:rPr>
        <w:t>保护区主要保护对象有大口鲶、青虾、中华鳖，其他保护物种包括青鱼、草鱼、鲢、鳙、鲤、鳊、鲫、鳜、鱤、乌鳢、黄颡、黄鳝、秀丽白虾、三角帆蚌、中华绒螯蟹、乌龟等。</w:t>
      </w:r>
    </w:p>
    <w:p>
      <w:pPr>
        <w:pStyle w:val="6"/>
        <w:bidi w:val="0"/>
      </w:pPr>
      <w:r>
        <w:rPr>
          <w:rFonts w:hint="eastAsia"/>
          <w:lang w:eastAsia="zh-CN"/>
        </w:rPr>
        <w:t>横岭湖省级自然保护区</w:t>
      </w:r>
    </w:p>
    <w:p>
      <w:pPr>
        <w:bidi w:val="0"/>
        <w:rPr>
          <w:rFonts w:hint="default"/>
          <w:lang w:val="en-US" w:eastAsia="zh-CN"/>
        </w:rPr>
      </w:pPr>
      <w:r>
        <w:rPr>
          <w:rFonts w:hint="eastAsia"/>
          <w:lang w:val="en-US" w:eastAsia="zh-CN"/>
        </w:rPr>
        <w:t>本项目不在横岭湖省级自然保护区内。</w:t>
      </w:r>
    </w:p>
    <w:p>
      <w:pPr>
        <w:bidi w:val="0"/>
      </w:pPr>
      <w:r>
        <w:rPr>
          <w:rFonts w:hint="default"/>
          <w:lang w:val="en-US" w:eastAsia="zh-CN"/>
        </w:rPr>
        <w:t>2000</w:t>
      </w:r>
      <w:r>
        <w:rPr>
          <w:rFonts w:hint="eastAsia"/>
          <w:lang w:val="en-US" w:eastAsia="zh-CN"/>
        </w:rPr>
        <w:t>年</w:t>
      </w:r>
      <w:r>
        <w:rPr>
          <w:rFonts w:hint="default"/>
          <w:lang w:val="en-US" w:eastAsia="zh-CN"/>
        </w:rPr>
        <w:t>6</w:t>
      </w:r>
      <w:r>
        <w:rPr>
          <w:rFonts w:hint="eastAsia"/>
          <w:lang w:val="en-US" w:eastAsia="zh-CN"/>
        </w:rPr>
        <w:t>月，湘阴县人民政府批准建立了县级横岭湖鸟类和湿地自然保护区，</w:t>
      </w:r>
      <w:r>
        <w:rPr>
          <w:rFonts w:hint="default"/>
          <w:lang w:val="en-US" w:eastAsia="zh-CN"/>
        </w:rPr>
        <w:t>2003</w:t>
      </w:r>
      <w:r>
        <w:rPr>
          <w:rFonts w:hint="eastAsia"/>
          <w:lang w:val="en-US" w:eastAsia="zh-CN"/>
        </w:rPr>
        <w:t>年</w:t>
      </w:r>
      <w:r>
        <w:rPr>
          <w:rFonts w:hint="default"/>
          <w:lang w:val="en-US" w:eastAsia="zh-CN"/>
        </w:rPr>
        <w:t>4</w:t>
      </w:r>
      <w:r>
        <w:rPr>
          <w:rFonts w:hint="eastAsia"/>
          <w:lang w:val="en-US" w:eastAsia="zh-CN"/>
        </w:rPr>
        <w:t>月经省人民政府批准升级为横岭湖省级自然保护区。保护区总面积</w:t>
      </w:r>
      <w:r>
        <w:rPr>
          <w:rFonts w:hint="default"/>
          <w:lang w:val="en-US" w:eastAsia="zh-CN"/>
        </w:rPr>
        <w:t>43000</w:t>
      </w:r>
      <w:r>
        <w:rPr>
          <w:rFonts w:hint="eastAsia"/>
          <w:lang w:val="en-US" w:eastAsia="zh-CN"/>
        </w:rPr>
        <w:t>公顷，核心区</w:t>
      </w:r>
      <w:r>
        <w:rPr>
          <w:rFonts w:hint="default"/>
          <w:lang w:val="en-US" w:eastAsia="zh-CN"/>
        </w:rPr>
        <w:t>15000</w:t>
      </w:r>
      <w:r>
        <w:rPr>
          <w:rFonts w:hint="eastAsia"/>
          <w:lang w:val="en-US" w:eastAsia="zh-CN"/>
        </w:rPr>
        <w:t>公顷，缓冲区</w:t>
      </w:r>
      <w:r>
        <w:rPr>
          <w:rFonts w:hint="default"/>
          <w:lang w:val="en-US" w:eastAsia="zh-CN"/>
        </w:rPr>
        <w:t>12000</w:t>
      </w:r>
      <w:r>
        <w:rPr>
          <w:rFonts w:hint="eastAsia"/>
          <w:lang w:val="en-US" w:eastAsia="zh-CN"/>
        </w:rPr>
        <w:t>公顷，实验区</w:t>
      </w:r>
      <w:r>
        <w:rPr>
          <w:rFonts w:hint="default"/>
          <w:lang w:val="en-US" w:eastAsia="zh-CN"/>
        </w:rPr>
        <w:t>16000</w:t>
      </w:r>
      <w:r>
        <w:rPr>
          <w:rFonts w:hint="eastAsia"/>
          <w:lang w:val="en-US" w:eastAsia="zh-CN"/>
        </w:rPr>
        <w:t>公顷。</w:t>
      </w:r>
    </w:p>
    <w:p>
      <w:pPr>
        <w:bidi w:val="0"/>
      </w:pPr>
      <w:r>
        <w:rPr>
          <w:rFonts w:hint="eastAsia"/>
          <w:lang w:val="en-US" w:eastAsia="zh-CN"/>
        </w:rPr>
        <w:t>横岭湖湖盆区为洞庭湖的一部分，由</w:t>
      </w:r>
      <w:r>
        <w:rPr>
          <w:rFonts w:hint="default"/>
          <w:lang w:val="en-US" w:eastAsia="zh-CN"/>
        </w:rPr>
        <w:t>24</w:t>
      </w:r>
      <w:r>
        <w:rPr>
          <w:rFonts w:hint="eastAsia"/>
          <w:lang w:val="en-US" w:eastAsia="zh-CN"/>
        </w:rPr>
        <w:t>个常年性湖泊和三大片季节性洲土组成，其中洲滩</w:t>
      </w:r>
      <w:r>
        <w:rPr>
          <w:rFonts w:hint="default"/>
          <w:lang w:val="en-US" w:eastAsia="zh-CN"/>
        </w:rPr>
        <w:t>0.6</w:t>
      </w:r>
      <w:r>
        <w:rPr>
          <w:rFonts w:hint="eastAsia"/>
          <w:lang w:val="en-US" w:eastAsia="zh-CN"/>
        </w:rPr>
        <w:t>公顷，永久性水面</w:t>
      </w:r>
      <w:r>
        <w:rPr>
          <w:rFonts w:hint="default"/>
          <w:lang w:val="en-US" w:eastAsia="zh-CN"/>
        </w:rPr>
        <w:t>1.5</w:t>
      </w:r>
      <w:r>
        <w:rPr>
          <w:rFonts w:hint="eastAsia"/>
          <w:lang w:val="en-US" w:eastAsia="zh-CN"/>
        </w:rPr>
        <w:t>公顷。横岭湖保护区位于南洞庭湖区，是从湘江进入到南洞庭湖的第一个大型湖区。横岭湖湿地是我国乃至国际典型的内陆淡水湖泊湿地生态系统类型，生物多样性丰富。区域内有浅水水体湿地、过水洲滩地和渍水低位田三种类型的湿地，分布有湿地植物</w:t>
      </w:r>
      <w:r>
        <w:rPr>
          <w:rFonts w:hint="default"/>
          <w:lang w:val="en-US" w:eastAsia="zh-CN"/>
        </w:rPr>
        <w:t>397</w:t>
      </w:r>
      <w:r>
        <w:rPr>
          <w:rFonts w:hint="eastAsia"/>
          <w:lang w:val="en-US" w:eastAsia="zh-CN"/>
        </w:rPr>
        <w:t>种，在青山岛上局部分布有我国重点保护野生植物、名贵中药蔓荆子。境内分布有各类野生动物</w:t>
      </w:r>
      <w:r>
        <w:rPr>
          <w:rFonts w:hint="default"/>
          <w:lang w:val="en-US" w:eastAsia="zh-CN"/>
        </w:rPr>
        <w:t>440</w:t>
      </w:r>
      <w:r>
        <w:rPr>
          <w:rFonts w:hint="eastAsia"/>
          <w:lang w:val="en-US" w:eastAsia="zh-CN"/>
        </w:rPr>
        <w:t>种（鸟类</w:t>
      </w:r>
      <w:r>
        <w:rPr>
          <w:rFonts w:hint="default"/>
          <w:lang w:val="en-US" w:eastAsia="zh-CN"/>
        </w:rPr>
        <w:t>207</w:t>
      </w:r>
      <w:r>
        <w:rPr>
          <w:rFonts w:hint="eastAsia"/>
          <w:lang w:val="en-US" w:eastAsia="zh-CN"/>
        </w:rPr>
        <w:t>种、鱼类</w:t>
      </w:r>
      <w:r>
        <w:rPr>
          <w:rFonts w:hint="default"/>
          <w:lang w:val="en-US" w:eastAsia="zh-CN"/>
        </w:rPr>
        <w:t>112</w:t>
      </w:r>
      <w:r>
        <w:rPr>
          <w:rFonts w:hint="eastAsia"/>
          <w:lang w:val="en-US" w:eastAsia="zh-CN"/>
        </w:rPr>
        <w:t>种），属国家重点保护的野生动物近</w:t>
      </w:r>
      <w:r>
        <w:rPr>
          <w:rFonts w:hint="default"/>
          <w:lang w:val="en-US" w:eastAsia="zh-CN"/>
        </w:rPr>
        <w:t>90</w:t>
      </w:r>
      <w:r>
        <w:rPr>
          <w:rFonts w:hint="eastAsia"/>
          <w:lang w:val="en-US" w:eastAsia="zh-CN"/>
        </w:rPr>
        <w:t>种，包括胭脂鱼在内的</w:t>
      </w:r>
      <w:r>
        <w:rPr>
          <w:rFonts w:hint="default"/>
          <w:lang w:val="en-US" w:eastAsia="zh-CN"/>
        </w:rPr>
        <w:t>4</w:t>
      </w:r>
      <w:r>
        <w:rPr>
          <w:rFonts w:hint="eastAsia"/>
          <w:lang w:val="en-US" w:eastAsia="zh-CN"/>
        </w:rPr>
        <w:t>种濒危鱼类生活在湖区，也有白鳍豚和蒋盾等具有全球重要意义的哺乳动物。横岭湖是亚洲最重要的候鸟越冬地之一，还是麋鹿自然野化种群的野放栖息地之一，同时也是西、南洞庭湖通往东洞庭湖的咽喉要道，是洞庭湖重要的行、蓄洪通道。丰水期，该湖区形成一个有一定水深的水域，是长江江豚生存的较理想场所。</w:t>
      </w:r>
    </w:p>
    <w:p>
      <w:pPr>
        <w:pStyle w:val="5"/>
        <w:rPr>
          <w:rFonts w:ascii="Times New Roman" w:hAnsi="Times New Roman" w:cs="Times New Roman" w:eastAsiaTheme="minorEastAsia"/>
          <w:b/>
          <w:caps w:val="0"/>
          <w:smallCaps w:val="0"/>
        </w:rPr>
      </w:pPr>
      <w:bookmarkStart w:id="71" w:name="_Toc12417"/>
      <w:r>
        <w:rPr>
          <w:rFonts w:ascii="Times New Roman" w:hAnsi="Times New Roman" w:cs="Times New Roman" w:eastAsiaTheme="minorEastAsia"/>
          <w:b/>
          <w:caps w:val="0"/>
          <w:smallCaps w:val="0"/>
        </w:rPr>
        <w:t>地表水环境现状调查与评价</w:t>
      </w:r>
      <w:bookmarkEnd w:id="71"/>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地表水环境现状调查</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水域功能</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本项目涉及的水系为</w:t>
      </w:r>
      <w:r>
        <w:rPr>
          <w:rFonts w:hint="eastAsia" w:ascii="Times New Roman" w:hAnsi="Times New Roman" w:cs="Times New Roman" w:eastAsiaTheme="minorEastAsia"/>
          <w:caps w:val="0"/>
          <w:smallCaps w:val="0"/>
          <w:color w:val="000000"/>
          <w:sz w:val="24"/>
          <w:szCs w:val="24"/>
        </w:rPr>
        <w:t>湘江</w:t>
      </w:r>
      <w:r>
        <w:rPr>
          <w:rFonts w:ascii="Times New Roman" w:hAnsi="Times New Roman" w:cs="Times New Roman" w:eastAsiaTheme="minorEastAsia"/>
          <w:caps w:val="0"/>
          <w:smallCaps w:val="0"/>
          <w:color w:val="000000"/>
          <w:sz w:val="24"/>
          <w:szCs w:val="24"/>
        </w:rPr>
        <w:t>，通过查阅《湖南省主要水系地表水环境功能区划》（DB43/023-2005）可知，评价范围内的地表水功能为渔业用水区，全长</w:t>
      </w:r>
      <w:r>
        <w:rPr>
          <w:rFonts w:hint="eastAsia" w:ascii="Times New Roman" w:hAnsi="Times New Roman" w:cs="Times New Roman" w:eastAsiaTheme="minorEastAsia"/>
          <w:caps w:val="0"/>
          <w:smallCaps w:val="0"/>
          <w:color w:val="000000"/>
          <w:sz w:val="24"/>
          <w:szCs w:val="24"/>
        </w:rPr>
        <w:t>62.7</w:t>
      </w:r>
      <w:r>
        <w:rPr>
          <w:rFonts w:ascii="Times New Roman" w:hAnsi="Times New Roman" w:cs="Times New Roman" w:eastAsiaTheme="minorEastAsia"/>
          <w:caps w:val="0"/>
          <w:smallCaps w:val="0"/>
          <w:color w:val="000000"/>
          <w:sz w:val="24"/>
          <w:szCs w:val="24"/>
        </w:rPr>
        <w:t>km，流经</w:t>
      </w:r>
      <w:r>
        <w:rPr>
          <w:rFonts w:hint="eastAsia" w:ascii="Times New Roman" w:hAnsi="Times New Roman" w:cs="Times New Roman" w:eastAsiaTheme="minorEastAsia"/>
          <w:caps w:val="0"/>
          <w:smallCaps w:val="0"/>
          <w:color w:val="000000"/>
          <w:sz w:val="24"/>
          <w:szCs w:val="24"/>
        </w:rPr>
        <w:t>汨罗市</w:t>
      </w:r>
      <w:r>
        <w:rPr>
          <w:rFonts w:ascii="Times New Roman" w:hAnsi="Times New Roman" w:cs="Times New Roman" w:eastAsiaTheme="minorEastAsia"/>
          <w:caps w:val="0"/>
          <w:smallCaps w:val="0"/>
          <w:color w:val="000000"/>
          <w:sz w:val="24"/>
          <w:szCs w:val="24"/>
        </w:rPr>
        <w:t>、</w:t>
      </w:r>
      <w:r>
        <w:rPr>
          <w:rFonts w:hint="eastAsia" w:ascii="Times New Roman" w:hAnsi="Times New Roman" w:cs="Times New Roman" w:eastAsiaTheme="minorEastAsia"/>
          <w:caps w:val="0"/>
          <w:smallCaps w:val="0"/>
          <w:color w:val="000000"/>
          <w:sz w:val="24"/>
          <w:szCs w:val="24"/>
        </w:rPr>
        <w:t>湘阴县</w:t>
      </w:r>
      <w:r>
        <w:rPr>
          <w:rFonts w:ascii="Times New Roman" w:hAnsi="Times New Roman" w:cs="Times New Roman" w:eastAsiaTheme="minorEastAsia"/>
          <w:caps w:val="0"/>
          <w:smallCaps w:val="0"/>
          <w:color w:val="000000"/>
          <w:sz w:val="24"/>
          <w:szCs w:val="24"/>
        </w:rPr>
        <w:t>和</w:t>
      </w:r>
      <w:r>
        <w:rPr>
          <w:rFonts w:hint="eastAsia" w:ascii="Times New Roman" w:hAnsi="Times New Roman" w:cs="Times New Roman" w:eastAsiaTheme="minorEastAsia"/>
          <w:caps w:val="0"/>
          <w:smallCaps w:val="0"/>
          <w:color w:val="000000"/>
          <w:sz w:val="24"/>
          <w:szCs w:val="24"/>
        </w:rPr>
        <w:t>屈原管理区</w:t>
      </w:r>
      <w:r>
        <w:rPr>
          <w:rFonts w:ascii="Times New Roman" w:hAnsi="Times New Roman" w:cs="Times New Roman" w:eastAsiaTheme="minorEastAsia"/>
          <w:caps w:val="0"/>
          <w:smallCaps w:val="0"/>
          <w:color w:val="000000"/>
          <w:sz w:val="24"/>
          <w:szCs w:val="24"/>
        </w:rPr>
        <w:t>，水域范围从</w:t>
      </w:r>
      <w:r>
        <w:rPr>
          <w:rFonts w:hint="eastAsia" w:ascii="Times New Roman" w:hAnsi="Times New Roman" w:cs="Times New Roman" w:eastAsiaTheme="minorEastAsia"/>
          <w:caps w:val="0"/>
          <w:smallCaps w:val="0"/>
          <w:color w:val="000000"/>
          <w:sz w:val="24"/>
          <w:szCs w:val="24"/>
        </w:rPr>
        <w:t>洋沙湖下游200米</w:t>
      </w:r>
      <w:r>
        <w:rPr>
          <w:rFonts w:ascii="Times New Roman" w:hAnsi="Times New Roman" w:cs="Times New Roman" w:eastAsiaTheme="minorEastAsia"/>
          <w:caps w:val="0"/>
          <w:smallCaps w:val="0"/>
          <w:color w:val="000000"/>
          <w:sz w:val="24"/>
          <w:szCs w:val="24"/>
        </w:rPr>
        <w:t>至</w:t>
      </w:r>
      <w:r>
        <w:rPr>
          <w:rFonts w:hint="eastAsia" w:ascii="Times New Roman" w:hAnsi="Times New Roman" w:cs="Times New Roman" w:eastAsiaTheme="minorEastAsia"/>
          <w:caps w:val="0"/>
          <w:smallCaps w:val="0"/>
          <w:color w:val="000000"/>
          <w:sz w:val="24"/>
          <w:szCs w:val="24"/>
        </w:rPr>
        <w:t>磊石（东支）</w:t>
      </w:r>
      <w:r>
        <w:rPr>
          <w:rFonts w:ascii="Times New Roman" w:hAnsi="Times New Roman" w:cs="Times New Roman" w:eastAsiaTheme="minorEastAsia"/>
          <w:caps w:val="0"/>
          <w:smallCaps w:val="0"/>
          <w:color w:val="000000"/>
          <w:sz w:val="24"/>
          <w:szCs w:val="24"/>
        </w:rPr>
        <w:t>，拟建码头所处水域位于该段水域，执行《地表水环境质量标准》（GB3838-2002）</w:t>
      </w:r>
      <w:r>
        <w:rPr>
          <w:rFonts w:hint="eastAsia" w:ascii="Times New Roman" w:hAnsi="Times New Roman" w:cs="Times New Roman"/>
          <w:caps w:val="0"/>
          <w:smallCaps w:val="0"/>
          <w:color w:val="000000"/>
          <w:sz w:val="24"/>
          <w:szCs w:val="24"/>
        </w:rPr>
        <w:t>Ⅲ</w:t>
      </w:r>
      <w:r>
        <w:rPr>
          <w:rFonts w:ascii="Times New Roman" w:hAnsi="Times New Roman" w:cs="Times New Roman" w:eastAsiaTheme="minorEastAsia"/>
          <w:caps w:val="0"/>
          <w:smallCaps w:val="0"/>
          <w:color w:val="000000"/>
          <w:sz w:val="24"/>
          <w:szCs w:val="24"/>
        </w:rPr>
        <w:t>类水质标准。</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饮用水源调查</w:t>
      </w:r>
    </w:p>
    <w:p>
      <w:pPr>
        <w:pStyle w:val="135"/>
        <w:spacing w:line="276" w:lineRule="auto"/>
        <w:jc w:val="center"/>
        <w:rPr>
          <w:rFonts w:ascii="Times New Roman" w:hAnsi="Times New Roman" w:cs="Times New Roman"/>
          <w:caps w:val="0"/>
          <w:smallCaps w:val="0"/>
        </w:rPr>
      </w:pPr>
      <w:r>
        <w:rPr>
          <w:rFonts w:ascii="Times New Roman" w:hAnsi="Times New Roman" w:cs="Times New Roman"/>
          <w:bCs w:val="0"/>
          <w:caps w:val="0"/>
          <w:smallCaps w:val="0"/>
          <w:sz w:val="24"/>
          <w:szCs w:val="24"/>
        </w:rPr>
        <w:t>表4.</w:t>
      </w:r>
      <w:r>
        <w:rPr>
          <w:rFonts w:hint="eastAsia" w:ascii="Times New Roman" w:hAnsi="Times New Roman" w:cs="Times New Roman"/>
          <w:bCs w:val="0"/>
          <w:caps w:val="0"/>
          <w:smallCaps w:val="0"/>
          <w:sz w:val="24"/>
          <w:szCs w:val="24"/>
          <w:lang w:val="en-US" w:eastAsia="zh-CN"/>
        </w:rPr>
        <w:t>3</w:t>
      </w:r>
      <w:r>
        <w:rPr>
          <w:rFonts w:ascii="Times New Roman" w:hAnsi="Times New Roman" w:cs="Times New Roman"/>
          <w:bCs w:val="0"/>
          <w:caps w:val="0"/>
          <w:smallCaps w:val="0"/>
          <w:sz w:val="24"/>
          <w:szCs w:val="24"/>
        </w:rPr>
        <w:t>-1本项目</w:t>
      </w:r>
      <w:r>
        <w:rPr>
          <w:rFonts w:hint="eastAsia" w:ascii="Times New Roman" w:hAnsi="Times New Roman" w:cs="Times New Roman"/>
          <w:bCs w:val="0"/>
          <w:caps w:val="0"/>
          <w:smallCaps w:val="0"/>
          <w:sz w:val="24"/>
          <w:szCs w:val="24"/>
          <w:lang w:val="en-US" w:eastAsia="zh-CN"/>
        </w:rPr>
        <w:t>周边</w:t>
      </w:r>
      <w:r>
        <w:rPr>
          <w:rFonts w:ascii="Times New Roman" w:hAnsi="Times New Roman" w:cs="Times New Roman"/>
          <w:bCs w:val="0"/>
          <w:caps w:val="0"/>
          <w:smallCaps w:val="0"/>
          <w:sz w:val="24"/>
          <w:szCs w:val="24"/>
        </w:rPr>
        <w:t>取水口分布情况一览表</w:t>
      </w:r>
    </w:p>
    <w:tbl>
      <w:tblPr>
        <w:tblStyle w:val="71"/>
        <w:tblW w:w="5016"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703"/>
        <w:gridCol w:w="1700"/>
        <w:gridCol w:w="3263"/>
        <w:gridCol w:w="3393"/>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50" w:hRule="atLeast"/>
          <w:jc w:val="center"/>
        </w:trPr>
        <w:tc>
          <w:tcPr>
            <w:tcW w:w="388"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938"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名称</w:t>
            </w:r>
          </w:p>
        </w:tc>
        <w:tc>
          <w:tcPr>
            <w:tcW w:w="1800"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相对位置</w:t>
            </w:r>
          </w:p>
        </w:tc>
        <w:tc>
          <w:tcPr>
            <w:tcW w:w="1872"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规模与环境特征</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33" w:hRule="atLeast"/>
          <w:jc w:val="center"/>
        </w:trPr>
        <w:tc>
          <w:tcPr>
            <w:tcW w:w="388"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938"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湘江鸡啼湖段屈原管理区集中式饮用水水源地</w:t>
            </w:r>
          </w:p>
        </w:tc>
        <w:tc>
          <w:tcPr>
            <w:tcW w:w="1800"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根据湘环函</w:t>
            </w:r>
            <w:r>
              <w:rPr>
                <w:rFonts w:ascii="Times New Roman" w:hAnsi="Times New Roman" w:cs="Times New Roman"/>
                <w:caps w:val="0"/>
                <w:smallCaps w:val="0"/>
              </w:rPr>
              <w:t>〔</w:t>
            </w:r>
            <w:r>
              <w:rPr>
                <w:rFonts w:hint="eastAsia" w:ascii="Times New Roman" w:hAnsi="Times New Roman" w:cs="Times New Roman"/>
                <w:caps w:val="0"/>
                <w:smallCaps w:val="0"/>
              </w:rPr>
              <w:t>2018〕22号</w:t>
            </w:r>
            <w:r>
              <w:rPr>
                <w:rFonts w:ascii="Times New Roman" w:hAnsi="Times New Roman" w:cs="Times New Roman"/>
                <w:caps w:val="0"/>
                <w:smallCaps w:val="0"/>
              </w:rPr>
              <w:t>文，该取水口</w:t>
            </w:r>
            <w:r>
              <w:rPr>
                <w:rFonts w:hint="eastAsia" w:ascii="Times New Roman" w:hAnsi="Times New Roman" w:cs="Times New Roman"/>
                <w:caps w:val="0"/>
                <w:smallCaps w:val="0"/>
              </w:rPr>
              <w:t>实际</w:t>
            </w:r>
            <w:r>
              <w:rPr>
                <w:rFonts w:ascii="Times New Roman" w:hAnsi="Times New Roman" w:cs="Times New Roman"/>
                <w:caps w:val="0"/>
                <w:smallCaps w:val="0"/>
              </w:rPr>
              <w:t>坐标为</w:t>
            </w:r>
            <w:r>
              <w:rPr>
                <w:rFonts w:hint="eastAsia" w:ascii="Times New Roman" w:hAnsi="Times New Roman" w:cs="Times New Roman"/>
                <w:caps w:val="0"/>
                <w:smallCaps w:val="0"/>
              </w:rPr>
              <w:t>东经112°50´24.3"，北纬28°45´18.4"，离东岸堤脚约150米</w:t>
            </w:r>
            <w:r>
              <w:rPr>
                <w:rFonts w:ascii="Times New Roman" w:hAnsi="Times New Roman" w:cs="Times New Roman"/>
                <w:caps w:val="0"/>
                <w:smallCaps w:val="0"/>
              </w:rPr>
              <w:t>。</w:t>
            </w:r>
            <w:r>
              <w:rPr>
                <w:rFonts w:hint="eastAsia" w:ascii="Times New Roman" w:hAnsi="Times New Roman" w:cs="Times New Roman"/>
                <w:caps w:val="0"/>
                <w:smallCaps w:val="0"/>
              </w:rPr>
              <w:t>根据</w:t>
            </w:r>
            <w:r>
              <w:rPr>
                <w:rFonts w:ascii="Times New Roman" w:hAnsi="Times New Roman" w:cs="Times New Roman"/>
                <w:caps w:val="0"/>
                <w:smallCaps w:val="0"/>
              </w:rPr>
              <w:t>实际坐标位置，按照《岳</w:t>
            </w:r>
            <w:r>
              <w:rPr>
                <w:rFonts w:hint="eastAsia" w:ascii="Times New Roman" w:hAnsi="Times New Roman" w:cs="Times New Roman"/>
                <w:caps w:val="0"/>
                <w:smallCaps w:val="0"/>
              </w:rPr>
              <w:t>湘江鸡啼湖段屈原管理区集中式饮用水水源</w:t>
            </w:r>
            <w:r>
              <w:rPr>
                <w:rFonts w:ascii="Times New Roman" w:hAnsi="Times New Roman" w:cs="Times New Roman"/>
                <w:caps w:val="0"/>
                <w:smallCaps w:val="0"/>
              </w:rPr>
              <w:t>保护区划分技术报告》</w:t>
            </w:r>
            <w:r>
              <w:rPr>
                <w:rFonts w:hint="eastAsia" w:ascii="Times New Roman" w:hAnsi="Times New Roman" w:cs="Times New Roman"/>
                <w:caps w:val="0"/>
                <w:smallCaps w:val="0"/>
              </w:rPr>
              <w:t>的</w:t>
            </w:r>
            <w:r>
              <w:rPr>
                <w:rFonts w:ascii="Times New Roman" w:hAnsi="Times New Roman" w:cs="Times New Roman"/>
                <w:caps w:val="0"/>
                <w:smallCaps w:val="0"/>
              </w:rPr>
              <w:t>划分方案，该水源地二级保护区下边界与本项目的上边界最近直线距离约</w:t>
            </w:r>
            <w:r>
              <w:rPr>
                <w:rFonts w:hint="eastAsia" w:ascii="Times New Roman" w:hAnsi="Times New Roman" w:cs="Times New Roman"/>
                <w:caps w:val="0"/>
                <w:smallCaps w:val="0"/>
              </w:rPr>
              <w:t>15K</w:t>
            </w:r>
            <w:r>
              <w:rPr>
                <w:rFonts w:ascii="Times New Roman" w:hAnsi="Times New Roman" w:cs="Times New Roman"/>
                <w:caps w:val="0"/>
                <w:smallCaps w:val="0"/>
              </w:rPr>
              <w:t>m，</w:t>
            </w:r>
            <w:r>
              <w:rPr>
                <w:rFonts w:hint="eastAsia" w:ascii="Times New Roman" w:hAnsi="Times New Roman" w:cs="Times New Roman"/>
                <w:caps w:val="0"/>
                <w:smallCaps w:val="0"/>
              </w:rPr>
              <w:t>本项目</w:t>
            </w:r>
            <w:r>
              <w:rPr>
                <w:rFonts w:ascii="Times New Roman" w:hAnsi="Times New Roman" w:cs="Times New Roman"/>
                <w:caps w:val="0"/>
                <w:smallCaps w:val="0"/>
              </w:rPr>
              <w:t>不涉及</w:t>
            </w:r>
            <w:r>
              <w:rPr>
                <w:rFonts w:hint="eastAsia" w:ascii="Times New Roman" w:hAnsi="Times New Roman" w:cs="Times New Roman"/>
                <w:caps w:val="0"/>
                <w:smallCaps w:val="0"/>
              </w:rPr>
              <w:t>水源地</w:t>
            </w:r>
            <w:r>
              <w:rPr>
                <w:rFonts w:ascii="Times New Roman" w:hAnsi="Times New Roman" w:cs="Times New Roman"/>
                <w:caps w:val="0"/>
                <w:smallCaps w:val="0"/>
              </w:rPr>
              <w:t>保护区</w:t>
            </w:r>
            <w:r>
              <w:rPr>
                <w:rFonts w:hint="eastAsia" w:ascii="Times New Roman" w:hAnsi="Times New Roman" w:cs="Times New Roman"/>
                <w:caps w:val="0"/>
                <w:smallCaps w:val="0"/>
              </w:rPr>
              <w:t>范围</w:t>
            </w:r>
            <w:r>
              <w:rPr>
                <w:rFonts w:ascii="Times New Roman" w:hAnsi="Times New Roman" w:cs="Times New Roman"/>
                <w:caps w:val="0"/>
                <w:smallCaps w:val="0"/>
              </w:rPr>
              <w:t>，见附图14</w:t>
            </w:r>
          </w:p>
        </w:tc>
        <w:tc>
          <w:tcPr>
            <w:tcW w:w="1872" w:type="pct"/>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该取水口取水水量为360万m</w:t>
            </w:r>
            <w:r>
              <w:rPr>
                <w:rFonts w:hint="eastAsia" w:ascii="Times New Roman" w:hAnsi="Times New Roman" w:cs="Times New Roman"/>
                <w:caps w:val="0"/>
                <w:smallCaps w:val="0"/>
                <w:vertAlign w:val="superscript"/>
              </w:rPr>
              <w:t>3</w:t>
            </w:r>
            <w:r>
              <w:rPr>
                <w:rFonts w:hint="eastAsia" w:ascii="Times New Roman" w:hAnsi="Times New Roman" w:cs="Times New Roman"/>
                <w:caps w:val="0"/>
                <w:smallCaps w:val="0"/>
              </w:rPr>
              <w:t>/a，服务范围为屈原管理区的所有乡镇（营田镇、河市镇、黄金乡、凤凰乡、琴棋乡和天问街道办事处）</w:t>
            </w:r>
          </w:p>
          <w:p>
            <w:pPr>
              <w:pStyle w:val="117"/>
              <w:bidi w:val="0"/>
              <w:rPr>
                <w:rFonts w:ascii="Times New Roman" w:hAnsi="Times New Roman" w:cs="Times New Roman"/>
                <w:caps w:val="0"/>
                <w:smallCaps w:val="0"/>
              </w:rPr>
            </w:pPr>
          </w:p>
        </w:tc>
      </w:tr>
    </w:tbl>
    <w:p>
      <w:pPr>
        <w:snapToGrid w:val="0"/>
        <w:spacing w:line="360" w:lineRule="auto"/>
        <w:ind w:firstLine="440" w:firstLineChars="200"/>
        <w:rPr>
          <w:rFonts w:ascii="Times New Roman" w:hAnsi="Times New Roman" w:cs="Times New Roman" w:eastAsiaTheme="minorEastAsia"/>
          <w:caps w:val="0"/>
          <w:smallCaps w:val="0"/>
          <w:color w:val="000000"/>
          <w:kern w:val="0"/>
          <w:sz w:val="22"/>
          <w:szCs w:val="22"/>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区域水环境质量现状</w:t>
      </w:r>
    </w:p>
    <w:p>
      <w:pPr>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本项目纳污水体为湘江，且位于湘江右岸，本项目引用2</w:t>
      </w:r>
      <w:r>
        <w:rPr>
          <w:rFonts w:hint="eastAsia" w:cs="Times New Roman" w:eastAsiaTheme="minorEastAsia"/>
          <w:caps w:val="0"/>
          <w:smallCaps w:val="0"/>
          <w:color w:val="000000" w:themeColor="text1"/>
          <w:sz w:val="24"/>
          <w:szCs w:val="24"/>
          <w:lang w:val="en-US" w:eastAsia="zh-CN"/>
          <w14:textFill>
            <w14:solidFill>
              <w14:schemeClr w14:val="tx1"/>
            </w14:solidFill>
          </w14:textFill>
        </w:rPr>
        <w:t>020</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年湘江常规监测断面上游屈原自来水厂断面（屈原管理区原取水口）、下游磊石断面监测数据进行评价，湘江阳沙湖至磊石段水质执行《地表水环境质量标准》（GB3838-2002）中Ⅲ类标准，本项目位于湘江磊石断面上游19Km，执行《地表水环境质量标准》（GB3838-2002）中Ⅲ类标准（SS参照执行《地表水资源质量标准》（SL63-94）限值）。</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监测数据收集</w:t>
      </w:r>
    </w:p>
    <w:p>
      <w:pPr>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本评价收集了</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湘</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江常规监测断面-</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屈原自来水厂</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断面和</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磊石</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断面20</w:t>
      </w:r>
      <w:r>
        <w:rPr>
          <w:rFonts w:hint="eastAsia" w:cs="Times New Roman" w:eastAsiaTheme="minorEastAsia"/>
          <w:caps w:val="0"/>
          <w:smallCaps w:val="0"/>
          <w:color w:val="000000" w:themeColor="text1"/>
          <w:sz w:val="24"/>
          <w:szCs w:val="24"/>
          <w:lang w:val="en-US" w:eastAsia="zh-CN"/>
          <w14:textFill>
            <w14:solidFill>
              <w14:schemeClr w14:val="tx1"/>
            </w14:solidFill>
          </w14:textFill>
        </w:rPr>
        <w:t>20</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年的水质监测资料，监测因子包括pH值、溶解氧、化学需氧量、</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五日生化需氧量</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、氨氮、总磷、铜、锌、氟化物、硒、砷、汞、镉、六价铬、铅、氰化物、挥发酚、石油类、阴离子表面活性剂和硫化物。监测统计结果见表4.</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-2。</w:t>
      </w:r>
    </w:p>
    <w:p>
      <w:pPr>
        <w:snapToGrid w:val="0"/>
        <w:spacing w:line="276" w:lineRule="auto"/>
        <w:jc w:val="center"/>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表4.</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3</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-2</w:t>
      </w:r>
      <w:r>
        <w:rPr>
          <w:rFonts w:ascii="Times New Roman" w:hAnsi="Times New Roman" w:cs="Times New Roman" w:eastAsiaTheme="minorEastAsia"/>
          <w:b/>
          <w:bCs/>
          <w:caps w:val="0"/>
          <w:smallCaps w:val="0"/>
          <w:color w:val="000000" w:themeColor="text1"/>
          <w:sz w:val="24"/>
          <w:szCs w:val="24"/>
          <w14:textFill>
            <w14:solidFill>
              <w14:schemeClr w14:val="tx1"/>
            </w14:solidFill>
          </w14:textFill>
        </w:rPr>
        <w:t>常规监测数据（</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2020年</w:t>
      </w:r>
      <w:r>
        <w:rPr>
          <w:rFonts w:ascii="Times New Roman" w:hAnsi="Times New Roman" w:cs="Times New Roman" w:eastAsiaTheme="minorEastAsia"/>
          <w:b/>
          <w:bCs/>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单位：mg/L</w:t>
      </w:r>
    </w:p>
    <w:tbl>
      <w:tblPr>
        <w:tblStyle w:val="71"/>
        <w:tblW w:w="9078"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707"/>
        <w:gridCol w:w="1986"/>
        <w:gridCol w:w="2306"/>
        <w:gridCol w:w="207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587" w:hRule="atLeast"/>
          <w:tblHeader/>
          <w:jc w:val="center"/>
        </w:trPr>
        <w:tc>
          <w:tcPr>
            <w:tcW w:w="2707" w:type="dxa"/>
            <w:tcBorders>
              <w:tl2br w:val="single" w:color="auto" w:sz="12" w:space="0"/>
            </w:tcBorders>
            <w:tcMar>
              <w:left w:w="0" w:type="dxa"/>
              <w:right w:w="0" w:type="dxa"/>
            </w:tcMar>
            <w:vAlign w:val="center"/>
          </w:tcPr>
          <w:p>
            <w:pPr>
              <w:pStyle w:val="117"/>
              <w:bidi w:val="0"/>
              <w:jc w:val="right"/>
              <w:rPr>
                <w:rFonts w:ascii="Times New Roman" w:hAnsi="Times New Roman" w:cs="Times New Roman"/>
                <w:caps w:val="0"/>
                <w:smallCaps w:val="0"/>
              </w:rPr>
            </w:pPr>
            <w:r>
              <w:rPr>
                <w:rFonts w:ascii="Times New Roman" w:hAnsi="Times New Roman" w:cs="Times New Roman"/>
                <w:caps w:val="0"/>
                <w:smallCaps w:val="0"/>
              </w:rPr>
              <w:t>项目</w:t>
            </w:r>
          </w:p>
          <w:p>
            <w:pPr>
              <w:pStyle w:val="117"/>
              <w:tabs>
                <w:tab w:val="left" w:pos="910"/>
                <w:tab w:val="center" w:pos="1613"/>
              </w:tabs>
              <w:bidi w:val="0"/>
              <w:ind w:firstLine="210" w:firstLineChars="100"/>
              <w:jc w:val="both"/>
              <w:rPr>
                <w:rFonts w:ascii="Times New Roman" w:hAnsi="Times New Roman" w:cs="Times New Roman"/>
                <w:caps w:val="0"/>
                <w:smallCaps w:val="0"/>
              </w:rPr>
            </w:pPr>
            <w:r>
              <w:rPr>
                <w:rFonts w:ascii="Times New Roman" w:hAnsi="Times New Roman" w:cs="Times New Roman"/>
                <w:caps w:val="0"/>
                <w:smallCaps w:val="0"/>
              </w:rPr>
              <w:t>监测因子</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磊石断面</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屈原自来水厂断面</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标准值（</w:t>
            </w:r>
            <w:r>
              <w:rPr>
                <w:rFonts w:hint="eastAsia" w:ascii="Times New Roman" w:hAnsi="Times New Roman" w:cs="Times New Roman"/>
                <w:caps w:val="0"/>
                <w:smallCaps w:val="0"/>
              </w:rPr>
              <w:t>Ⅲ</w:t>
            </w:r>
            <w:r>
              <w:rPr>
                <w:rFonts w:ascii="Times New Roman" w:hAnsi="Times New Roman" w:cs="Times New Roman"/>
                <w:caps w:val="0"/>
                <w:smallCaps w:val="0"/>
              </w:rPr>
              <w:t>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pH</w:t>
            </w:r>
            <w:r>
              <w:rPr>
                <w:rFonts w:hint="eastAsia" w:ascii="Times New Roman" w:hAnsi="Times New Roman" w:cs="Times New Roman"/>
                <w:caps w:val="0"/>
                <w:smallCaps w:val="0"/>
              </w:rPr>
              <w:t>值</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7.0</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7.0</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溶解氧</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7.8</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7.6</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高锰酸盐指数</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2.9</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2.4</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五日生化</w:t>
            </w:r>
            <w:r>
              <w:rPr>
                <w:rFonts w:ascii="Times New Roman" w:hAnsi="Times New Roman" w:cs="Times New Roman"/>
                <w:caps w:val="0"/>
                <w:smallCaps w:val="0"/>
              </w:rPr>
              <w:t>需氧量</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0.7</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0.8</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293"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氨氮</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0.08</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0.1</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石油类</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0.01L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0.01L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挥发酚</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0.0003L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0.0003L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汞</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0.00004L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0.00004L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铅</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0.002L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0.002L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化学</w:t>
            </w:r>
            <w:r>
              <w:rPr>
                <w:rFonts w:ascii="Times New Roman" w:hAnsi="Times New Roman" w:cs="Times New Roman"/>
                <w:caps w:val="0"/>
                <w:smallCaps w:val="0"/>
              </w:rPr>
              <w:t>需氧量</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11.9</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7.3</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总磷</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0.05</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0.051</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铜</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0.001</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0.002</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锌</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0.05L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0.05L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氟化物</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0.2</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0.23</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硒</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0.0004L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0.0004L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砷</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0.01</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0.003</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镉</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0.0001L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0.0001L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六价铬</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0.004L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0.004L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82"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氰化物</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0.001L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0.001L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阴离子表面活性剂</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0.05L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0.05L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硫化物</w:t>
            </w:r>
          </w:p>
        </w:tc>
        <w:tc>
          <w:tcPr>
            <w:tcW w:w="198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0.005L</w:t>
            </w:r>
          </w:p>
        </w:tc>
        <w:tc>
          <w:tcPr>
            <w:tcW w:w="2306"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0.005L</w:t>
            </w:r>
          </w:p>
        </w:tc>
        <w:tc>
          <w:tcPr>
            <w:tcW w:w="2079"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trHeight w:val="278" w:hRule="atLeast"/>
          <w:jc w:val="center"/>
        </w:trPr>
        <w:tc>
          <w:tcPr>
            <w:tcW w:w="2707" w:type="dxa"/>
            <w:tcBorders>
              <w:tl2br w:val="nil"/>
              <w:tr2bl w:val="nil"/>
            </w:tcBorders>
            <w:tcMar>
              <w:left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总氮</w:t>
            </w:r>
          </w:p>
        </w:tc>
        <w:tc>
          <w:tcPr>
            <w:tcW w:w="1986" w:type="dxa"/>
            <w:tcBorders>
              <w:tl2br w:val="nil"/>
              <w:tr2bl w:val="nil"/>
            </w:tcBorders>
            <w:tcMar>
              <w:left w:w="0" w:type="dxa"/>
              <w:right w:w="0" w:type="dxa"/>
            </w:tcMar>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1.92</w:t>
            </w:r>
          </w:p>
        </w:tc>
        <w:tc>
          <w:tcPr>
            <w:tcW w:w="2306" w:type="dxa"/>
            <w:tcBorders>
              <w:tl2br w:val="nil"/>
              <w:tr2bl w:val="nil"/>
            </w:tcBorders>
            <w:tcMar>
              <w:left w:w="0" w:type="dxa"/>
              <w:right w:w="0" w:type="dxa"/>
            </w:tcMar>
            <w:vAlign w:val="center"/>
          </w:tcPr>
          <w:p>
            <w:pPr>
              <w:pStyle w:val="117"/>
              <w:bidi w:val="0"/>
              <w:rPr>
                <w:rFonts w:hint="eastAsia" w:ascii="Times New Roman" w:hAnsi="Times New Roman" w:cs="Times New Roman"/>
                <w:caps w:val="0"/>
                <w:smallCaps w:val="0"/>
              </w:rPr>
            </w:pPr>
            <w:r>
              <w:rPr>
                <w:rFonts w:hint="eastAsia" w:ascii="Times New Roman" w:hAnsi="Times New Roman" w:cs="Times New Roman"/>
                <w:caps w:val="0"/>
                <w:smallCaps w:val="0"/>
              </w:rPr>
              <w:t>2.01</w:t>
            </w:r>
          </w:p>
        </w:tc>
        <w:tc>
          <w:tcPr>
            <w:tcW w:w="2079" w:type="dxa"/>
            <w:tcBorders>
              <w:tl2br w:val="nil"/>
              <w:tr2bl w:val="nil"/>
            </w:tcBorders>
            <w:tcMar>
              <w:left w:w="0" w:type="dxa"/>
              <w:right w:w="0" w:type="dxa"/>
            </w:tcMar>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cantSplit/>
          <w:trHeight w:val="356" w:hRule="atLeast"/>
          <w:jc w:val="center"/>
        </w:trPr>
        <w:tc>
          <w:tcPr>
            <w:tcW w:w="2707" w:type="dxa"/>
            <w:tcBorders>
              <w:tl2br w:val="nil"/>
              <w:tr2bl w:val="nil"/>
            </w:tcBorders>
            <w:tcMar>
              <w:left w:w="0" w:type="dxa"/>
              <w:right w:w="0" w:type="dxa"/>
            </w:tcMar>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悬浮物</w:t>
            </w:r>
          </w:p>
        </w:tc>
        <w:tc>
          <w:tcPr>
            <w:tcW w:w="1986" w:type="dxa"/>
            <w:tcBorders>
              <w:tl2br w:val="nil"/>
              <w:tr2bl w:val="nil"/>
            </w:tcBorders>
            <w:tcMar>
              <w:left w:w="0" w:type="dxa"/>
              <w:right w:w="0" w:type="dxa"/>
            </w:tcMar>
            <w:vAlign w:val="center"/>
          </w:tcPr>
          <w:p>
            <w:pPr>
              <w:pStyle w:val="117"/>
              <w:bidi w:val="0"/>
              <w:rPr>
                <w:rFonts w:hint="default" w:ascii="Times New Roman" w:hAnsi="Times New Roman" w:cs="Times New Roman"/>
                <w:caps w:val="0"/>
                <w:smallCaps w:val="0"/>
                <w:u w:val="single"/>
                <w:lang w:val="en-US"/>
              </w:rPr>
            </w:pPr>
            <w:r>
              <w:rPr>
                <w:rFonts w:hint="eastAsia" w:ascii="Times New Roman" w:hAnsi="Times New Roman" w:cs="Times New Roman"/>
                <w:caps w:val="0"/>
                <w:smallCaps w:val="0"/>
                <w:u w:val="single"/>
                <w:lang w:val="en-US" w:eastAsia="zh-CN"/>
              </w:rPr>
              <w:t>11</w:t>
            </w:r>
          </w:p>
        </w:tc>
        <w:tc>
          <w:tcPr>
            <w:tcW w:w="2306" w:type="dxa"/>
            <w:tcBorders>
              <w:tl2br w:val="nil"/>
              <w:tr2bl w:val="nil"/>
            </w:tcBorders>
            <w:tcMar>
              <w:left w:w="0" w:type="dxa"/>
              <w:right w:w="0" w:type="dxa"/>
            </w:tcMar>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w:t>
            </w:r>
          </w:p>
        </w:tc>
        <w:tc>
          <w:tcPr>
            <w:tcW w:w="2079" w:type="dxa"/>
            <w:tcBorders>
              <w:tl2br w:val="nil"/>
              <w:tr2bl w:val="nil"/>
            </w:tcBorders>
            <w:tcMar>
              <w:left w:w="0" w:type="dxa"/>
              <w:right w:w="0" w:type="dxa"/>
            </w:tcMar>
            <w:vAlign w:val="center"/>
          </w:tcPr>
          <w:p>
            <w:pPr>
              <w:pStyle w:val="117"/>
              <w:bidi w:val="0"/>
              <w:rPr>
                <w:rFonts w:hint="default"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w:t>
            </w:r>
          </w:p>
        </w:tc>
      </w:tr>
    </w:tbl>
    <w:p>
      <w:pPr>
        <w:adjustRightInd w:val="0"/>
        <w:snapToGrid w:val="0"/>
        <w:rPr>
          <w:rFonts w:ascii="Times New Roman" w:hAnsi="Times New Roman" w:cs="Times New Roman" w:eastAsiaTheme="minorEastAsia"/>
          <w:caps w:val="0"/>
          <w:smallCaps w:val="0"/>
          <w:color w:val="FF0000"/>
          <w:sz w:val="24"/>
          <w:szCs w:val="24"/>
        </w:rPr>
      </w:pP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由上表可知，20</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20</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年城</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上游屈原自来水厂断面（屈原管理区原取水口）、下游磊石断面监测数据</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均符合《地表水环境质量标准》（GB3838-2002）中的</w:t>
      </w:r>
      <w:r>
        <w:rPr>
          <w:rFonts w:hint="eastAsia" w:ascii="Times New Roman" w:hAnsi="Times New Roman" w:cs="Times New Roman"/>
          <w:caps w:val="0"/>
          <w:smallCaps w:val="0"/>
          <w:color w:val="000000" w:themeColor="text1"/>
          <w:sz w:val="24"/>
          <w:szCs w:val="24"/>
          <w14:textFill>
            <w14:solidFill>
              <w14:schemeClr w14:val="tx1"/>
            </w14:solidFill>
          </w14:textFill>
        </w:rPr>
        <w:t>Ⅲ</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类水质标准。</w:t>
      </w:r>
    </w:p>
    <w:p>
      <w:pPr>
        <w:pStyle w:val="5"/>
        <w:bidi w:val="0"/>
        <w:rPr>
          <w:rFonts w:ascii="Times New Roman" w:hAnsi="Times New Roman" w:cs="Times New Roman"/>
          <w:caps w:val="0"/>
          <w:smallCaps w:val="0"/>
        </w:rPr>
      </w:pPr>
      <w:bookmarkStart w:id="72" w:name="_Toc21931"/>
      <w:r>
        <w:rPr>
          <w:rFonts w:ascii="Times New Roman" w:hAnsi="Times New Roman" w:cs="Times New Roman"/>
          <w:caps w:val="0"/>
          <w:smallCaps w:val="0"/>
        </w:rPr>
        <w:t>地下水环境现状调查与评价</w:t>
      </w:r>
      <w:bookmarkEnd w:id="72"/>
    </w:p>
    <w:p>
      <w:pPr>
        <w:pStyle w:val="6"/>
        <w:bidi w:val="0"/>
        <w:rPr>
          <w:rFonts w:ascii="Times New Roman" w:hAnsi="Times New Roman" w:cs="Times New Roman"/>
          <w:caps w:val="0"/>
          <w:smallCaps w:val="0"/>
        </w:rPr>
      </w:pPr>
      <w:bookmarkStart w:id="73" w:name="_Toc335908463"/>
      <w:bookmarkEnd w:id="73"/>
      <w:r>
        <w:rPr>
          <w:rFonts w:ascii="Times New Roman" w:hAnsi="Times New Roman" w:cs="Times New Roman"/>
          <w:caps w:val="0"/>
          <w:smallCaps w:val="0"/>
        </w:rPr>
        <w:t>地下水环境现状调查</w:t>
      </w:r>
    </w:p>
    <w:p>
      <w:pPr>
        <w:adjustRightInd w:val="0"/>
        <w:snapToGrid w:val="0"/>
        <w:spacing w:line="360" w:lineRule="auto"/>
        <w:ind w:firstLine="480" w:firstLineChars="200"/>
        <w:rPr>
          <w:rFonts w:ascii="Times New Roman" w:hAnsi="Times New Roman" w:cs="Times New Roman" w:eastAsiaTheme="minorEastAsia"/>
          <w:bCs/>
          <w:caps w:val="0"/>
          <w:smallCaps w:val="0"/>
          <w:sz w:val="24"/>
        </w:rPr>
      </w:pPr>
      <w:r>
        <w:rPr>
          <w:rFonts w:ascii="Times New Roman" w:hAnsi="Times New Roman" w:cs="Times New Roman" w:eastAsiaTheme="minorEastAsia"/>
          <w:bCs/>
          <w:caps w:val="0"/>
          <w:smallCaps w:val="0"/>
          <w:sz w:val="24"/>
        </w:rPr>
        <w:t>地下水根据其赋存特征和埋藏条件可分为孔隙潜水和季节性承压水。</w:t>
      </w:r>
    </w:p>
    <w:p>
      <w:pPr>
        <w:adjustRightInd w:val="0"/>
        <w:snapToGrid w:val="0"/>
        <w:spacing w:line="360" w:lineRule="auto"/>
        <w:ind w:firstLine="480" w:firstLineChars="200"/>
        <w:rPr>
          <w:rFonts w:ascii="Times New Roman" w:hAnsi="Times New Roman" w:cs="Times New Roman" w:eastAsiaTheme="minorEastAsia"/>
          <w:bCs/>
          <w:caps w:val="0"/>
          <w:smallCaps w:val="0"/>
          <w:sz w:val="24"/>
        </w:rPr>
      </w:pPr>
      <w:r>
        <w:rPr>
          <w:rFonts w:ascii="Times New Roman" w:hAnsi="Times New Roman" w:cs="Times New Roman" w:eastAsiaTheme="minorEastAsia"/>
          <w:bCs/>
          <w:caps w:val="0"/>
          <w:smallCaps w:val="0"/>
          <w:sz w:val="24"/>
        </w:rPr>
        <w:t>潜水：主要为孔隙水，埋藏于上部的第四系粉质粘土层中，受大气降水与地表水的补给，随季节变化与地表水呈互补关系，枯水期地下水向江、渠排泄，洪水期接受江河水补给。</w:t>
      </w:r>
    </w:p>
    <w:p>
      <w:pPr>
        <w:adjustRightInd w:val="0"/>
        <w:snapToGrid w:val="0"/>
        <w:spacing w:line="360" w:lineRule="auto"/>
        <w:ind w:firstLine="480" w:firstLineChars="200"/>
        <w:rPr>
          <w:rFonts w:ascii="Times New Roman" w:hAnsi="Times New Roman" w:cs="Times New Roman" w:eastAsiaTheme="minorEastAsia"/>
          <w:bCs/>
          <w:caps w:val="0"/>
          <w:smallCaps w:val="0"/>
          <w:sz w:val="24"/>
        </w:rPr>
      </w:pPr>
      <w:r>
        <w:rPr>
          <w:rFonts w:ascii="Times New Roman" w:hAnsi="Times New Roman" w:cs="Times New Roman" w:eastAsiaTheme="minorEastAsia"/>
          <w:bCs/>
          <w:caps w:val="0"/>
          <w:smallCaps w:val="0"/>
          <w:sz w:val="24"/>
        </w:rPr>
        <w:t>季节性承压水：埋藏于第四系粘性土层之下的砂性土层中，与江水相通，承压水头的大小随补给区江水位的变化而变化。枯水期，河水位降低，地下水向河床方向运移，并排泄于河床之中；洪水期，河水位抬高，地下水沿透水层向远离河床方向运移，补给地下水。</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bCs/>
          <w:caps w:val="0"/>
          <w:smallCaps w:val="0"/>
          <w:sz w:val="24"/>
        </w:rPr>
        <w:t>根据区域水文地质资料，工程区地下水排泄通畅，地下水位主要受江水制约，随江水升降而变化；一般在地表以下0.5~2.5m，水位多受地表水塘、沟渠控制。</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地下水环境质量现状监测</w:t>
      </w:r>
    </w:p>
    <w:p>
      <w:pPr>
        <w:adjustRightInd w:val="0"/>
        <w:snapToGrid w:val="0"/>
        <w:spacing w:line="360" w:lineRule="auto"/>
        <w:ind w:firstLine="480" w:firstLineChars="200"/>
        <w:rPr>
          <w:rFonts w:ascii="Times New Roman" w:hAnsi="Times New Roman" w:cs="Times New Roman" w:eastAsiaTheme="minorEastAsia"/>
          <w:caps w:val="0"/>
          <w:smallCaps w:val="0"/>
          <w:kern w:val="0"/>
        </w:rPr>
      </w:pPr>
      <w:r>
        <w:rPr>
          <w:rFonts w:ascii="Times New Roman" w:hAnsi="Times New Roman" w:cs="Times New Roman" w:eastAsiaTheme="minorEastAsia"/>
          <w:bCs/>
          <w:caps w:val="0"/>
          <w:smallCaps w:val="0"/>
          <w:sz w:val="24"/>
        </w:rPr>
        <w:t>本次评价委托</w:t>
      </w:r>
      <w:r>
        <w:rPr>
          <w:rFonts w:hint="eastAsia" w:ascii="Times New Roman" w:hAnsi="Times New Roman" w:cs="Times New Roman" w:eastAsiaTheme="minorEastAsia"/>
          <w:bCs/>
          <w:caps w:val="0"/>
          <w:smallCaps w:val="0"/>
          <w:sz w:val="24"/>
        </w:rPr>
        <w:t>湖南精科检测有限公司</w:t>
      </w:r>
      <w:r>
        <w:rPr>
          <w:rFonts w:ascii="Times New Roman" w:hAnsi="Times New Roman" w:cs="Times New Roman" w:eastAsiaTheme="minorEastAsia"/>
          <w:caps w:val="0"/>
          <w:smallCaps w:val="0"/>
          <w:sz w:val="24"/>
          <w:szCs w:val="24"/>
        </w:rPr>
        <w:t>于20</w:t>
      </w:r>
      <w:r>
        <w:rPr>
          <w:rFonts w:hint="eastAsia" w:ascii="Times New Roman" w:hAnsi="Times New Roman" w:cs="Times New Roman" w:eastAsiaTheme="minorEastAsia"/>
          <w:caps w:val="0"/>
          <w:smallCaps w:val="0"/>
          <w:sz w:val="24"/>
          <w:szCs w:val="24"/>
        </w:rPr>
        <w:t>21</w:t>
      </w:r>
      <w:r>
        <w:rPr>
          <w:rFonts w:ascii="Times New Roman" w:hAnsi="Times New Roman" w:cs="Times New Roman" w:eastAsiaTheme="minorEastAsia"/>
          <w:caps w:val="0"/>
          <w:smallCaps w:val="0"/>
          <w:sz w:val="24"/>
          <w:szCs w:val="24"/>
        </w:rPr>
        <w:t>年</w:t>
      </w:r>
      <w:r>
        <w:rPr>
          <w:rFonts w:hint="eastAsia" w:ascii="Times New Roman" w:hAnsi="Times New Roman" w:cs="Times New Roman" w:eastAsiaTheme="minorEastAsia"/>
          <w:caps w:val="0"/>
          <w:smallCaps w:val="0"/>
          <w:sz w:val="24"/>
          <w:szCs w:val="24"/>
        </w:rPr>
        <w:t>4</w:t>
      </w:r>
      <w:r>
        <w:rPr>
          <w:rFonts w:ascii="Times New Roman" w:hAnsi="Times New Roman" w:cs="Times New Roman" w:eastAsiaTheme="minorEastAsia"/>
          <w:caps w:val="0"/>
          <w:smallCaps w:val="0"/>
          <w:sz w:val="24"/>
          <w:szCs w:val="24"/>
        </w:rPr>
        <w:t>月</w:t>
      </w:r>
      <w:r>
        <w:rPr>
          <w:rFonts w:hint="eastAsia" w:ascii="Times New Roman" w:hAnsi="Times New Roman" w:cs="Times New Roman" w:eastAsiaTheme="minorEastAsia"/>
          <w:caps w:val="0"/>
          <w:smallCaps w:val="0"/>
          <w:sz w:val="24"/>
          <w:szCs w:val="24"/>
        </w:rPr>
        <w:t>12</w:t>
      </w:r>
      <w:r>
        <w:rPr>
          <w:rFonts w:ascii="Times New Roman" w:hAnsi="Times New Roman" w:cs="Times New Roman" w:eastAsiaTheme="minorEastAsia"/>
          <w:caps w:val="0"/>
          <w:smallCaps w:val="0"/>
          <w:sz w:val="24"/>
          <w:szCs w:val="24"/>
        </w:rPr>
        <w:t>日期间针对</w:t>
      </w:r>
      <w:r>
        <w:rPr>
          <w:rFonts w:hint="eastAsia" w:ascii="Times New Roman" w:hAnsi="Times New Roman" w:cs="Times New Roman" w:eastAsiaTheme="minorEastAsia"/>
          <w:caps w:val="0"/>
          <w:smallCaps w:val="0"/>
          <w:sz w:val="24"/>
          <w:szCs w:val="24"/>
        </w:rPr>
        <w:t>码头周边</w:t>
      </w:r>
      <w:r>
        <w:rPr>
          <w:rFonts w:ascii="Times New Roman" w:hAnsi="Times New Roman" w:cs="Times New Roman" w:eastAsiaTheme="minorEastAsia"/>
          <w:caps w:val="0"/>
          <w:smallCaps w:val="0"/>
          <w:sz w:val="24"/>
          <w:szCs w:val="24"/>
        </w:rPr>
        <w:t>地下井水进行了水质现状监测。</w:t>
      </w:r>
    </w:p>
    <w:p>
      <w:pPr>
        <w:adjustRightInd w:val="0"/>
        <w:snapToGrid w:val="0"/>
        <w:spacing w:line="360" w:lineRule="auto"/>
        <w:ind w:firstLine="482"/>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1、监测点位</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本次在项目</w:t>
      </w:r>
      <w:r>
        <w:rPr>
          <w:rFonts w:hint="eastAsia" w:ascii="Times New Roman" w:hAnsi="Times New Roman" w:cs="Times New Roman" w:eastAsiaTheme="minorEastAsia"/>
          <w:caps w:val="0"/>
          <w:smallCaps w:val="0"/>
          <w:sz w:val="24"/>
          <w:szCs w:val="24"/>
        </w:rPr>
        <w:t>周边</w:t>
      </w:r>
      <w:r>
        <w:rPr>
          <w:rFonts w:ascii="Times New Roman" w:hAnsi="Times New Roman" w:cs="Times New Roman" w:eastAsiaTheme="minorEastAsia"/>
          <w:caps w:val="0"/>
          <w:smallCaps w:val="0"/>
          <w:sz w:val="24"/>
          <w:szCs w:val="24"/>
        </w:rPr>
        <w:t>共设置</w:t>
      </w:r>
      <w:r>
        <w:rPr>
          <w:rFonts w:hint="eastAsia" w:ascii="Times New Roman" w:hAnsi="Times New Roman" w:cs="Times New Roman" w:eastAsiaTheme="minorEastAsia"/>
          <w:caps w:val="0"/>
          <w:smallCaps w:val="0"/>
          <w:sz w:val="24"/>
          <w:szCs w:val="24"/>
        </w:rPr>
        <w:t>3</w:t>
      </w:r>
      <w:r>
        <w:rPr>
          <w:rFonts w:ascii="Times New Roman" w:hAnsi="Times New Roman" w:cs="Times New Roman" w:eastAsiaTheme="minorEastAsia"/>
          <w:caps w:val="0"/>
          <w:smallCaps w:val="0"/>
          <w:sz w:val="24"/>
          <w:szCs w:val="24"/>
        </w:rPr>
        <w:t>处地下水监测点，均为居民</w:t>
      </w:r>
      <w:r>
        <w:rPr>
          <w:rFonts w:hint="eastAsia" w:ascii="Times New Roman" w:hAnsi="Times New Roman" w:cs="Times New Roman" w:eastAsiaTheme="minorEastAsia"/>
          <w:caps w:val="0"/>
          <w:smallCaps w:val="0"/>
          <w:sz w:val="24"/>
          <w:szCs w:val="24"/>
          <w:lang w:eastAsia="zh-CN"/>
        </w:rPr>
        <w:t>家原有</w:t>
      </w:r>
      <w:r>
        <w:rPr>
          <w:rFonts w:ascii="Times New Roman" w:hAnsi="Times New Roman" w:cs="Times New Roman" w:eastAsiaTheme="minorEastAsia"/>
          <w:caps w:val="0"/>
          <w:smallCaps w:val="0"/>
          <w:sz w:val="24"/>
          <w:szCs w:val="24"/>
        </w:rPr>
        <w:t>水井</w:t>
      </w:r>
      <w:r>
        <w:rPr>
          <w:rFonts w:hint="eastAsia" w:ascii="Times New Roman" w:hAnsi="Times New Roman" w:cs="Times New Roman" w:eastAsiaTheme="minorEastAsia"/>
          <w:caps w:val="0"/>
          <w:smallCaps w:val="0"/>
          <w:sz w:val="24"/>
          <w:szCs w:val="24"/>
          <w:lang w:eastAsia="zh-CN"/>
        </w:rPr>
        <w:t>（现在周边居民均饮用自来水）</w:t>
      </w:r>
      <w:r>
        <w:rPr>
          <w:rFonts w:ascii="Times New Roman" w:hAnsi="Times New Roman" w:cs="Times New Roman" w:eastAsiaTheme="minorEastAsia"/>
          <w:caps w:val="0"/>
          <w:smallCaps w:val="0"/>
          <w:sz w:val="24"/>
          <w:szCs w:val="24"/>
        </w:rPr>
        <w:t>，具体见表4.</w:t>
      </w:r>
      <w:r>
        <w:rPr>
          <w:rFonts w:hint="eastAsia" w:ascii="Times New Roman" w:hAnsi="Times New Roman" w:cs="Times New Roman" w:eastAsiaTheme="minorEastAsia"/>
          <w:caps w:val="0"/>
          <w:smallCaps w:val="0"/>
          <w:sz w:val="24"/>
          <w:szCs w:val="24"/>
          <w:lang w:val="en-US" w:eastAsia="zh-CN"/>
        </w:rPr>
        <w:t>4</w:t>
      </w:r>
      <w:r>
        <w:rPr>
          <w:rFonts w:ascii="Times New Roman" w:hAnsi="Times New Roman" w:cs="Times New Roman" w:eastAsiaTheme="minorEastAsia"/>
          <w:caps w:val="0"/>
          <w:smallCaps w:val="0"/>
          <w:sz w:val="24"/>
          <w:szCs w:val="24"/>
        </w:rPr>
        <w:t>-1。</w:t>
      </w:r>
    </w:p>
    <w:p>
      <w:pPr>
        <w:spacing w:line="276" w:lineRule="auto"/>
        <w:ind w:firstLine="482"/>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表4.</w:t>
      </w:r>
      <w:r>
        <w:rPr>
          <w:rFonts w:hint="eastAsia" w:ascii="Times New Roman" w:hAnsi="Times New Roman" w:cs="Times New Roman" w:eastAsiaTheme="minorEastAsia"/>
          <w:b/>
          <w:caps w:val="0"/>
          <w:smallCaps w:val="0"/>
          <w:sz w:val="24"/>
          <w:szCs w:val="24"/>
          <w:lang w:val="en-US" w:eastAsia="zh-CN"/>
        </w:rPr>
        <w:t>4</w:t>
      </w:r>
      <w:r>
        <w:rPr>
          <w:rFonts w:ascii="Times New Roman" w:hAnsi="Times New Roman" w:cs="Times New Roman" w:eastAsiaTheme="minorEastAsia"/>
          <w:b/>
          <w:caps w:val="0"/>
          <w:smallCaps w:val="0"/>
          <w:sz w:val="24"/>
          <w:szCs w:val="24"/>
        </w:rPr>
        <w:t>-1地下水质量现状监测布点一览表</w:t>
      </w:r>
    </w:p>
    <w:tbl>
      <w:tblPr>
        <w:tblStyle w:val="71"/>
        <w:tblW w:w="501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94"/>
        <w:gridCol w:w="1279"/>
        <w:gridCol w:w="1279"/>
        <w:gridCol w:w="4061"/>
        <w:gridCol w:w="174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383"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706"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敏感点名称</w:t>
            </w:r>
          </w:p>
        </w:tc>
        <w:tc>
          <w:tcPr>
            <w:tcW w:w="706"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监测类型</w:t>
            </w:r>
          </w:p>
        </w:tc>
        <w:tc>
          <w:tcPr>
            <w:tcW w:w="2241"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经纬度坐标</w:t>
            </w:r>
          </w:p>
        </w:tc>
        <w:tc>
          <w:tcPr>
            <w:tcW w:w="963"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监测位置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3"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U</w:t>
            </w:r>
            <w:r>
              <w:rPr>
                <w:rFonts w:ascii="Times New Roman" w:hAnsi="Times New Roman" w:cs="Times New Roman"/>
                <w:caps w:val="0"/>
                <w:smallCaps w:val="0"/>
              </w:rPr>
              <w:t>1</w:t>
            </w:r>
          </w:p>
        </w:tc>
        <w:tc>
          <w:tcPr>
            <w:tcW w:w="706" w:type="pct"/>
            <w:shd w:val="clear" w:color="auto" w:fill="auto"/>
            <w:tcMar>
              <w:top w:w="0" w:type="dxa"/>
              <w:left w:w="0" w:type="dxa"/>
              <w:bottom w:w="0" w:type="dxa"/>
              <w:right w:w="0" w:type="dxa"/>
            </w:tcMar>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东北侧居民点</w:t>
            </w:r>
          </w:p>
        </w:tc>
        <w:tc>
          <w:tcPr>
            <w:tcW w:w="706"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水质</w:t>
            </w:r>
          </w:p>
        </w:tc>
        <w:tc>
          <w:tcPr>
            <w:tcW w:w="2241" w:type="pct"/>
            <w:shd w:val="clear" w:color="auto" w:fill="auto"/>
            <w:tcMar>
              <w:top w:w="0" w:type="dxa"/>
              <w:left w:w="0" w:type="dxa"/>
              <w:bottom w:w="0" w:type="dxa"/>
              <w:right w:w="0" w:type="dxa"/>
            </w:tcMar>
            <w:vAlign w:val="center"/>
          </w:tcPr>
          <w:p>
            <w:pPr>
              <w:pStyle w:val="117"/>
              <w:bidi w:val="0"/>
              <w:rPr>
                <w:rFonts w:hint="default" w:ascii="Times New Roman" w:hAnsi="Times New Roman" w:eastAsia="宋体" w:cs="Times New Roman"/>
                <w:caps w:val="0"/>
                <w:smallCaps w:val="0"/>
                <w:lang w:val="en-US" w:eastAsia="zh-CN"/>
              </w:rPr>
            </w:pPr>
            <w:r>
              <w:rPr>
                <w:rFonts w:ascii="Times New Roman" w:hAnsi="Times New Roman" w:cs="Times New Roman"/>
                <w:caps w:val="0"/>
                <w:smallCaps w:val="0"/>
              </w:rPr>
              <w:t>E：11</w:t>
            </w:r>
            <w:r>
              <w:rPr>
                <w:rFonts w:hint="eastAsia" w:ascii="Times New Roman" w:hAnsi="Times New Roman" w:cs="Times New Roman"/>
                <w:caps w:val="0"/>
                <w:smallCaps w:val="0"/>
                <w:lang w:val="en-US" w:eastAsia="zh-CN"/>
              </w:rPr>
              <w:t>2.90309656</w:t>
            </w:r>
            <w:r>
              <w:rPr>
                <w:rFonts w:ascii="Times New Roman" w:hAnsi="Times New Roman" w:cs="Times New Roman"/>
                <w:caps w:val="0"/>
                <w:smallCaps w:val="0"/>
              </w:rPr>
              <w:t>，N：2</w:t>
            </w:r>
            <w:r>
              <w:rPr>
                <w:rFonts w:hint="eastAsia" w:ascii="Times New Roman" w:hAnsi="Times New Roman" w:cs="Times New Roman"/>
                <w:caps w:val="0"/>
                <w:smallCaps w:val="0"/>
                <w:lang w:val="en-US" w:eastAsia="zh-CN"/>
              </w:rPr>
              <w:t>8.86312965</w:t>
            </w:r>
          </w:p>
        </w:tc>
        <w:tc>
          <w:tcPr>
            <w:tcW w:w="963"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居民水井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3"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U</w:t>
            </w:r>
            <w:r>
              <w:rPr>
                <w:rFonts w:ascii="Times New Roman" w:hAnsi="Times New Roman" w:cs="Times New Roman"/>
                <w:caps w:val="0"/>
                <w:smallCaps w:val="0"/>
              </w:rPr>
              <w:t>2</w:t>
            </w:r>
          </w:p>
        </w:tc>
        <w:tc>
          <w:tcPr>
            <w:tcW w:w="706" w:type="pct"/>
            <w:shd w:val="clear" w:color="auto" w:fill="auto"/>
            <w:tcMar>
              <w:top w:w="0" w:type="dxa"/>
              <w:left w:w="0" w:type="dxa"/>
              <w:bottom w:w="0" w:type="dxa"/>
              <w:right w:w="0" w:type="dxa"/>
            </w:tcMar>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东北侧居民点</w:t>
            </w:r>
          </w:p>
        </w:tc>
        <w:tc>
          <w:tcPr>
            <w:tcW w:w="706"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水质</w:t>
            </w:r>
          </w:p>
        </w:tc>
        <w:tc>
          <w:tcPr>
            <w:tcW w:w="2241" w:type="pct"/>
            <w:shd w:val="clear" w:color="auto" w:fill="auto"/>
            <w:tcMar>
              <w:top w:w="0" w:type="dxa"/>
              <w:left w:w="0" w:type="dxa"/>
              <w:bottom w:w="0" w:type="dxa"/>
              <w:right w:w="0" w:type="dxa"/>
            </w:tcMar>
            <w:vAlign w:val="center"/>
          </w:tcPr>
          <w:p>
            <w:pPr>
              <w:pStyle w:val="117"/>
              <w:bidi w:val="0"/>
              <w:rPr>
                <w:rFonts w:hint="default" w:ascii="Times New Roman" w:hAnsi="Times New Roman" w:eastAsia="宋体" w:cs="Times New Roman"/>
                <w:caps w:val="0"/>
                <w:smallCaps w:val="0"/>
                <w:lang w:val="en-US" w:eastAsia="zh-CN"/>
              </w:rPr>
            </w:pPr>
            <w:r>
              <w:rPr>
                <w:rFonts w:ascii="Times New Roman" w:hAnsi="Times New Roman" w:cs="Times New Roman"/>
                <w:caps w:val="0"/>
                <w:smallCaps w:val="0"/>
              </w:rPr>
              <w:t>E：11</w:t>
            </w:r>
            <w:r>
              <w:rPr>
                <w:rFonts w:hint="eastAsia" w:ascii="Times New Roman" w:hAnsi="Times New Roman" w:cs="Times New Roman"/>
                <w:caps w:val="0"/>
                <w:smallCaps w:val="0"/>
                <w:lang w:val="en-US" w:eastAsia="zh-CN"/>
              </w:rPr>
              <w:t>2.90336483</w:t>
            </w:r>
            <w:r>
              <w:rPr>
                <w:rFonts w:ascii="Times New Roman" w:hAnsi="Times New Roman" w:cs="Times New Roman"/>
                <w:caps w:val="0"/>
                <w:smallCaps w:val="0"/>
              </w:rPr>
              <w:t>，N：2</w:t>
            </w:r>
            <w:r>
              <w:rPr>
                <w:rFonts w:hint="eastAsia" w:ascii="Times New Roman" w:hAnsi="Times New Roman" w:cs="Times New Roman"/>
                <w:caps w:val="0"/>
                <w:smallCaps w:val="0"/>
                <w:lang w:val="en-US" w:eastAsia="zh-CN"/>
              </w:rPr>
              <w:t>8.86333647</w:t>
            </w:r>
          </w:p>
        </w:tc>
        <w:tc>
          <w:tcPr>
            <w:tcW w:w="963"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居民水井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383"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U</w:t>
            </w:r>
            <w:r>
              <w:rPr>
                <w:rFonts w:ascii="Times New Roman" w:hAnsi="Times New Roman" w:cs="Times New Roman"/>
                <w:caps w:val="0"/>
                <w:smallCaps w:val="0"/>
              </w:rPr>
              <w:t>3</w:t>
            </w:r>
          </w:p>
        </w:tc>
        <w:tc>
          <w:tcPr>
            <w:tcW w:w="706" w:type="pct"/>
            <w:shd w:val="clear" w:color="auto" w:fill="auto"/>
            <w:tcMar>
              <w:top w:w="0" w:type="dxa"/>
              <w:left w:w="0" w:type="dxa"/>
              <w:bottom w:w="0" w:type="dxa"/>
              <w:right w:w="0" w:type="dxa"/>
            </w:tcMar>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厂内水井</w:t>
            </w:r>
          </w:p>
        </w:tc>
        <w:tc>
          <w:tcPr>
            <w:tcW w:w="706"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水质</w:t>
            </w:r>
          </w:p>
        </w:tc>
        <w:tc>
          <w:tcPr>
            <w:tcW w:w="2241" w:type="pct"/>
            <w:shd w:val="clear" w:color="auto" w:fill="auto"/>
            <w:tcMar>
              <w:top w:w="0" w:type="dxa"/>
              <w:left w:w="0" w:type="dxa"/>
              <w:bottom w:w="0" w:type="dxa"/>
              <w:right w:w="0" w:type="dxa"/>
            </w:tcMar>
            <w:vAlign w:val="center"/>
          </w:tcPr>
          <w:p>
            <w:pPr>
              <w:pStyle w:val="117"/>
              <w:bidi w:val="0"/>
              <w:rPr>
                <w:rFonts w:hint="default" w:ascii="Times New Roman" w:hAnsi="Times New Roman" w:cs="Times New Roman"/>
                <w:caps w:val="0"/>
                <w:smallCaps w:val="0"/>
                <w:lang w:val="en-US"/>
              </w:rPr>
            </w:pPr>
            <w:r>
              <w:rPr>
                <w:rFonts w:ascii="Times New Roman" w:hAnsi="Times New Roman" w:cs="Times New Roman"/>
                <w:caps w:val="0"/>
                <w:smallCaps w:val="0"/>
              </w:rPr>
              <w:t>E：11</w:t>
            </w:r>
            <w:r>
              <w:rPr>
                <w:rFonts w:hint="eastAsia" w:ascii="Times New Roman" w:hAnsi="Times New Roman" w:cs="Times New Roman"/>
                <w:caps w:val="0"/>
                <w:smallCaps w:val="0"/>
                <w:lang w:val="en-US" w:eastAsia="zh-CN"/>
              </w:rPr>
              <w:t>2.53519327</w:t>
            </w:r>
            <w:r>
              <w:rPr>
                <w:rFonts w:ascii="Times New Roman" w:hAnsi="Times New Roman" w:cs="Times New Roman"/>
                <w:caps w:val="0"/>
                <w:smallCaps w:val="0"/>
              </w:rPr>
              <w:t>，N：2</w:t>
            </w:r>
            <w:r>
              <w:rPr>
                <w:rFonts w:hint="eastAsia" w:ascii="Times New Roman" w:hAnsi="Times New Roman" w:cs="Times New Roman"/>
                <w:caps w:val="0"/>
                <w:smallCaps w:val="0"/>
                <w:lang w:val="en-US" w:eastAsia="zh-CN"/>
              </w:rPr>
              <w:t>8.51516785</w:t>
            </w:r>
          </w:p>
        </w:tc>
        <w:tc>
          <w:tcPr>
            <w:tcW w:w="963"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水井</w:t>
            </w:r>
          </w:p>
        </w:tc>
      </w:tr>
    </w:tbl>
    <w:p>
      <w:pPr>
        <w:adjustRightInd w:val="0"/>
        <w:snapToGrid w:val="0"/>
        <w:spacing w:line="360" w:lineRule="auto"/>
        <w:ind w:firstLine="482"/>
        <w:rPr>
          <w:rFonts w:ascii="Times New Roman" w:hAnsi="Times New Roman" w:cs="Times New Roman" w:eastAsiaTheme="minorEastAsia"/>
          <w:caps w:val="0"/>
          <w:smallCaps w:val="0"/>
          <w:sz w:val="24"/>
          <w:szCs w:val="24"/>
        </w:rPr>
      </w:pPr>
    </w:p>
    <w:p>
      <w:pPr>
        <w:adjustRightInd w:val="0"/>
        <w:snapToGrid w:val="0"/>
        <w:spacing w:line="360" w:lineRule="auto"/>
        <w:ind w:firstLine="482"/>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2、监测项目</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监测项目含</w:t>
      </w:r>
      <w:r>
        <w:rPr>
          <w:rFonts w:ascii="Times New Roman" w:hAnsi="Times New Roman" w:cs="Times New Roman"/>
          <w:caps w:val="0"/>
          <w:smallCaps w:val="0"/>
        </w:rPr>
        <w:t>pH值、</w:t>
      </w:r>
      <w:r>
        <w:rPr>
          <w:rFonts w:hint="eastAsia" w:ascii="Times New Roman" w:hAnsi="Times New Roman" w:cs="Times New Roman"/>
          <w:caps w:val="0"/>
          <w:smallCaps w:val="0"/>
        </w:rPr>
        <w:t>悬浮物、耗氧量、氨氮、总磷、总氮、石油类、阴离子表面活性剂</w:t>
      </w:r>
      <w:r>
        <w:rPr>
          <w:rFonts w:ascii="Times New Roman" w:hAnsi="Times New Roman" w:cs="Times New Roman" w:eastAsiaTheme="minorEastAsia"/>
          <w:caps w:val="0"/>
          <w:smallCaps w:val="0"/>
          <w:sz w:val="24"/>
          <w:szCs w:val="24"/>
        </w:rPr>
        <w:t>。</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3、监测单位</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湖南精科检测有限公司</w:t>
      </w:r>
    </w:p>
    <w:p>
      <w:pPr>
        <w:adjustRightInd w:val="0"/>
        <w:snapToGrid w:val="0"/>
        <w:spacing w:line="360" w:lineRule="auto"/>
        <w:ind w:firstLine="482"/>
        <w:rPr>
          <w:rFonts w:ascii="Times New Roman" w:hAnsi="Times New Roman" w:cs="Times New Roman" w:eastAsiaTheme="minorEastAsia"/>
          <w:b/>
          <w:caps w:val="0"/>
          <w:smallCaps w:val="0"/>
          <w:sz w:val="24"/>
          <w:szCs w:val="24"/>
        </w:rPr>
      </w:pPr>
      <w:r>
        <w:rPr>
          <w:rFonts w:ascii="Times New Roman" w:hAnsi="Times New Roman" w:cs="Times New Roman" w:eastAsiaTheme="minorEastAsia"/>
          <w:caps w:val="0"/>
          <w:smallCaps w:val="0"/>
          <w:sz w:val="24"/>
          <w:szCs w:val="24"/>
        </w:rPr>
        <w:t>4、监测时间与频次</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连续一天、一天一次，监测时间20</w:t>
      </w:r>
      <w:r>
        <w:rPr>
          <w:rFonts w:hint="eastAsia" w:ascii="Times New Roman" w:hAnsi="Times New Roman" w:cs="Times New Roman" w:eastAsiaTheme="minorEastAsia"/>
          <w:caps w:val="0"/>
          <w:smallCaps w:val="0"/>
          <w:sz w:val="24"/>
          <w:szCs w:val="24"/>
        </w:rPr>
        <w:t>21</w:t>
      </w:r>
      <w:r>
        <w:rPr>
          <w:rFonts w:ascii="Times New Roman" w:hAnsi="Times New Roman" w:cs="Times New Roman" w:eastAsiaTheme="minorEastAsia"/>
          <w:caps w:val="0"/>
          <w:smallCaps w:val="0"/>
          <w:sz w:val="24"/>
          <w:szCs w:val="24"/>
        </w:rPr>
        <w:t>年</w:t>
      </w:r>
      <w:r>
        <w:rPr>
          <w:rFonts w:hint="eastAsia" w:ascii="Times New Roman" w:hAnsi="Times New Roman" w:cs="Times New Roman" w:eastAsiaTheme="minorEastAsia"/>
          <w:caps w:val="0"/>
          <w:smallCaps w:val="0"/>
          <w:sz w:val="24"/>
          <w:szCs w:val="24"/>
        </w:rPr>
        <w:t>4</w:t>
      </w:r>
      <w:r>
        <w:rPr>
          <w:rFonts w:ascii="Times New Roman" w:hAnsi="Times New Roman" w:cs="Times New Roman" w:eastAsiaTheme="minorEastAsia"/>
          <w:caps w:val="0"/>
          <w:smallCaps w:val="0"/>
          <w:sz w:val="24"/>
          <w:szCs w:val="24"/>
        </w:rPr>
        <w:t>月</w:t>
      </w:r>
      <w:r>
        <w:rPr>
          <w:rFonts w:hint="eastAsia" w:ascii="Times New Roman" w:hAnsi="Times New Roman" w:cs="Times New Roman" w:eastAsiaTheme="minorEastAsia"/>
          <w:caps w:val="0"/>
          <w:smallCaps w:val="0"/>
          <w:sz w:val="24"/>
          <w:szCs w:val="24"/>
        </w:rPr>
        <w:t>12</w:t>
      </w:r>
      <w:r>
        <w:rPr>
          <w:rFonts w:ascii="Times New Roman" w:hAnsi="Times New Roman" w:cs="Times New Roman" w:eastAsiaTheme="minorEastAsia"/>
          <w:caps w:val="0"/>
          <w:smallCaps w:val="0"/>
          <w:sz w:val="24"/>
          <w:szCs w:val="24"/>
        </w:rPr>
        <w:t>日。</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5、采样和分析方法</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0"/>
          <w:szCs w:val="20"/>
        </w:rPr>
      </w:pPr>
      <w:r>
        <w:rPr>
          <w:rFonts w:ascii="Times New Roman" w:hAnsi="Times New Roman" w:cs="Times New Roman" w:eastAsiaTheme="minorEastAsia"/>
          <w:caps w:val="0"/>
          <w:smallCaps w:val="0"/>
          <w:kern w:val="0"/>
          <w:sz w:val="24"/>
          <w:szCs w:val="24"/>
        </w:rPr>
        <w:t>地下水监测参照地表水监测的有关规定，详见下表。</w:t>
      </w:r>
    </w:p>
    <w:p>
      <w:pPr>
        <w:adjustRightInd w:val="0"/>
        <w:snapToGrid w:val="0"/>
        <w:spacing w:line="276" w:lineRule="auto"/>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表4.</w:t>
      </w:r>
      <w:r>
        <w:rPr>
          <w:rFonts w:hint="eastAsia" w:ascii="Times New Roman" w:hAnsi="Times New Roman" w:cs="Times New Roman" w:eastAsiaTheme="minorEastAsia"/>
          <w:b/>
          <w:caps w:val="0"/>
          <w:smallCaps w:val="0"/>
          <w:sz w:val="24"/>
          <w:szCs w:val="24"/>
          <w:lang w:val="en-US" w:eastAsia="zh-CN"/>
        </w:rPr>
        <w:t>4</w:t>
      </w:r>
      <w:r>
        <w:rPr>
          <w:rFonts w:ascii="Times New Roman" w:hAnsi="Times New Roman" w:cs="Times New Roman" w:eastAsiaTheme="minorEastAsia"/>
          <w:b/>
          <w:caps w:val="0"/>
          <w:smallCaps w:val="0"/>
          <w:sz w:val="24"/>
          <w:szCs w:val="24"/>
        </w:rPr>
        <w:t>-2地下水分析方法一览表</w:t>
      </w:r>
    </w:p>
    <w:tbl>
      <w:tblPr>
        <w:tblStyle w:val="72"/>
        <w:tblW w:w="9240" w:type="dxa"/>
        <w:tblInd w:w="91"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862"/>
        <w:gridCol w:w="1103"/>
        <w:gridCol w:w="3765"/>
        <w:gridCol w:w="2040"/>
        <w:gridCol w:w="1470"/>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709" w:hRule="atLeast"/>
        </w:trPr>
        <w:tc>
          <w:tcPr>
            <w:tcW w:w="862" w:type="dxa"/>
            <w:vMerge w:val="restart"/>
            <w:tcBorders>
              <w:tl2br w:val="nil"/>
              <w:tr2bl w:val="nil"/>
            </w:tcBorders>
            <w:noWrap/>
            <w:vAlign w:val="center"/>
          </w:tcPr>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地下水</w:t>
            </w: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p>
            <w:pPr>
              <w:pStyle w:val="117"/>
              <w:bidi w:val="0"/>
              <w:rPr>
                <w:rFonts w:ascii="Times New Roman" w:hAnsi="Times New Roman" w:cs="Times New Roman"/>
                <w:caps w:val="0"/>
                <w:smallCaps w:val="0"/>
              </w:rPr>
            </w:pPr>
          </w:p>
        </w:tc>
        <w:tc>
          <w:tcPr>
            <w:tcW w:w="1103"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pH值</w:t>
            </w:r>
          </w:p>
        </w:tc>
        <w:tc>
          <w:tcPr>
            <w:tcW w:w="3765"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水质pH</w:t>
            </w:r>
            <w:r>
              <w:rPr>
                <w:rFonts w:hint="eastAsia" w:ascii="Times New Roman" w:hAnsi="Times New Roman" w:cs="Times New Roman"/>
                <w:caps w:val="0"/>
                <w:smallCaps w:val="0"/>
              </w:rPr>
              <w:t>值</w:t>
            </w:r>
            <w:r>
              <w:rPr>
                <w:rFonts w:ascii="Times New Roman" w:hAnsi="Times New Roman" w:cs="Times New Roman"/>
                <w:caps w:val="0"/>
                <w:smallCaps w:val="0"/>
              </w:rPr>
              <w:t>的测定玻璃电极法</w:t>
            </w:r>
          </w:p>
          <w:p>
            <w:pPr>
              <w:pStyle w:val="117"/>
              <w:bidi w:val="0"/>
              <w:rPr>
                <w:rFonts w:ascii="Times New Roman" w:hAnsi="Times New Roman" w:cs="Times New Roman"/>
                <w:caps w:val="0"/>
                <w:smallCaps w:val="0"/>
              </w:rPr>
            </w:pPr>
            <w:r>
              <w:rPr>
                <w:rFonts w:ascii="Times New Roman" w:hAnsi="Times New Roman" w:cs="Times New Roman"/>
                <w:caps w:val="0"/>
                <w:smallCaps w:val="0"/>
              </w:rPr>
              <w:t>(GB 6920-1986)</w:t>
            </w:r>
          </w:p>
        </w:tc>
        <w:tc>
          <w:tcPr>
            <w:tcW w:w="204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PHS-3C型pH计，JKFX-017</w:t>
            </w:r>
          </w:p>
        </w:tc>
        <w:tc>
          <w:tcPr>
            <w:tcW w:w="1470" w:type="dxa"/>
            <w:tcBorders>
              <w:tl2br w:val="nil"/>
              <w:tr2bl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22" w:hRule="atLeast"/>
        </w:trPr>
        <w:tc>
          <w:tcPr>
            <w:tcW w:w="862" w:type="dxa"/>
            <w:vMerge w:val="continue"/>
            <w:tcBorders>
              <w:tl2br w:val="nil"/>
              <w:tr2bl w:val="nil"/>
            </w:tcBorders>
            <w:noWrap/>
            <w:vAlign w:val="center"/>
          </w:tcPr>
          <w:p>
            <w:pPr>
              <w:pStyle w:val="117"/>
              <w:bidi w:val="0"/>
              <w:rPr>
                <w:rFonts w:ascii="Times New Roman" w:hAnsi="Times New Roman" w:cs="Times New Roman"/>
                <w:caps w:val="0"/>
                <w:smallCaps w:val="0"/>
              </w:rPr>
            </w:pPr>
          </w:p>
        </w:tc>
        <w:tc>
          <w:tcPr>
            <w:tcW w:w="1103"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氨氮</w:t>
            </w:r>
          </w:p>
        </w:tc>
        <w:tc>
          <w:tcPr>
            <w:tcW w:w="3765"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水质氨氮的测定纳氏试剂分光光度法(HJ535-2009)</w:t>
            </w:r>
          </w:p>
        </w:tc>
        <w:tc>
          <w:tcPr>
            <w:tcW w:w="204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UV-5100紫外</w:t>
            </w:r>
          </w:p>
          <w:p>
            <w:pPr>
              <w:pStyle w:val="117"/>
              <w:bidi w:val="0"/>
              <w:rPr>
                <w:rFonts w:ascii="Times New Roman" w:hAnsi="Times New Roman" w:cs="Times New Roman"/>
                <w:caps w:val="0"/>
                <w:smallCaps w:val="0"/>
              </w:rPr>
            </w:pPr>
            <w:r>
              <w:rPr>
                <w:rFonts w:ascii="Times New Roman" w:hAnsi="Times New Roman" w:cs="Times New Roman"/>
                <w:caps w:val="0"/>
                <w:smallCaps w:val="0"/>
              </w:rPr>
              <w:t>可见分光光度计，</w:t>
            </w:r>
            <w:r>
              <w:rPr>
                <w:rFonts w:hint="eastAsia" w:ascii="Times New Roman" w:hAnsi="Times New Roman" w:cs="Times New Roman"/>
                <w:caps w:val="0"/>
                <w:smallCaps w:val="0"/>
              </w:rPr>
              <w:t>JKFX-010</w:t>
            </w:r>
          </w:p>
        </w:tc>
        <w:tc>
          <w:tcPr>
            <w:tcW w:w="147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0.025mg/L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22" w:hRule="atLeast"/>
        </w:trPr>
        <w:tc>
          <w:tcPr>
            <w:tcW w:w="862" w:type="dxa"/>
            <w:vMerge w:val="continue"/>
            <w:tcBorders>
              <w:tl2br w:val="nil"/>
              <w:tr2bl w:val="nil"/>
            </w:tcBorders>
            <w:noWrap/>
            <w:vAlign w:val="center"/>
          </w:tcPr>
          <w:p>
            <w:pPr>
              <w:pStyle w:val="117"/>
              <w:bidi w:val="0"/>
              <w:rPr>
                <w:rFonts w:ascii="Times New Roman" w:hAnsi="Times New Roman" w:cs="Times New Roman"/>
                <w:caps w:val="0"/>
                <w:smallCaps w:val="0"/>
              </w:rPr>
            </w:pPr>
          </w:p>
        </w:tc>
        <w:tc>
          <w:tcPr>
            <w:tcW w:w="1103" w:type="dxa"/>
            <w:tcBorders>
              <w:tl2br w:val="nil"/>
              <w:tr2bl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悬浮物</w:t>
            </w:r>
          </w:p>
        </w:tc>
        <w:tc>
          <w:tcPr>
            <w:tcW w:w="3765" w:type="dxa"/>
            <w:tcBorders>
              <w:tl2br w:val="nil"/>
              <w:tr2bl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水质悬浮物的测定重量法</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（GB 11901-1989）</w:t>
            </w:r>
          </w:p>
        </w:tc>
        <w:tc>
          <w:tcPr>
            <w:tcW w:w="204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AS 220.R1电子天平，JKFX-065</w:t>
            </w:r>
          </w:p>
        </w:tc>
        <w:tc>
          <w:tcPr>
            <w:tcW w:w="1470" w:type="dxa"/>
            <w:tcBorders>
              <w:tl2br w:val="nil"/>
              <w:tr2bl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w:t>
            </w:r>
            <w:r>
              <w:rPr>
                <w:rFonts w:ascii="Times New Roman" w:hAnsi="Times New Roman" w:cs="Times New Roman"/>
                <w:caps w:val="0"/>
                <w:smallCaps w:val="0"/>
              </w:rPr>
              <w:t>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22" w:hRule="atLeast"/>
        </w:trPr>
        <w:tc>
          <w:tcPr>
            <w:tcW w:w="862" w:type="dxa"/>
            <w:vMerge w:val="continue"/>
            <w:tcBorders>
              <w:tl2br w:val="nil"/>
              <w:tr2bl w:val="nil"/>
            </w:tcBorders>
            <w:noWrap/>
            <w:vAlign w:val="center"/>
          </w:tcPr>
          <w:p>
            <w:pPr>
              <w:pStyle w:val="117"/>
              <w:bidi w:val="0"/>
              <w:rPr>
                <w:rFonts w:ascii="Times New Roman" w:hAnsi="Times New Roman" w:cs="Times New Roman"/>
                <w:caps w:val="0"/>
                <w:smallCaps w:val="0"/>
              </w:rPr>
            </w:pPr>
          </w:p>
        </w:tc>
        <w:tc>
          <w:tcPr>
            <w:tcW w:w="1103" w:type="dxa"/>
            <w:tcBorders>
              <w:tl2br w:val="nil"/>
              <w:tr2bl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耗氧量</w:t>
            </w:r>
          </w:p>
        </w:tc>
        <w:tc>
          <w:tcPr>
            <w:tcW w:w="3765" w:type="dxa"/>
            <w:tcBorders>
              <w:tl2br w:val="nil"/>
              <w:tr2bl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生活饮用水标准检验方法有机物综合指标（酸性高锰酸钾滴定法）（</w:t>
            </w:r>
            <w:r>
              <w:rPr>
                <w:rFonts w:ascii="Times New Roman" w:hAnsi="Times New Roman" w:cs="Times New Roman"/>
                <w:caps w:val="0"/>
                <w:smallCaps w:val="0"/>
              </w:rPr>
              <w:t>GB/T 5750.7-2006</w:t>
            </w:r>
            <w:r>
              <w:rPr>
                <w:rFonts w:hint="eastAsia" w:ascii="Times New Roman" w:hAnsi="Times New Roman" w:cs="Times New Roman"/>
                <w:caps w:val="0"/>
                <w:smallCaps w:val="0"/>
              </w:rPr>
              <w:t>）</w:t>
            </w:r>
          </w:p>
        </w:tc>
        <w:tc>
          <w:tcPr>
            <w:tcW w:w="204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50ml</w:t>
            </w:r>
            <w:r>
              <w:rPr>
                <w:rFonts w:hint="eastAsia" w:ascii="Times New Roman" w:hAnsi="Times New Roman" w:cs="Times New Roman"/>
                <w:caps w:val="0"/>
                <w:smallCaps w:val="0"/>
              </w:rPr>
              <w:t>滴定管</w:t>
            </w:r>
          </w:p>
        </w:tc>
        <w:tc>
          <w:tcPr>
            <w:tcW w:w="1470" w:type="dxa"/>
            <w:tcBorders>
              <w:tl2br w:val="nil"/>
              <w:tr2bl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0.05mg/L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22" w:hRule="atLeast"/>
        </w:trPr>
        <w:tc>
          <w:tcPr>
            <w:tcW w:w="862" w:type="dxa"/>
            <w:vMerge w:val="continue"/>
            <w:tcBorders>
              <w:tl2br w:val="nil"/>
              <w:tr2bl w:val="nil"/>
            </w:tcBorders>
            <w:noWrap/>
            <w:vAlign w:val="center"/>
          </w:tcPr>
          <w:p>
            <w:pPr>
              <w:pStyle w:val="117"/>
              <w:bidi w:val="0"/>
              <w:rPr>
                <w:rFonts w:ascii="Times New Roman" w:hAnsi="Times New Roman" w:cs="Times New Roman"/>
                <w:caps w:val="0"/>
                <w:smallCaps w:val="0"/>
              </w:rPr>
            </w:pPr>
          </w:p>
        </w:tc>
        <w:tc>
          <w:tcPr>
            <w:tcW w:w="1103"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总磷</w:t>
            </w:r>
          </w:p>
        </w:tc>
        <w:tc>
          <w:tcPr>
            <w:tcW w:w="3765"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水质总磷的测定钼酸铵分光光度法（GB 11893-1989）</w:t>
            </w:r>
          </w:p>
        </w:tc>
        <w:tc>
          <w:tcPr>
            <w:tcW w:w="2040" w:type="dxa"/>
            <w:tcBorders>
              <w:tl2br w:val="nil"/>
              <w:tr2bl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722</w:t>
            </w:r>
            <w:r>
              <w:rPr>
                <w:rFonts w:ascii="Times New Roman" w:hAnsi="Times New Roman" w:cs="Times New Roman"/>
                <w:caps w:val="0"/>
                <w:smallCaps w:val="0"/>
              </w:rPr>
              <w:t>可见分光光度计，JKFX-0</w:t>
            </w:r>
            <w:r>
              <w:rPr>
                <w:rFonts w:hint="eastAsia" w:ascii="Times New Roman" w:hAnsi="Times New Roman" w:cs="Times New Roman"/>
                <w:caps w:val="0"/>
                <w:smallCaps w:val="0"/>
              </w:rPr>
              <w:t>80</w:t>
            </w:r>
          </w:p>
        </w:tc>
        <w:tc>
          <w:tcPr>
            <w:tcW w:w="147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0.01mg/L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22" w:hRule="atLeast"/>
        </w:trPr>
        <w:tc>
          <w:tcPr>
            <w:tcW w:w="862" w:type="dxa"/>
            <w:vMerge w:val="continue"/>
            <w:tcBorders>
              <w:tl2br w:val="nil"/>
              <w:tr2bl w:val="nil"/>
            </w:tcBorders>
            <w:noWrap/>
            <w:vAlign w:val="center"/>
          </w:tcPr>
          <w:p>
            <w:pPr>
              <w:pStyle w:val="117"/>
              <w:bidi w:val="0"/>
              <w:rPr>
                <w:rFonts w:ascii="Times New Roman" w:hAnsi="Times New Roman" w:cs="Times New Roman"/>
                <w:caps w:val="0"/>
                <w:smallCaps w:val="0"/>
              </w:rPr>
            </w:pPr>
          </w:p>
        </w:tc>
        <w:tc>
          <w:tcPr>
            <w:tcW w:w="1103"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总氮</w:t>
            </w:r>
          </w:p>
        </w:tc>
        <w:tc>
          <w:tcPr>
            <w:tcW w:w="3765"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水质总氮的测定碱性过硫酸钾消解紫外分光光度法（HJ 636-2012）</w:t>
            </w:r>
          </w:p>
        </w:tc>
        <w:tc>
          <w:tcPr>
            <w:tcW w:w="204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UV-5100紫外</w:t>
            </w:r>
          </w:p>
          <w:p>
            <w:pPr>
              <w:pStyle w:val="117"/>
              <w:bidi w:val="0"/>
              <w:rPr>
                <w:rFonts w:ascii="Times New Roman" w:hAnsi="Times New Roman" w:cs="Times New Roman"/>
                <w:caps w:val="0"/>
                <w:smallCaps w:val="0"/>
              </w:rPr>
            </w:pPr>
            <w:r>
              <w:rPr>
                <w:rFonts w:ascii="Times New Roman" w:hAnsi="Times New Roman" w:cs="Times New Roman"/>
                <w:caps w:val="0"/>
                <w:smallCaps w:val="0"/>
              </w:rPr>
              <w:t>可见分光光度计，JKFX-010</w:t>
            </w:r>
          </w:p>
        </w:tc>
        <w:tc>
          <w:tcPr>
            <w:tcW w:w="147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22" w:hRule="atLeast"/>
        </w:trPr>
        <w:tc>
          <w:tcPr>
            <w:tcW w:w="862" w:type="dxa"/>
            <w:vMerge w:val="continue"/>
            <w:tcBorders>
              <w:tl2br w:val="nil"/>
              <w:tr2bl w:val="nil"/>
            </w:tcBorders>
            <w:noWrap/>
            <w:vAlign w:val="center"/>
          </w:tcPr>
          <w:p>
            <w:pPr>
              <w:pStyle w:val="117"/>
              <w:bidi w:val="0"/>
              <w:rPr>
                <w:rFonts w:ascii="Times New Roman" w:hAnsi="Times New Roman" w:cs="Times New Roman"/>
                <w:caps w:val="0"/>
                <w:smallCaps w:val="0"/>
              </w:rPr>
            </w:pPr>
          </w:p>
        </w:tc>
        <w:tc>
          <w:tcPr>
            <w:tcW w:w="1103"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石油类</w:t>
            </w:r>
          </w:p>
        </w:tc>
        <w:tc>
          <w:tcPr>
            <w:tcW w:w="3765"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水质石油类的测定紫外分光光度法</w:t>
            </w:r>
          </w:p>
          <w:p>
            <w:pPr>
              <w:pStyle w:val="117"/>
              <w:bidi w:val="0"/>
              <w:rPr>
                <w:rFonts w:ascii="Times New Roman" w:hAnsi="Times New Roman" w:cs="Times New Roman"/>
                <w:caps w:val="0"/>
                <w:smallCaps w:val="0"/>
              </w:rPr>
            </w:pPr>
            <w:r>
              <w:rPr>
                <w:rFonts w:ascii="Times New Roman" w:hAnsi="Times New Roman" w:cs="Times New Roman"/>
                <w:caps w:val="0"/>
                <w:smallCaps w:val="0"/>
              </w:rPr>
              <w:t>（试行）（HJ 970-2018）</w:t>
            </w:r>
          </w:p>
        </w:tc>
        <w:tc>
          <w:tcPr>
            <w:tcW w:w="204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UV-5100紫外</w:t>
            </w:r>
          </w:p>
          <w:p>
            <w:pPr>
              <w:pStyle w:val="117"/>
              <w:bidi w:val="0"/>
              <w:rPr>
                <w:rFonts w:ascii="Times New Roman" w:hAnsi="Times New Roman" w:cs="Times New Roman"/>
                <w:caps w:val="0"/>
                <w:smallCaps w:val="0"/>
              </w:rPr>
            </w:pPr>
            <w:r>
              <w:rPr>
                <w:rFonts w:ascii="Times New Roman" w:hAnsi="Times New Roman" w:cs="Times New Roman"/>
                <w:caps w:val="0"/>
                <w:smallCaps w:val="0"/>
              </w:rPr>
              <w:t>可见分光光度计，JKFX-010</w:t>
            </w:r>
          </w:p>
        </w:tc>
        <w:tc>
          <w:tcPr>
            <w:tcW w:w="147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0.01mg/L</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822" w:hRule="atLeast"/>
        </w:trPr>
        <w:tc>
          <w:tcPr>
            <w:tcW w:w="862" w:type="dxa"/>
            <w:vMerge w:val="continue"/>
            <w:tcBorders>
              <w:tl2br w:val="nil"/>
              <w:tr2bl w:val="nil"/>
            </w:tcBorders>
            <w:noWrap/>
            <w:vAlign w:val="center"/>
          </w:tcPr>
          <w:p>
            <w:pPr>
              <w:pStyle w:val="117"/>
              <w:bidi w:val="0"/>
              <w:rPr>
                <w:rFonts w:ascii="Times New Roman" w:hAnsi="Times New Roman" w:cs="Times New Roman"/>
                <w:caps w:val="0"/>
                <w:smallCaps w:val="0"/>
              </w:rPr>
            </w:pPr>
          </w:p>
        </w:tc>
        <w:tc>
          <w:tcPr>
            <w:tcW w:w="1103"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阴离子表面活性剂</w:t>
            </w:r>
          </w:p>
        </w:tc>
        <w:tc>
          <w:tcPr>
            <w:tcW w:w="3765"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水质阴离子表面活性剂的测定亚甲蓝分光光度法（GB 7494-1987）</w:t>
            </w:r>
          </w:p>
        </w:tc>
        <w:tc>
          <w:tcPr>
            <w:tcW w:w="204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UV-5100紫外</w:t>
            </w:r>
          </w:p>
          <w:p>
            <w:pPr>
              <w:pStyle w:val="117"/>
              <w:bidi w:val="0"/>
              <w:rPr>
                <w:rFonts w:ascii="Times New Roman" w:hAnsi="Times New Roman" w:cs="Times New Roman"/>
                <w:caps w:val="0"/>
                <w:smallCaps w:val="0"/>
              </w:rPr>
            </w:pPr>
            <w:r>
              <w:rPr>
                <w:rFonts w:ascii="Times New Roman" w:hAnsi="Times New Roman" w:cs="Times New Roman"/>
                <w:caps w:val="0"/>
                <w:smallCaps w:val="0"/>
              </w:rPr>
              <w:t>可见分光光度计，JKFX-010</w:t>
            </w:r>
          </w:p>
        </w:tc>
        <w:tc>
          <w:tcPr>
            <w:tcW w:w="1470" w:type="dxa"/>
            <w:tcBorders>
              <w:tl2br w:val="nil"/>
              <w:tr2bl w:val="nil"/>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0.05mg/L</w:t>
            </w:r>
          </w:p>
        </w:tc>
      </w:tr>
    </w:tbl>
    <w:p>
      <w:pPr>
        <w:pStyle w:val="337"/>
        <w:snapToGrid w:val="0"/>
        <w:spacing w:line="360" w:lineRule="auto"/>
        <w:ind w:firstLine="482"/>
        <w:rPr>
          <w:rFonts w:ascii="Times New Roman" w:hAnsi="Times New Roman" w:cs="Times New Roman" w:eastAsiaTheme="minorEastAsia"/>
          <w:caps w:val="0"/>
          <w:smallCaps w:val="0"/>
          <w:color w:val="000000"/>
        </w:rPr>
      </w:pPr>
      <w:r>
        <w:rPr>
          <w:rFonts w:ascii="Times New Roman" w:hAnsi="Times New Roman" w:cs="Times New Roman" w:eastAsiaTheme="minorEastAsia"/>
          <w:caps w:val="0"/>
          <w:smallCaps w:val="0"/>
          <w:color w:val="000000"/>
        </w:rPr>
        <w:t>本项目所在地地下水执行《地下水质量标准》（GB/T14848-2017）</w:t>
      </w:r>
      <w:r>
        <w:rPr>
          <w:rFonts w:hint="eastAsia" w:ascii="Times New Roman" w:hAnsi="Times New Roman" w:cs="Times New Roman"/>
          <w:caps w:val="0"/>
          <w:smallCaps w:val="0"/>
          <w:color w:val="000000"/>
        </w:rPr>
        <w:t>Ⅲ</w:t>
      </w:r>
      <w:r>
        <w:rPr>
          <w:rFonts w:ascii="Times New Roman" w:hAnsi="Times New Roman" w:cs="Times New Roman" w:eastAsiaTheme="minorEastAsia"/>
          <w:caps w:val="0"/>
          <w:smallCaps w:val="0"/>
          <w:color w:val="000000"/>
        </w:rPr>
        <w:t>类标准。</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地下水环境质量现状评价</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评价区域地表水体各现状监测断面的水质单项指标测定值作为水质评价参数，对照《地下水质量标准》（GB/T14848-2017）中的</w:t>
      </w:r>
      <w:r>
        <w:rPr>
          <w:rFonts w:hint="eastAsia" w:ascii="Times New Roman" w:hAnsi="Times New Roman" w:cs="Times New Roman"/>
          <w:caps w:val="0"/>
          <w:smallCaps w:val="0"/>
          <w:sz w:val="24"/>
          <w:szCs w:val="24"/>
        </w:rPr>
        <w:t>Ⅲ</w:t>
      </w:r>
      <w:r>
        <w:rPr>
          <w:rFonts w:ascii="Times New Roman" w:hAnsi="Times New Roman" w:cs="Times New Roman" w:eastAsiaTheme="minorEastAsia"/>
          <w:caps w:val="0"/>
          <w:smallCaps w:val="0"/>
          <w:sz w:val="24"/>
          <w:szCs w:val="24"/>
        </w:rPr>
        <w:t>类标准限值进行单项水质参数评价，评价方法与地表水评价方法相同。分析结果详见表4.</w:t>
      </w:r>
      <w:r>
        <w:rPr>
          <w:rFonts w:hint="eastAsia" w:ascii="Times New Roman" w:hAnsi="Times New Roman" w:cs="Times New Roman" w:eastAsiaTheme="minorEastAsia"/>
          <w:caps w:val="0"/>
          <w:smallCaps w:val="0"/>
          <w:sz w:val="24"/>
          <w:szCs w:val="24"/>
          <w:lang w:val="en-US" w:eastAsia="zh-CN"/>
        </w:rPr>
        <w:t>4</w:t>
      </w:r>
      <w:r>
        <w:rPr>
          <w:rFonts w:ascii="Times New Roman" w:hAnsi="Times New Roman" w:cs="Times New Roman" w:eastAsiaTheme="minorEastAsia"/>
          <w:caps w:val="0"/>
          <w:smallCaps w:val="0"/>
          <w:sz w:val="24"/>
          <w:szCs w:val="24"/>
        </w:rPr>
        <w:t>-3。</w:t>
      </w:r>
    </w:p>
    <w:p>
      <w:pPr>
        <w:adjustRightInd w:val="0"/>
        <w:snapToGrid w:val="0"/>
        <w:spacing w:line="276" w:lineRule="auto"/>
        <w:jc w:val="right"/>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sz w:val="24"/>
          <w:szCs w:val="24"/>
        </w:rPr>
        <w:t>表4.</w:t>
      </w:r>
      <w:r>
        <w:rPr>
          <w:rFonts w:hint="eastAsia" w:ascii="Times New Roman" w:hAnsi="Times New Roman" w:cs="Times New Roman" w:eastAsiaTheme="minorEastAsia"/>
          <w:b/>
          <w:caps w:val="0"/>
          <w:smallCaps w:val="0"/>
          <w:sz w:val="24"/>
          <w:szCs w:val="24"/>
          <w:lang w:val="en-US" w:eastAsia="zh-CN"/>
        </w:rPr>
        <w:t>4</w:t>
      </w:r>
      <w:r>
        <w:rPr>
          <w:rFonts w:ascii="Times New Roman" w:hAnsi="Times New Roman" w:cs="Times New Roman" w:eastAsiaTheme="minorEastAsia"/>
          <w:b/>
          <w:caps w:val="0"/>
          <w:smallCaps w:val="0"/>
          <w:sz w:val="24"/>
          <w:szCs w:val="24"/>
        </w:rPr>
        <w:t>-3</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地下水环境水质监测结果一览表</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单位：mg/L pH值（无量纲）</w:t>
      </w:r>
    </w:p>
    <w:tbl>
      <w:tblPr>
        <w:tblStyle w:val="71"/>
        <w:tblW w:w="5896" w:type="pct"/>
        <w:jc w:val="center"/>
        <w:tblLayout w:type="fixed"/>
        <w:tblCellMar>
          <w:top w:w="0" w:type="dxa"/>
          <w:left w:w="108" w:type="dxa"/>
          <w:bottom w:w="0" w:type="dxa"/>
          <w:right w:w="108" w:type="dxa"/>
        </w:tblCellMar>
      </w:tblPr>
      <w:tblGrid>
        <w:gridCol w:w="832"/>
        <w:gridCol w:w="991"/>
        <w:gridCol w:w="751"/>
        <w:gridCol w:w="1211"/>
        <w:gridCol w:w="951"/>
        <w:gridCol w:w="791"/>
        <w:gridCol w:w="810"/>
        <w:gridCol w:w="1161"/>
        <w:gridCol w:w="841"/>
        <w:gridCol w:w="841"/>
        <w:gridCol w:w="841"/>
        <w:gridCol w:w="847"/>
      </w:tblGrid>
      <w:tr>
        <w:tblPrEx>
          <w:tblCellMar>
            <w:top w:w="0" w:type="dxa"/>
            <w:left w:w="108" w:type="dxa"/>
            <w:bottom w:w="0" w:type="dxa"/>
            <w:right w:w="108" w:type="dxa"/>
          </w:tblCellMar>
        </w:tblPrEx>
        <w:trPr>
          <w:trHeight w:val="452" w:hRule="atLeast"/>
          <w:jc w:val="center"/>
        </w:trPr>
        <w:tc>
          <w:tcPr>
            <w:tcW w:w="832" w:type="dxa"/>
            <w:vMerge w:val="restart"/>
            <w:tcBorders>
              <w:top w:val="single" w:color="000000" w:sz="12" w:space="0"/>
              <w:left w:val="nil"/>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采样点位</w:t>
            </w:r>
          </w:p>
        </w:tc>
        <w:tc>
          <w:tcPr>
            <w:tcW w:w="991" w:type="dxa"/>
            <w:vMerge w:val="restart"/>
            <w:tcBorders>
              <w:top w:val="single" w:color="000000" w:sz="12" w:space="0"/>
              <w:left w:val="single" w:color="000000" w:sz="4"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采样日期</w:t>
            </w:r>
          </w:p>
        </w:tc>
        <w:tc>
          <w:tcPr>
            <w:tcW w:w="751" w:type="dxa"/>
            <w:vMerge w:val="restart"/>
            <w:tcBorders>
              <w:top w:val="single" w:color="000000" w:sz="12" w:space="0"/>
              <w:left w:val="single" w:color="000000" w:sz="4" w:space="0"/>
              <w:right w:val="single" w:color="000000" w:sz="4" w:space="0"/>
            </w:tcBorders>
            <w:shd w:val="clear" w:color="auto" w:fill="FFFFFF"/>
            <w:noWrap/>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水位</w:t>
            </w:r>
          </w:p>
        </w:tc>
        <w:tc>
          <w:tcPr>
            <w:tcW w:w="1211" w:type="dxa"/>
            <w:vMerge w:val="restart"/>
            <w:tcBorders>
              <w:top w:val="single" w:color="000000" w:sz="12"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样品状态</w:t>
            </w:r>
          </w:p>
        </w:tc>
        <w:tc>
          <w:tcPr>
            <w:tcW w:w="7083" w:type="dxa"/>
            <w:gridSpan w:val="8"/>
            <w:tcBorders>
              <w:top w:val="single" w:color="000000" w:sz="12" w:space="0"/>
              <w:left w:val="single" w:color="000000" w:sz="4" w:space="0"/>
              <w:bottom w:val="single" w:color="000000" w:sz="8" w:space="0"/>
              <w:right w:val="nil"/>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检测结果（mg/L，pH值：无量纲）</w:t>
            </w:r>
          </w:p>
        </w:tc>
      </w:tr>
      <w:tr>
        <w:tblPrEx>
          <w:tblCellMar>
            <w:top w:w="0" w:type="dxa"/>
            <w:left w:w="108" w:type="dxa"/>
            <w:bottom w:w="0" w:type="dxa"/>
            <w:right w:w="108" w:type="dxa"/>
          </w:tblCellMar>
        </w:tblPrEx>
        <w:trPr>
          <w:trHeight w:val="788" w:hRule="atLeast"/>
          <w:jc w:val="center"/>
        </w:trPr>
        <w:tc>
          <w:tcPr>
            <w:tcW w:w="832" w:type="dxa"/>
            <w:vMerge w:val="continue"/>
            <w:tcBorders>
              <w:top w:val="single" w:color="000000" w:sz="8" w:space="0"/>
              <w:left w:val="nil"/>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p>
        </w:tc>
        <w:tc>
          <w:tcPr>
            <w:tcW w:w="991" w:type="dxa"/>
            <w:vMerge w:val="continue"/>
            <w:tcBorders>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p>
        </w:tc>
        <w:tc>
          <w:tcPr>
            <w:tcW w:w="751" w:type="dxa"/>
            <w:vMerge w:val="continue"/>
            <w:tcBorders>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p>
        </w:tc>
        <w:tc>
          <w:tcPr>
            <w:tcW w:w="1211" w:type="dxa"/>
            <w:vMerge w:val="continue"/>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p>
        </w:tc>
        <w:tc>
          <w:tcPr>
            <w:tcW w:w="95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pH</w:t>
            </w:r>
            <w:r>
              <w:rPr>
                <w:rFonts w:hint="eastAsia" w:ascii="Times New Roman" w:hAnsi="Times New Roman" w:cs="Times New Roman"/>
                <w:caps w:val="0"/>
                <w:smallCaps w:val="0"/>
              </w:rPr>
              <w:t>值</w:t>
            </w:r>
          </w:p>
        </w:tc>
        <w:tc>
          <w:tcPr>
            <w:tcW w:w="79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悬浮物</w:t>
            </w:r>
          </w:p>
        </w:tc>
        <w:tc>
          <w:tcPr>
            <w:tcW w:w="810"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耗氧量</w:t>
            </w:r>
          </w:p>
        </w:tc>
        <w:tc>
          <w:tcPr>
            <w:tcW w:w="116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氨氮</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总磷</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总氮</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石油类</w:t>
            </w:r>
          </w:p>
        </w:tc>
        <w:tc>
          <w:tcPr>
            <w:tcW w:w="847" w:type="dxa"/>
            <w:tcBorders>
              <w:top w:val="single" w:color="000000" w:sz="8" w:space="0"/>
              <w:left w:val="single" w:color="000000" w:sz="4" w:space="0"/>
              <w:bottom w:val="single" w:color="000000" w:sz="8" w:space="0"/>
              <w:right w:val="nil"/>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阴离子表面活性</w:t>
            </w:r>
          </w:p>
        </w:tc>
      </w:tr>
      <w:tr>
        <w:tblPrEx>
          <w:tblCellMar>
            <w:top w:w="0" w:type="dxa"/>
            <w:left w:w="108" w:type="dxa"/>
            <w:bottom w:w="0" w:type="dxa"/>
            <w:right w:w="108" w:type="dxa"/>
          </w:tblCellMar>
        </w:tblPrEx>
        <w:trPr>
          <w:trHeight w:val="533" w:hRule="atLeast"/>
          <w:jc w:val="center"/>
        </w:trPr>
        <w:tc>
          <w:tcPr>
            <w:tcW w:w="832" w:type="dxa"/>
            <w:tcBorders>
              <w:top w:val="single" w:color="000000" w:sz="8" w:space="0"/>
              <w:left w:val="nil"/>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U1</w:t>
            </w:r>
          </w:p>
        </w:tc>
        <w:tc>
          <w:tcPr>
            <w:tcW w:w="99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75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12</w:t>
            </w:r>
          </w:p>
        </w:tc>
        <w:tc>
          <w:tcPr>
            <w:tcW w:w="121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无色无味澄清</w:t>
            </w:r>
          </w:p>
        </w:tc>
        <w:tc>
          <w:tcPr>
            <w:tcW w:w="95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7.35</w:t>
            </w:r>
          </w:p>
        </w:tc>
        <w:tc>
          <w:tcPr>
            <w:tcW w:w="79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w:t>
            </w:r>
          </w:p>
        </w:tc>
        <w:tc>
          <w:tcPr>
            <w:tcW w:w="810"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0.26</w:t>
            </w:r>
          </w:p>
        </w:tc>
        <w:tc>
          <w:tcPr>
            <w:tcW w:w="116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0.025L</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0.01</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0.17</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0.01L</w:t>
            </w:r>
          </w:p>
        </w:tc>
        <w:tc>
          <w:tcPr>
            <w:tcW w:w="847" w:type="dxa"/>
            <w:tcBorders>
              <w:top w:val="single" w:color="000000" w:sz="8" w:space="0"/>
              <w:left w:val="single" w:color="000000" w:sz="4" w:space="0"/>
              <w:bottom w:val="single" w:color="000000" w:sz="8" w:space="0"/>
              <w:right w:val="nil"/>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0.05L</w:t>
            </w:r>
          </w:p>
        </w:tc>
      </w:tr>
      <w:tr>
        <w:tblPrEx>
          <w:tblCellMar>
            <w:top w:w="0" w:type="dxa"/>
            <w:left w:w="108" w:type="dxa"/>
            <w:bottom w:w="0" w:type="dxa"/>
            <w:right w:w="108" w:type="dxa"/>
          </w:tblCellMar>
        </w:tblPrEx>
        <w:trPr>
          <w:trHeight w:val="531" w:hRule="atLeast"/>
          <w:jc w:val="center"/>
        </w:trPr>
        <w:tc>
          <w:tcPr>
            <w:tcW w:w="832" w:type="dxa"/>
            <w:tcBorders>
              <w:top w:val="single" w:color="000000" w:sz="8" w:space="0"/>
              <w:left w:val="nil"/>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U2</w:t>
            </w:r>
          </w:p>
        </w:tc>
        <w:tc>
          <w:tcPr>
            <w:tcW w:w="99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75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13</w:t>
            </w:r>
          </w:p>
        </w:tc>
        <w:tc>
          <w:tcPr>
            <w:tcW w:w="121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无色无味澄清</w:t>
            </w:r>
          </w:p>
        </w:tc>
        <w:tc>
          <w:tcPr>
            <w:tcW w:w="95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7.42</w:t>
            </w:r>
          </w:p>
        </w:tc>
        <w:tc>
          <w:tcPr>
            <w:tcW w:w="79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w:t>
            </w:r>
          </w:p>
        </w:tc>
        <w:tc>
          <w:tcPr>
            <w:tcW w:w="810"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0.31</w:t>
            </w:r>
          </w:p>
        </w:tc>
        <w:tc>
          <w:tcPr>
            <w:tcW w:w="116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0.025L</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0.01</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0.12</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0.01L</w:t>
            </w:r>
          </w:p>
        </w:tc>
        <w:tc>
          <w:tcPr>
            <w:tcW w:w="847" w:type="dxa"/>
            <w:tcBorders>
              <w:top w:val="single" w:color="000000" w:sz="8" w:space="0"/>
              <w:left w:val="single" w:color="000000" w:sz="4" w:space="0"/>
              <w:bottom w:val="single" w:color="000000" w:sz="8" w:space="0"/>
              <w:right w:val="nil"/>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0.05L</w:t>
            </w:r>
          </w:p>
        </w:tc>
      </w:tr>
      <w:tr>
        <w:tblPrEx>
          <w:tblCellMar>
            <w:top w:w="0" w:type="dxa"/>
            <w:left w:w="108" w:type="dxa"/>
            <w:bottom w:w="0" w:type="dxa"/>
            <w:right w:w="108" w:type="dxa"/>
          </w:tblCellMar>
        </w:tblPrEx>
        <w:trPr>
          <w:trHeight w:val="531" w:hRule="atLeast"/>
          <w:jc w:val="center"/>
        </w:trPr>
        <w:tc>
          <w:tcPr>
            <w:tcW w:w="832" w:type="dxa"/>
            <w:tcBorders>
              <w:top w:val="single" w:color="000000" w:sz="8" w:space="0"/>
              <w:left w:val="nil"/>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U3</w:t>
            </w:r>
          </w:p>
        </w:tc>
        <w:tc>
          <w:tcPr>
            <w:tcW w:w="99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75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hint="default"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15</w:t>
            </w:r>
          </w:p>
        </w:tc>
        <w:tc>
          <w:tcPr>
            <w:tcW w:w="121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无色无味澄清</w:t>
            </w:r>
          </w:p>
        </w:tc>
        <w:tc>
          <w:tcPr>
            <w:tcW w:w="95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7.31</w:t>
            </w:r>
          </w:p>
        </w:tc>
        <w:tc>
          <w:tcPr>
            <w:tcW w:w="79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w:t>
            </w:r>
          </w:p>
        </w:tc>
        <w:tc>
          <w:tcPr>
            <w:tcW w:w="810"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0.29</w:t>
            </w:r>
          </w:p>
        </w:tc>
        <w:tc>
          <w:tcPr>
            <w:tcW w:w="116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0.025L</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0.01</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0.14</w:t>
            </w:r>
          </w:p>
        </w:tc>
        <w:tc>
          <w:tcPr>
            <w:tcW w:w="841" w:type="dxa"/>
            <w:tcBorders>
              <w:top w:val="single" w:color="000000" w:sz="8" w:space="0"/>
              <w:left w:val="single" w:color="000000" w:sz="4" w:space="0"/>
              <w:bottom w:val="single" w:color="000000" w:sz="8"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0.01L</w:t>
            </w:r>
          </w:p>
        </w:tc>
        <w:tc>
          <w:tcPr>
            <w:tcW w:w="847" w:type="dxa"/>
            <w:tcBorders>
              <w:top w:val="single" w:color="000000" w:sz="8" w:space="0"/>
              <w:left w:val="single" w:color="000000" w:sz="4" w:space="0"/>
              <w:bottom w:val="single" w:color="000000" w:sz="8" w:space="0"/>
              <w:right w:val="nil"/>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0.05L</w:t>
            </w:r>
          </w:p>
        </w:tc>
      </w:tr>
      <w:tr>
        <w:tblPrEx>
          <w:tblCellMar>
            <w:top w:w="0" w:type="dxa"/>
            <w:left w:w="108" w:type="dxa"/>
            <w:bottom w:w="0" w:type="dxa"/>
            <w:right w:w="108" w:type="dxa"/>
          </w:tblCellMar>
        </w:tblPrEx>
        <w:trPr>
          <w:trHeight w:val="488" w:hRule="atLeast"/>
          <w:jc w:val="center"/>
        </w:trPr>
        <w:tc>
          <w:tcPr>
            <w:tcW w:w="3785" w:type="dxa"/>
            <w:gridSpan w:val="4"/>
            <w:tcBorders>
              <w:top w:val="single" w:color="000000" w:sz="8" w:space="0"/>
              <w:left w:val="nil"/>
              <w:bottom w:val="single" w:color="000000" w:sz="12"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执行标准</w:t>
            </w:r>
          </w:p>
        </w:tc>
        <w:tc>
          <w:tcPr>
            <w:tcW w:w="951" w:type="dxa"/>
            <w:tcBorders>
              <w:top w:val="single" w:color="000000" w:sz="8" w:space="0"/>
              <w:left w:val="single" w:color="000000" w:sz="4" w:space="0"/>
              <w:bottom w:val="single" w:color="000000" w:sz="12"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6.5~8.5</w:t>
            </w:r>
          </w:p>
        </w:tc>
        <w:tc>
          <w:tcPr>
            <w:tcW w:w="791" w:type="dxa"/>
            <w:tcBorders>
              <w:top w:val="single" w:color="000000" w:sz="8" w:space="0"/>
              <w:left w:val="single" w:color="000000" w:sz="4" w:space="0"/>
              <w:bottom w:val="single" w:color="000000" w:sz="12"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p>
        </w:tc>
        <w:tc>
          <w:tcPr>
            <w:tcW w:w="810" w:type="dxa"/>
            <w:tcBorders>
              <w:top w:val="single" w:color="000000" w:sz="8" w:space="0"/>
              <w:left w:val="single" w:color="000000" w:sz="4" w:space="0"/>
              <w:bottom w:val="single" w:color="000000" w:sz="12"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r>
              <w:rPr>
                <w:rFonts w:hint="eastAsia" w:ascii="Times New Roman" w:hAnsi="Times New Roman" w:cs="Times New Roman"/>
                <w:caps w:val="0"/>
                <w:smallCaps w:val="0"/>
              </w:rPr>
              <w:t>3.0</w:t>
            </w:r>
          </w:p>
        </w:tc>
        <w:tc>
          <w:tcPr>
            <w:tcW w:w="1161" w:type="dxa"/>
            <w:tcBorders>
              <w:top w:val="single" w:color="000000" w:sz="8" w:space="0"/>
              <w:left w:val="single" w:color="000000" w:sz="4" w:space="0"/>
              <w:bottom w:val="single" w:color="000000" w:sz="12"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≤0.5mg/L</w:t>
            </w:r>
          </w:p>
        </w:tc>
        <w:tc>
          <w:tcPr>
            <w:tcW w:w="841" w:type="dxa"/>
            <w:tcBorders>
              <w:top w:val="single" w:color="000000" w:sz="8" w:space="0"/>
              <w:left w:val="single" w:color="000000" w:sz="4" w:space="0"/>
              <w:bottom w:val="single" w:color="000000" w:sz="12"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p>
        </w:tc>
        <w:tc>
          <w:tcPr>
            <w:tcW w:w="841" w:type="dxa"/>
            <w:tcBorders>
              <w:top w:val="single" w:color="000000" w:sz="8" w:space="0"/>
              <w:left w:val="single" w:color="000000" w:sz="4" w:space="0"/>
              <w:bottom w:val="single" w:color="000000" w:sz="12"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p>
        </w:tc>
        <w:tc>
          <w:tcPr>
            <w:tcW w:w="841" w:type="dxa"/>
            <w:tcBorders>
              <w:top w:val="single" w:color="000000" w:sz="8" w:space="0"/>
              <w:left w:val="single" w:color="000000" w:sz="4" w:space="0"/>
              <w:bottom w:val="single" w:color="000000" w:sz="12" w:space="0"/>
              <w:right w:val="single" w:color="000000" w:sz="4" w:space="0"/>
            </w:tcBorders>
            <w:shd w:val="clear" w:color="auto" w:fill="FFFFFF"/>
            <w:noWrap/>
            <w:vAlign w:val="center"/>
          </w:tcPr>
          <w:p>
            <w:pPr>
              <w:pStyle w:val="117"/>
              <w:bidi w:val="0"/>
              <w:rPr>
                <w:rFonts w:ascii="Times New Roman" w:hAnsi="Times New Roman" w:cs="Times New Roman"/>
                <w:caps w:val="0"/>
                <w:smallCaps w:val="0"/>
              </w:rPr>
            </w:pPr>
          </w:p>
        </w:tc>
        <w:tc>
          <w:tcPr>
            <w:tcW w:w="847" w:type="dxa"/>
            <w:tcBorders>
              <w:top w:val="single" w:color="000000" w:sz="8" w:space="0"/>
              <w:left w:val="single" w:color="000000" w:sz="4" w:space="0"/>
              <w:bottom w:val="single" w:color="000000" w:sz="12" w:space="0"/>
              <w:right w:val="nil"/>
            </w:tcBorders>
            <w:shd w:val="clear" w:color="auto" w:fill="FFFFFF"/>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r>
              <w:rPr>
                <w:rFonts w:hint="eastAsia" w:ascii="Times New Roman" w:hAnsi="Times New Roman" w:cs="Times New Roman"/>
                <w:caps w:val="0"/>
                <w:smallCaps w:val="0"/>
              </w:rPr>
              <w:t>0.3</w:t>
            </w:r>
          </w:p>
        </w:tc>
      </w:tr>
    </w:tbl>
    <w:p>
      <w:pP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caps w:val="0"/>
          <w:smallCaps w:val="0"/>
        </w:rPr>
        <w:t>注：</w:t>
      </w:r>
      <w:r>
        <w:rPr>
          <w:rFonts w:hint="eastAsia" w:ascii="Times New Roman" w:hAnsi="Times New Roman" w:cs="Times New Roman" w:eastAsiaTheme="minorEastAsia"/>
          <w:caps w:val="0"/>
          <w:smallCaps w:val="0"/>
        </w:rPr>
        <w:t>L</w:t>
      </w:r>
      <w:r>
        <w:rPr>
          <w:rFonts w:ascii="Times New Roman" w:hAnsi="Times New Roman" w:cs="Times New Roman" w:eastAsiaTheme="minorEastAsia"/>
          <w:caps w:val="0"/>
          <w:smallCaps w:val="0"/>
        </w:rPr>
        <w:t>表示低于该方法检出限</w:t>
      </w:r>
      <w:r>
        <w:rPr>
          <w:rFonts w:ascii="Times New Roman" w:hAnsi="Times New Roman" w:cs="Times New Roman" w:eastAsiaTheme="minorEastAsia"/>
          <w:bCs/>
          <w:caps w:val="0"/>
          <w:smallCaps w:val="0"/>
        </w:rPr>
        <w:t>。</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地下水现状评价执行《地下水质量标准》（GB/T 14848-2017）的</w:t>
      </w:r>
      <w:r>
        <w:rPr>
          <w:rFonts w:hint="eastAsia" w:ascii="Times New Roman" w:hAnsi="Times New Roman" w:cs="Times New Roman"/>
          <w:caps w:val="0"/>
          <w:smallCaps w:val="0"/>
          <w:sz w:val="24"/>
          <w:szCs w:val="24"/>
        </w:rPr>
        <w:t>Ⅲ</w:t>
      </w:r>
      <w:r>
        <w:rPr>
          <w:rFonts w:ascii="Times New Roman" w:hAnsi="Times New Roman" w:cs="Times New Roman" w:eastAsiaTheme="minorEastAsia"/>
          <w:caps w:val="0"/>
          <w:smallCaps w:val="0"/>
          <w:sz w:val="24"/>
          <w:szCs w:val="24"/>
        </w:rPr>
        <w:t>类标准。从表中可以看出，各监测指标均可达到</w:t>
      </w:r>
      <w:r>
        <w:rPr>
          <w:rFonts w:hint="eastAsia" w:ascii="Times New Roman" w:hAnsi="Times New Roman" w:cs="Times New Roman"/>
          <w:caps w:val="0"/>
          <w:smallCaps w:val="0"/>
          <w:sz w:val="24"/>
          <w:szCs w:val="24"/>
        </w:rPr>
        <w:t>Ⅲ</w:t>
      </w:r>
      <w:r>
        <w:rPr>
          <w:rFonts w:ascii="Times New Roman" w:hAnsi="Times New Roman" w:cs="Times New Roman" w:eastAsiaTheme="minorEastAsia"/>
          <w:caps w:val="0"/>
          <w:smallCaps w:val="0"/>
          <w:sz w:val="24"/>
          <w:szCs w:val="24"/>
        </w:rPr>
        <w:t>类标准。</w:t>
      </w:r>
    </w:p>
    <w:p>
      <w:pPr>
        <w:pStyle w:val="5"/>
        <w:rPr>
          <w:rFonts w:ascii="Times New Roman" w:hAnsi="Times New Roman" w:cs="Times New Roman" w:eastAsiaTheme="minorEastAsia"/>
          <w:b/>
          <w:caps w:val="0"/>
          <w:smallCaps w:val="0"/>
        </w:rPr>
      </w:pPr>
      <w:bookmarkStart w:id="74" w:name="_Toc1647847"/>
      <w:bookmarkEnd w:id="74"/>
      <w:bookmarkStart w:id="75" w:name="_Toc4204"/>
      <w:r>
        <w:rPr>
          <w:rFonts w:ascii="Times New Roman" w:hAnsi="Times New Roman" w:cs="Times New Roman" w:eastAsiaTheme="minorEastAsia"/>
          <w:b/>
          <w:caps w:val="0"/>
          <w:smallCaps w:val="0"/>
        </w:rPr>
        <w:t>环境空气现状调查与评价</w:t>
      </w:r>
      <w:bookmarkEnd w:id="75"/>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环境空气质量现状调查</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现状调查</w:t>
      </w:r>
    </w:p>
    <w:p>
      <w:pPr>
        <w:pStyle w:val="109"/>
        <w:adjustRightInd w:val="0"/>
        <w:snapToGrid w:val="0"/>
        <w:spacing w:line="360" w:lineRule="auto"/>
        <w:ind w:firstLine="480"/>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本项目沿线所经地区多为农村、环境空气质量保持自然状况。评价范围内无大型固定污染源，现有环境空气污染源主要来自道路汽车尾气、二次扬尘、人群生产生活所产生的一氧化碳和总悬浮颗粒物等，但排放量较小。</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项目区污染气象特征</w:t>
      </w:r>
    </w:p>
    <w:p>
      <w:pPr>
        <w:pStyle w:val="109"/>
        <w:adjustRightInd w:val="0"/>
        <w:snapToGrid w:val="0"/>
        <w:spacing w:line="360" w:lineRule="auto"/>
        <w:ind w:left="-25" w:firstLine="482"/>
        <w:rPr>
          <w:rFonts w:ascii="Times New Roman" w:hAnsi="Times New Roman" w:cs="Times New Roman" w:eastAsiaTheme="minorEastAsia"/>
          <w:b/>
          <w:caps w:val="0"/>
          <w:smallCaps w:val="0"/>
        </w:rPr>
      </w:pPr>
      <w:r>
        <w:rPr>
          <w:rFonts w:ascii="Times New Roman" w:hAnsi="Times New Roman" w:cs="Times New Roman" w:eastAsiaTheme="minorEastAsia"/>
          <w:b/>
          <w:caps w:val="0"/>
          <w:smallCaps w:val="0"/>
        </w:rPr>
        <w:t>1、地面风</w:t>
      </w:r>
    </w:p>
    <w:p>
      <w:pPr>
        <w:pStyle w:val="109"/>
        <w:adjustRightInd w:val="0"/>
        <w:snapToGrid w:val="0"/>
        <w:spacing w:line="360" w:lineRule="auto"/>
        <w:ind w:left="-25" w:firstLine="480"/>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根据相关资料，项目区多年平均风速2.6m/s。常年主导风向以</w: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HYPERLINK"http://wenwen.soso.com/z/Search.e?sp=S%E8%A5%BF%E5%8C%97%E9%A3%8E&amp;ch=w.search.yjjlink&amp;cid=w.search.yjjlink"</w:instrText>
      </w:r>
      <w:r>
        <w:rPr>
          <w:rFonts w:ascii="Times New Roman" w:hAnsi="Times New Roman" w:cs="Times New Roman"/>
          <w:caps w:val="0"/>
          <w:smallCaps w:val="0"/>
        </w:rPr>
        <w:fldChar w:fldCharType="separate"/>
      </w:r>
      <w:r>
        <w:rPr>
          <w:rFonts w:ascii="Times New Roman" w:hAnsi="Times New Roman" w:cs="Times New Roman" w:eastAsiaTheme="minorEastAsia"/>
          <w:caps w:val="0"/>
          <w:smallCaps w:val="0"/>
        </w:rPr>
        <w:t>东北风</w:t>
      </w:r>
      <w:r>
        <w:rPr>
          <w:rFonts w:ascii="Times New Roman" w:hAnsi="Times New Roman" w:cs="Times New Roman" w:eastAsiaTheme="minorEastAsia"/>
          <w:caps w:val="0"/>
          <w:smallCaps w:val="0"/>
        </w:rPr>
        <w:fldChar w:fldCharType="end"/>
      </w:r>
      <w:r>
        <w:rPr>
          <w:rFonts w:ascii="Times New Roman" w:hAnsi="Times New Roman" w:cs="Times New Roman" w:eastAsiaTheme="minorEastAsia"/>
          <w:caps w:val="0"/>
          <w:smallCaps w:val="0"/>
        </w:rPr>
        <w:t>为主。</w:t>
      </w:r>
    </w:p>
    <w:p>
      <w:pPr>
        <w:pStyle w:val="109"/>
        <w:adjustRightInd w:val="0"/>
        <w:snapToGrid w:val="0"/>
        <w:spacing w:line="360" w:lineRule="auto"/>
        <w:ind w:left="-25" w:firstLine="482"/>
        <w:rPr>
          <w:rFonts w:ascii="Times New Roman" w:hAnsi="Times New Roman" w:cs="Times New Roman" w:eastAsiaTheme="minorEastAsia"/>
          <w:b/>
          <w:caps w:val="0"/>
          <w:smallCaps w:val="0"/>
        </w:rPr>
      </w:pPr>
      <w:r>
        <w:rPr>
          <w:rFonts w:ascii="Times New Roman" w:hAnsi="Times New Roman" w:cs="Times New Roman" w:eastAsiaTheme="minorEastAsia"/>
          <w:b/>
          <w:caps w:val="0"/>
          <w:smallCaps w:val="0"/>
        </w:rPr>
        <w:t>2、大气稳定度的确定</w:t>
      </w:r>
    </w:p>
    <w:p>
      <w:pPr>
        <w:pStyle w:val="109"/>
        <w:adjustRightInd w:val="0"/>
        <w:snapToGrid w:val="0"/>
        <w:spacing w:line="360" w:lineRule="auto"/>
        <w:ind w:left="-25" w:firstLine="480"/>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根据国家气象部门调查，项目区内大气稳定度以中性D类为主。</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项目区环境空气质量达标分析</w:t>
      </w:r>
    </w:p>
    <w:p>
      <w:pPr>
        <w:pStyle w:val="109"/>
        <w:adjustRightInd w:val="0"/>
        <w:snapToGrid w:val="0"/>
        <w:spacing w:line="360" w:lineRule="auto"/>
        <w:ind w:left="-25" w:firstLine="480"/>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根据《环境影响评价技术导则-大气环境》(HJ2.2-2018)中二级项目需调查项目所在区域环境质量达标情况，采用评价范围内国家或地方环境空气质量监测网中评价基准年连续一年的监测数据。</w:t>
      </w:r>
    </w:p>
    <w:p>
      <w:pPr>
        <w:pStyle w:val="109"/>
        <w:adjustRightInd w:val="0"/>
        <w:snapToGrid w:val="0"/>
        <w:spacing w:line="360" w:lineRule="auto"/>
        <w:ind w:left="-25" w:firstLine="480"/>
        <w:rPr>
          <w:rFonts w:ascii="Times New Roman" w:hAnsi="Times New Roman" w:cs="Times New Roman"/>
          <w:caps w:val="0"/>
          <w:smallCaps w:val="0"/>
          <w:color w:val="FF0000"/>
          <w:u w:val="single"/>
        </w:rPr>
      </w:pPr>
      <w:r>
        <w:rPr>
          <w:rFonts w:ascii="Times New Roman" w:hAnsi="Times New Roman" w:cs="Times New Roman" w:eastAsiaTheme="minorEastAsia"/>
          <w:caps w:val="0"/>
          <w:smallCaps w:val="0"/>
        </w:rPr>
        <w:t>为了解本项目周边环境空气质量状况，本评价收集了与项目建设地最近的汨罗市常规监测站点2020年监测数据。并根据《环境空气质量评价技术规范（试行）》（HJ663-2013）表1中年评价相关要求对汨罗市例行监测数据进行统计分析，测点位置为汨罗市环保局环境空气自动监测站，数据统计如下表。</w:t>
      </w:r>
    </w:p>
    <w:p>
      <w:pPr>
        <w:spacing w:beforeLines="50"/>
        <w:jc w:val="center"/>
        <w:rPr>
          <w:rFonts w:ascii="Times New Roman" w:hAnsi="Times New Roman" w:cs="Times New Roman"/>
          <w:b/>
          <w:caps w:val="0"/>
          <w:smallCaps w:val="0"/>
          <w:color w:val="000000" w:themeColor="text1"/>
          <w14:textFill>
            <w14:solidFill>
              <w14:schemeClr w14:val="tx1"/>
            </w14:solidFill>
          </w14:textFill>
        </w:rPr>
      </w:pPr>
      <w:r>
        <w:rPr>
          <w:rFonts w:ascii="Times New Roman" w:hAnsi="Times New Roman" w:cs="Times New Roman"/>
          <w:b/>
          <w:caps w:val="0"/>
          <w:smallCaps w:val="0"/>
          <w:color w:val="000000" w:themeColor="text1"/>
          <w14:textFill>
            <w14:solidFill>
              <w14:schemeClr w14:val="tx1"/>
            </w14:solidFill>
          </w14:textFill>
        </w:rPr>
        <w:t>表</w:t>
      </w:r>
      <w:r>
        <w:rPr>
          <w:rFonts w:hint="eastAsia" w:ascii="Times New Roman" w:hAnsi="Times New Roman" w:cs="Times New Roman"/>
          <w:b/>
          <w:caps w:val="0"/>
          <w:smallCaps w:val="0"/>
          <w:color w:val="000000" w:themeColor="text1"/>
          <w14:textFill>
            <w14:solidFill>
              <w14:schemeClr w14:val="tx1"/>
            </w14:solidFill>
          </w14:textFill>
        </w:rPr>
        <w:t>4</w:t>
      </w:r>
      <w:r>
        <w:rPr>
          <w:rFonts w:ascii="Times New Roman" w:hAnsi="Times New Roman" w:cs="Times New Roman"/>
          <w:b/>
          <w:caps w:val="0"/>
          <w:smallCaps w:val="0"/>
          <w:color w:val="000000" w:themeColor="text1"/>
          <w14:textFill>
            <w14:solidFill>
              <w14:schemeClr w14:val="tx1"/>
            </w14:solidFill>
          </w14:textFill>
        </w:rPr>
        <w:t>.</w:t>
      </w:r>
      <w:r>
        <w:rPr>
          <w:rFonts w:hint="eastAsia" w:ascii="Times New Roman" w:hAnsi="Times New Roman" w:cs="Times New Roman"/>
          <w:b/>
          <w:caps w:val="0"/>
          <w:smallCaps w:val="0"/>
          <w:color w:val="000000" w:themeColor="text1"/>
          <w:lang w:val="en-US" w:eastAsia="zh-CN"/>
          <w14:textFill>
            <w14:solidFill>
              <w14:schemeClr w14:val="tx1"/>
            </w14:solidFill>
          </w14:textFill>
        </w:rPr>
        <w:t>5</w:t>
      </w:r>
      <w:r>
        <w:rPr>
          <w:rFonts w:ascii="Times New Roman" w:hAnsi="Times New Roman" w:cs="Times New Roman"/>
          <w:b/>
          <w:caps w:val="0"/>
          <w:smallCaps w:val="0"/>
          <w:color w:val="000000" w:themeColor="text1"/>
          <w14:textFill>
            <w14:solidFill>
              <w14:schemeClr w14:val="tx1"/>
            </w14:solidFill>
          </w14:textFill>
        </w:rPr>
        <w:t>-1 2020年区域环境空气质量现状评价表</w:t>
      </w:r>
    </w:p>
    <w:tbl>
      <w:tblPr>
        <w:tblStyle w:val="71"/>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056"/>
        <w:gridCol w:w="2000"/>
        <w:gridCol w:w="1601"/>
        <w:gridCol w:w="1601"/>
        <w:gridCol w:w="846"/>
        <w:gridCol w:w="1056"/>
        <w:gridCol w:w="105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2"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评价因子</w:t>
            </w:r>
          </w:p>
        </w:tc>
        <w:tc>
          <w:tcPr>
            <w:tcW w:w="1260"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评价时段</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现状浓度μg/m3</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标准浓度μg/m3</w:t>
            </w:r>
          </w:p>
        </w:tc>
        <w:tc>
          <w:tcPr>
            <w:tcW w:w="589"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占标率</w:t>
            </w:r>
          </w:p>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491"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达标情况</w:t>
            </w:r>
          </w:p>
        </w:tc>
        <w:tc>
          <w:tcPr>
            <w:tcW w:w="56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超标倍数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2"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SO</w:t>
            </w:r>
            <w:r>
              <w:rPr>
                <w:rFonts w:ascii="Times New Roman" w:hAnsi="Times New Roman" w:cs="Times New Roman"/>
                <w:caps w:val="0"/>
                <w:smallCaps w:val="0"/>
                <w:vertAlign w:val="subscript"/>
              </w:rPr>
              <w:t>2</w:t>
            </w:r>
          </w:p>
        </w:tc>
        <w:tc>
          <w:tcPr>
            <w:tcW w:w="1260"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年平均浓度</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60</w:t>
            </w:r>
          </w:p>
        </w:tc>
        <w:tc>
          <w:tcPr>
            <w:tcW w:w="589"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c>
          <w:tcPr>
            <w:tcW w:w="491"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c>
          <w:tcPr>
            <w:tcW w:w="56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2"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NO</w:t>
            </w:r>
            <w:r>
              <w:rPr>
                <w:rFonts w:ascii="Times New Roman" w:hAnsi="Times New Roman" w:cs="Times New Roman"/>
                <w:caps w:val="0"/>
                <w:smallCaps w:val="0"/>
                <w:vertAlign w:val="subscript"/>
              </w:rPr>
              <w:t>2</w:t>
            </w:r>
          </w:p>
        </w:tc>
        <w:tc>
          <w:tcPr>
            <w:tcW w:w="1260"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年平均浓度</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16</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w:t>
            </w:r>
          </w:p>
        </w:tc>
        <w:tc>
          <w:tcPr>
            <w:tcW w:w="589"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w:t>
            </w:r>
          </w:p>
        </w:tc>
        <w:tc>
          <w:tcPr>
            <w:tcW w:w="491"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c>
          <w:tcPr>
            <w:tcW w:w="56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2"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w:t>
            </w:r>
          </w:p>
        </w:tc>
        <w:tc>
          <w:tcPr>
            <w:tcW w:w="1260"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年平均浓度</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700</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10000</w:t>
            </w:r>
          </w:p>
        </w:tc>
        <w:tc>
          <w:tcPr>
            <w:tcW w:w="589"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w:t>
            </w:r>
          </w:p>
        </w:tc>
        <w:tc>
          <w:tcPr>
            <w:tcW w:w="491"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c>
          <w:tcPr>
            <w:tcW w:w="56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2"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O</w:t>
            </w:r>
            <w:r>
              <w:rPr>
                <w:rFonts w:ascii="Times New Roman" w:hAnsi="Times New Roman" w:cs="Times New Roman"/>
                <w:caps w:val="0"/>
                <w:smallCaps w:val="0"/>
                <w:vertAlign w:val="subscript"/>
              </w:rPr>
              <w:t>3</w:t>
            </w:r>
          </w:p>
        </w:tc>
        <w:tc>
          <w:tcPr>
            <w:tcW w:w="1260"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年平均浓度</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72</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200</w:t>
            </w:r>
          </w:p>
        </w:tc>
        <w:tc>
          <w:tcPr>
            <w:tcW w:w="589"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36</w:t>
            </w:r>
          </w:p>
        </w:tc>
        <w:tc>
          <w:tcPr>
            <w:tcW w:w="491"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c>
          <w:tcPr>
            <w:tcW w:w="56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2"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PM</w:t>
            </w:r>
            <w:r>
              <w:rPr>
                <w:rFonts w:ascii="Times New Roman" w:hAnsi="Times New Roman" w:cs="Times New Roman"/>
                <w:caps w:val="0"/>
                <w:smallCaps w:val="0"/>
                <w:vertAlign w:val="subscript"/>
              </w:rPr>
              <w:t>2.5</w:t>
            </w:r>
          </w:p>
        </w:tc>
        <w:tc>
          <w:tcPr>
            <w:tcW w:w="1260"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年平均浓度</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30</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35</w:t>
            </w:r>
          </w:p>
        </w:tc>
        <w:tc>
          <w:tcPr>
            <w:tcW w:w="589"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86</w:t>
            </w:r>
          </w:p>
        </w:tc>
        <w:tc>
          <w:tcPr>
            <w:tcW w:w="491"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c>
          <w:tcPr>
            <w:tcW w:w="56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522"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PM</w:t>
            </w:r>
            <w:r>
              <w:rPr>
                <w:rFonts w:ascii="Times New Roman" w:hAnsi="Times New Roman" w:cs="Times New Roman"/>
                <w:caps w:val="0"/>
                <w:smallCaps w:val="0"/>
                <w:vertAlign w:val="subscript"/>
              </w:rPr>
              <w:t>10</w:t>
            </w:r>
          </w:p>
        </w:tc>
        <w:tc>
          <w:tcPr>
            <w:tcW w:w="1260"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年平均浓度</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w:t>
            </w:r>
          </w:p>
        </w:tc>
        <w:tc>
          <w:tcPr>
            <w:tcW w:w="78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w:t>
            </w:r>
          </w:p>
        </w:tc>
        <w:tc>
          <w:tcPr>
            <w:tcW w:w="589"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71</w:t>
            </w:r>
          </w:p>
        </w:tc>
        <w:tc>
          <w:tcPr>
            <w:tcW w:w="491"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c>
          <w:tcPr>
            <w:tcW w:w="566" w:type="pct"/>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bl>
    <w:p>
      <w:pPr>
        <w:adjustRightInd w:val="0"/>
        <w:snapToGrid w:val="0"/>
        <w:spacing w:line="360" w:lineRule="auto"/>
        <w:ind w:firstLine="480" w:firstLineChars="200"/>
        <w:rPr>
          <w:rFonts w:ascii="Times New Roman" w:hAnsi="Times New Roman" w:cs="Times New Roman"/>
          <w:caps w:val="0"/>
          <w:smallCaps w:val="0"/>
          <w:color w:val="FF0000"/>
          <w:sz w:val="24"/>
          <w:szCs w:val="24"/>
          <w:u w:val="single"/>
        </w:rPr>
      </w:pPr>
    </w:p>
    <w:p>
      <w:pPr>
        <w:pStyle w:val="69"/>
        <w:ind w:firstLine="480"/>
        <w:rPr>
          <w:rFonts w:ascii="Times New Roman" w:hAnsi="Times New Roman" w:cs="Times New Roman"/>
          <w:caps w:val="0"/>
          <w:smallCaps w:val="0"/>
          <w:color w:val="FF0000"/>
        </w:rPr>
      </w:pPr>
      <w:r>
        <w:rPr>
          <w:rFonts w:ascii="Times New Roman" w:hAnsi="Times New Roman" w:cs="Times New Roman"/>
          <w:caps w:val="0"/>
          <w:smallCaps w:val="0"/>
          <w:szCs w:val="32"/>
        </w:rPr>
        <w:t>根据岳阳市生态环境局汨罗分局公开发布的2020年环境质量月报（1月-12月）的监测数据，SO</w:t>
      </w:r>
      <w:r>
        <w:rPr>
          <w:rFonts w:ascii="Times New Roman" w:hAnsi="Times New Roman" w:cs="Times New Roman"/>
          <w:caps w:val="0"/>
          <w:smallCaps w:val="0"/>
          <w:szCs w:val="32"/>
          <w:vertAlign w:val="subscript"/>
        </w:rPr>
        <w:t>2</w:t>
      </w:r>
      <w:r>
        <w:rPr>
          <w:rFonts w:ascii="Times New Roman" w:hAnsi="Times New Roman" w:cs="Times New Roman"/>
          <w:caps w:val="0"/>
          <w:smallCaps w:val="0"/>
          <w:szCs w:val="32"/>
        </w:rPr>
        <w:t>、NO</w:t>
      </w:r>
      <w:r>
        <w:rPr>
          <w:rFonts w:ascii="Times New Roman" w:hAnsi="Times New Roman" w:cs="Times New Roman"/>
          <w:caps w:val="0"/>
          <w:smallCaps w:val="0"/>
          <w:szCs w:val="32"/>
          <w:vertAlign w:val="subscript"/>
        </w:rPr>
        <w:t>2</w:t>
      </w:r>
      <w:r>
        <w:rPr>
          <w:rFonts w:ascii="Times New Roman" w:hAnsi="Times New Roman" w:cs="Times New Roman"/>
          <w:caps w:val="0"/>
          <w:smallCaps w:val="0"/>
          <w:szCs w:val="32"/>
        </w:rPr>
        <w:t>、PM</w:t>
      </w:r>
      <w:r>
        <w:rPr>
          <w:rFonts w:ascii="Times New Roman" w:hAnsi="Times New Roman" w:cs="Times New Roman"/>
          <w:caps w:val="0"/>
          <w:smallCaps w:val="0"/>
          <w:szCs w:val="32"/>
          <w:vertAlign w:val="subscript"/>
        </w:rPr>
        <w:t>10</w:t>
      </w:r>
      <w:r>
        <w:rPr>
          <w:rFonts w:ascii="Times New Roman" w:hAnsi="Times New Roman" w:cs="Times New Roman"/>
          <w:caps w:val="0"/>
          <w:smallCaps w:val="0"/>
          <w:szCs w:val="32"/>
        </w:rPr>
        <w:t>、PM</w:t>
      </w:r>
      <w:r>
        <w:rPr>
          <w:rFonts w:ascii="Times New Roman" w:hAnsi="Times New Roman" w:cs="Times New Roman"/>
          <w:caps w:val="0"/>
          <w:smallCaps w:val="0"/>
          <w:szCs w:val="32"/>
          <w:vertAlign w:val="subscript"/>
        </w:rPr>
        <w:t>2.5</w:t>
      </w:r>
      <w:r>
        <w:rPr>
          <w:rFonts w:ascii="Times New Roman" w:hAnsi="Times New Roman" w:cs="Times New Roman"/>
          <w:caps w:val="0"/>
          <w:smallCaps w:val="0"/>
          <w:szCs w:val="32"/>
        </w:rPr>
        <w:t>、O</w:t>
      </w:r>
      <w:r>
        <w:rPr>
          <w:rFonts w:ascii="Times New Roman" w:hAnsi="Times New Roman" w:cs="Times New Roman"/>
          <w:caps w:val="0"/>
          <w:smallCaps w:val="0"/>
          <w:szCs w:val="32"/>
          <w:vertAlign w:val="subscript"/>
        </w:rPr>
        <w:t>3</w:t>
      </w:r>
      <w:r>
        <w:rPr>
          <w:rFonts w:ascii="Times New Roman" w:hAnsi="Times New Roman" w:cs="Times New Roman"/>
          <w:caps w:val="0"/>
          <w:smallCaps w:val="0"/>
          <w:szCs w:val="32"/>
        </w:rPr>
        <w:t>和CO年平均质量浓度均达到《环境空气质量标准》GB3095-2012中的二级标准，因此，项目所在区域为环境空气质量达标区</w:t>
      </w:r>
      <w:r>
        <w:rPr>
          <w:rFonts w:ascii="Times New Roman" w:hAnsi="Times New Roman" w:cs="Times New Roman"/>
          <w:caps w:val="0"/>
          <w:smallCaps w:val="0"/>
        </w:rPr>
        <w:t>。</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环境空气质量现状监测</w:t>
      </w:r>
    </w:p>
    <w:p>
      <w:pPr>
        <w:pStyle w:val="109"/>
        <w:adjustRightInd w:val="0"/>
        <w:snapToGrid w:val="0"/>
        <w:spacing w:line="360" w:lineRule="auto"/>
        <w:ind w:firstLine="480"/>
        <w:rPr>
          <w:rFonts w:ascii="Times New Roman" w:hAnsi="Times New Roman" w:cs="Times New Roman" w:eastAsiaTheme="minorEastAsia"/>
          <w:caps w:val="0"/>
          <w:smallCaps w:val="0"/>
          <w:kern w:val="0"/>
        </w:rPr>
      </w:pPr>
      <w:r>
        <w:rPr>
          <w:rFonts w:ascii="Times New Roman" w:hAnsi="Times New Roman" w:cs="Times New Roman" w:eastAsiaTheme="minorEastAsia"/>
          <w:caps w:val="0"/>
          <w:smallCaps w:val="0"/>
        </w:rPr>
        <w:t>本次评价委托湖南</w:t>
      </w:r>
      <w:r>
        <w:rPr>
          <w:rFonts w:hint="eastAsia" w:ascii="Times New Roman" w:hAnsi="Times New Roman" w:cs="Times New Roman" w:eastAsiaTheme="minorEastAsia"/>
          <w:caps w:val="0"/>
          <w:smallCaps w:val="0"/>
        </w:rPr>
        <w:t>精科检测</w:t>
      </w:r>
      <w:r>
        <w:rPr>
          <w:rFonts w:ascii="Times New Roman" w:hAnsi="Times New Roman" w:cs="Times New Roman" w:eastAsiaTheme="minorEastAsia"/>
          <w:caps w:val="0"/>
          <w:smallCaps w:val="0"/>
        </w:rPr>
        <w:t>有限公司于20</w:t>
      </w:r>
      <w:r>
        <w:rPr>
          <w:rFonts w:hint="eastAsia" w:ascii="Times New Roman" w:hAnsi="Times New Roman" w:cs="Times New Roman" w:eastAsiaTheme="minorEastAsia"/>
          <w:caps w:val="0"/>
          <w:smallCaps w:val="0"/>
        </w:rPr>
        <w:t>21</w:t>
      </w:r>
      <w:r>
        <w:rPr>
          <w:rFonts w:ascii="Times New Roman" w:hAnsi="Times New Roman" w:cs="Times New Roman" w:eastAsiaTheme="minorEastAsia"/>
          <w:caps w:val="0"/>
          <w:smallCaps w:val="0"/>
        </w:rPr>
        <w:t>年</w:t>
      </w:r>
      <w:r>
        <w:rPr>
          <w:rFonts w:hint="eastAsia" w:ascii="Times New Roman" w:hAnsi="Times New Roman" w:cs="Times New Roman" w:eastAsiaTheme="minorEastAsia"/>
          <w:caps w:val="0"/>
          <w:smallCaps w:val="0"/>
        </w:rPr>
        <w:t>4</w:t>
      </w:r>
      <w:r>
        <w:rPr>
          <w:rFonts w:ascii="Times New Roman" w:hAnsi="Times New Roman" w:cs="Times New Roman" w:eastAsiaTheme="minorEastAsia"/>
          <w:caps w:val="0"/>
          <w:smallCaps w:val="0"/>
        </w:rPr>
        <w:t>月</w:t>
      </w:r>
      <w:r>
        <w:rPr>
          <w:rFonts w:hint="eastAsia" w:ascii="Times New Roman" w:hAnsi="Times New Roman" w:cs="Times New Roman" w:eastAsiaTheme="minorEastAsia"/>
          <w:caps w:val="0"/>
          <w:smallCaps w:val="0"/>
        </w:rPr>
        <w:t>12</w:t>
      </w:r>
      <w:r>
        <w:rPr>
          <w:rFonts w:ascii="Times New Roman" w:hAnsi="Times New Roman" w:cs="Times New Roman" w:eastAsiaTheme="minorEastAsia"/>
          <w:caps w:val="0"/>
          <w:smallCaps w:val="0"/>
        </w:rPr>
        <w:t>日~</w:t>
      </w:r>
      <w:r>
        <w:rPr>
          <w:rFonts w:hint="eastAsia" w:ascii="Times New Roman" w:hAnsi="Times New Roman" w:cs="Times New Roman" w:eastAsiaTheme="minorEastAsia"/>
          <w:caps w:val="0"/>
          <w:smallCaps w:val="0"/>
        </w:rPr>
        <w:t>4</w:t>
      </w:r>
      <w:r>
        <w:rPr>
          <w:rFonts w:ascii="Times New Roman" w:hAnsi="Times New Roman" w:cs="Times New Roman" w:eastAsiaTheme="minorEastAsia"/>
          <w:caps w:val="0"/>
          <w:smallCaps w:val="0"/>
        </w:rPr>
        <w:t>月1</w:t>
      </w:r>
      <w:r>
        <w:rPr>
          <w:rFonts w:hint="eastAsia" w:ascii="Times New Roman" w:hAnsi="Times New Roman" w:cs="Times New Roman" w:eastAsiaTheme="minorEastAsia"/>
          <w:caps w:val="0"/>
          <w:smallCaps w:val="0"/>
        </w:rPr>
        <w:t>8</w:t>
      </w:r>
      <w:r>
        <w:rPr>
          <w:rFonts w:ascii="Times New Roman" w:hAnsi="Times New Roman" w:cs="Times New Roman" w:eastAsiaTheme="minorEastAsia"/>
          <w:caps w:val="0"/>
          <w:smallCaps w:val="0"/>
        </w:rPr>
        <w:t>日期间针对码头位置的大气环境进行了现状监测。</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1、监测布点</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本次现状调查共布设</w:t>
      </w:r>
      <w:r>
        <w:rPr>
          <w:rFonts w:hint="eastAsia" w:ascii="Times New Roman" w:hAnsi="Times New Roman" w:cs="Times New Roman" w:eastAsiaTheme="minorEastAsia"/>
          <w:caps w:val="0"/>
          <w:smallCaps w:val="0"/>
          <w:sz w:val="24"/>
          <w:szCs w:val="24"/>
        </w:rPr>
        <w:t>2</w:t>
      </w:r>
      <w:r>
        <w:rPr>
          <w:rFonts w:ascii="Times New Roman" w:hAnsi="Times New Roman" w:cs="Times New Roman" w:eastAsiaTheme="minorEastAsia"/>
          <w:caps w:val="0"/>
          <w:smallCaps w:val="0"/>
          <w:sz w:val="24"/>
          <w:szCs w:val="24"/>
        </w:rPr>
        <w:t>个环境空气监测点。</w:t>
      </w:r>
    </w:p>
    <w:p>
      <w:pPr>
        <w:adjustRightInd w:val="0"/>
        <w:snapToGrid w:val="0"/>
        <w:spacing w:line="276" w:lineRule="auto"/>
        <w:jc w:val="center"/>
        <w:rPr>
          <w:rFonts w:ascii="Times New Roman" w:hAnsi="Times New Roman" w:cs="Times New Roman" w:eastAsiaTheme="minorEastAsia"/>
          <w:b/>
          <w:bCs/>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表4.</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2</w:t>
      </w:r>
      <w:r>
        <w:rPr>
          <w:rFonts w:ascii="Times New Roman" w:hAnsi="Times New Roman" w:cs="Times New Roman" w:eastAsiaTheme="minorEastAsia"/>
          <w:b/>
          <w:bCs/>
          <w:caps w:val="0"/>
          <w:smallCaps w:val="0"/>
          <w:color w:val="000000" w:themeColor="text1"/>
          <w:sz w:val="24"/>
          <w:szCs w:val="24"/>
          <w14:textFill>
            <w14:solidFill>
              <w14:schemeClr w14:val="tx1"/>
            </w14:solidFill>
          </w14:textFill>
        </w:rPr>
        <w:t>大气质量现状监测点一览表</w:t>
      </w:r>
    </w:p>
    <w:tbl>
      <w:tblPr>
        <w:tblStyle w:val="71"/>
        <w:tblW w:w="503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137"/>
        <w:gridCol w:w="3431"/>
        <w:gridCol w:w="352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1175"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1887"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监测位置</w:t>
            </w:r>
          </w:p>
        </w:tc>
        <w:tc>
          <w:tcPr>
            <w:tcW w:w="1936"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5"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G1</w:t>
            </w:r>
          </w:p>
        </w:tc>
        <w:tc>
          <w:tcPr>
            <w:tcW w:w="1887"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北面居民点</w:t>
            </w:r>
          </w:p>
        </w:tc>
        <w:tc>
          <w:tcPr>
            <w:tcW w:w="1936" w:type="pct"/>
            <w:shd w:val="clear" w:color="auto" w:fill="auto"/>
            <w:tcMar>
              <w:top w:w="0" w:type="dxa"/>
              <w:left w:w="0" w:type="dxa"/>
              <w:bottom w:w="0" w:type="dxa"/>
              <w:right w:w="0" w:type="dxa"/>
            </w:tcMar>
            <w:vAlign w:val="center"/>
          </w:tcPr>
          <w:p>
            <w:pPr>
              <w:pStyle w:val="117"/>
              <w:bidi w:val="0"/>
              <w:ind w:firstLine="0" w:firstLineChars="0"/>
              <w:rPr>
                <w:rFonts w:hint="default"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E：11</w:t>
            </w:r>
            <w:r>
              <w:rPr>
                <w:rFonts w:hint="eastAsia" w:ascii="Times New Roman" w:hAnsi="Times New Roman" w:cs="Times New Roman"/>
                <w:caps w:val="0"/>
                <w:smallCaps w:val="0"/>
                <w:lang w:val="en-US" w:eastAsia="zh-CN"/>
              </w:rPr>
              <w:t>2.8985528</w:t>
            </w:r>
            <w:r>
              <w:rPr>
                <w:rFonts w:ascii="Times New Roman" w:hAnsi="Times New Roman" w:cs="Times New Roman"/>
                <w:caps w:val="0"/>
                <w:smallCaps w:val="0"/>
              </w:rPr>
              <w:t>，N：2</w:t>
            </w:r>
            <w:r>
              <w:rPr>
                <w:rFonts w:hint="eastAsia" w:ascii="Times New Roman" w:hAnsi="Times New Roman" w:cs="Times New Roman"/>
                <w:caps w:val="0"/>
                <w:smallCaps w:val="0"/>
                <w:lang w:val="en-US" w:eastAsia="zh-CN"/>
              </w:rPr>
              <w:t>8.8653889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175"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G2</w:t>
            </w:r>
          </w:p>
        </w:tc>
        <w:tc>
          <w:tcPr>
            <w:tcW w:w="1887" w:type="pct"/>
            <w:shd w:val="clear" w:color="auto" w:fill="auto"/>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项目建设地</w:t>
            </w:r>
          </w:p>
        </w:tc>
        <w:tc>
          <w:tcPr>
            <w:tcW w:w="1936" w:type="pct"/>
            <w:shd w:val="clear" w:color="auto" w:fill="auto"/>
            <w:tcMar>
              <w:top w:w="0" w:type="dxa"/>
              <w:left w:w="0" w:type="dxa"/>
              <w:bottom w:w="0" w:type="dxa"/>
              <w:right w:w="0" w:type="dxa"/>
            </w:tcMar>
            <w:vAlign w:val="center"/>
          </w:tcPr>
          <w:p>
            <w:pPr>
              <w:pStyle w:val="117"/>
              <w:bidi w:val="0"/>
              <w:ind w:firstLine="0" w:firstLineChars="0"/>
              <w:rPr>
                <w:rFonts w:hint="default"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E：11</w:t>
            </w:r>
            <w:r>
              <w:rPr>
                <w:rFonts w:hint="eastAsia" w:ascii="Times New Roman" w:hAnsi="Times New Roman" w:cs="Times New Roman"/>
                <w:caps w:val="0"/>
                <w:smallCaps w:val="0"/>
                <w:lang w:val="en-US" w:eastAsia="zh-CN"/>
              </w:rPr>
              <w:t>2.8977556</w:t>
            </w:r>
            <w:r>
              <w:rPr>
                <w:rFonts w:ascii="Times New Roman" w:hAnsi="Times New Roman" w:cs="Times New Roman"/>
                <w:caps w:val="0"/>
                <w:smallCaps w:val="0"/>
              </w:rPr>
              <w:t>，N：2</w:t>
            </w:r>
            <w:r>
              <w:rPr>
                <w:rFonts w:hint="eastAsia" w:ascii="Times New Roman" w:hAnsi="Times New Roman" w:cs="Times New Roman"/>
                <w:caps w:val="0"/>
                <w:smallCaps w:val="0"/>
                <w:lang w:val="en-US" w:eastAsia="zh-CN"/>
              </w:rPr>
              <w:t>8.86400278</w:t>
            </w:r>
          </w:p>
        </w:tc>
      </w:tr>
    </w:tbl>
    <w:p>
      <w:pPr>
        <w:adjustRightInd w:val="0"/>
        <w:snapToGrid w:val="0"/>
        <w:spacing w:line="360" w:lineRule="auto"/>
        <w:ind w:firstLine="482" w:firstLineChars="200"/>
        <w:rPr>
          <w:rFonts w:ascii="Times New Roman" w:hAnsi="Times New Roman" w:cs="Times New Roman" w:eastAsiaTheme="minorEastAsia"/>
          <w:b/>
          <w:bCs/>
          <w:caps w:val="0"/>
          <w:smallCaps w:val="0"/>
          <w:sz w:val="24"/>
          <w:szCs w:val="24"/>
        </w:rPr>
      </w:pP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2、监测因子</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TSP、</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苯并(a)芘、TVOC。</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3、执行标准</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TSP、</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苯并(a)芘</w:t>
      </w:r>
      <w:r>
        <w:rPr>
          <w:rFonts w:ascii="Times New Roman" w:hAnsi="Times New Roman" w:cs="Times New Roman" w:eastAsiaTheme="minorEastAsia"/>
          <w:caps w:val="0"/>
          <w:smallCaps w:val="0"/>
          <w:sz w:val="24"/>
          <w:szCs w:val="24"/>
        </w:rPr>
        <w:t>执行《</w:t>
      </w:r>
      <w:r>
        <w:rPr>
          <w:rFonts w:hint="eastAsia" w:ascii="Times New Roman" w:hAnsi="Times New Roman" w:cs="Times New Roman" w:eastAsiaTheme="minorEastAsia"/>
          <w:caps w:val="0"/>
          <w:smallCaps w:val="0"/>
          <w:sz w:val="24"/>
          <w:szCs w:val="24"/>
        </w:rPr>
        <w:t>环境空气质量标准</w:t>
      </w:r>
      <w:r>
        <w:rPr>
          <w:rFonts w:ascii="Times New Roman" w:hAnsi="Times New Roman" w:cs="Times New Roman" w:eastAsiaTheme="minorEastAsia"/>
          <w:caps w:val="0"/>
          <w:smallCaps w:val="0"/>
          <w:sz w:val="24"/>
          <w:szCs w:val="24"/>
        </w:rPr>
        <w:t>》</w:t>
      </w:r>
      <w:r>
        <w:rPr>
          <w:rFonts w:hint="eastAsia" w:ascii="Times New Roman" w:hAnsi="Times New Roman" w:cs="Times New Roman" w:eastAsiaTheme="minorEastAsia"/>
          <w:caps w:val="0"/>
          <w:smallCaps w:val="0"/>
          <w:sz w:val="24"/>
          <w:szCs w:val="24"/>
        </w:rPr>
        <w:t>（GB3095-2012）</w:t>
      </w:r>
      <w:r>
        <w:rPr>
          <w:rFonts w:ascii="Times New Roman" w:hAnsi="Times New Roman" w:cs="Times New Roman" w:eastAsiaTheme="minorEastAsia"/>
          <w:caps w:val="0"/>
          <w:smallCaps w:val="0"/>
          <w:sz w:val="24"/>
          <w:szCs w:val="24"/>
        </w:rPr>
        <w:t>中采用的</w:t>
      </w:r>
      <w:r>
        <w:rPr>
          <w:rFonts w:hint="eastAsia" w:ascii="Times New Roman" w:hAnsi="Times New Roman" w:cs="Times New Roman" w:eastAsiaTheme="minorEastAsia"/>
          <w:caps w:val="0"/>
          <w:smallCaps w:val="0"/>
          <w:sz w:val="24"/>
          <w:szCs w:val="24"/>
        </w:rPr>
        <w:t>0.3m</w:t>
      </w:r>
      <w:r>
        <w:rPr>
          <w:rFonts w:ascii="Times New Roman" w:hAnsi="Times New Roman" w:cs="Times New Roman"/>
          <w:caps w:val="0"/>
          <w:smallCaps w:val="0"/>
          <w:sz w:val="24"/>
          <w:szCs w:val="24"/>
          <w:u w:val="wave"/>
        </w:rPr>
        <w:t>g/m</w:t>
      </w:r>
      <w:r>
        <w:rPr>
          <w:rFonts w:ascii="Times New Roman" w:hAnsi="Times New Roman" w:cs="Times New Roman"/>
          <w:caps w:val="0"/>
          <w:smallCaps w:val="0"/>
          <w:sz w:val="24"/>
          <w:szCs w:val="24"/>
          <w:u w:val="wave"/>
          <w:vertAlign w:val="superscript"/>
        </w:rPr>
        <w:t>3</w:t>
      </w:r>
      <w:r>
        <w:rPr>
          <w:rFonts w:hint="eastAsia" w:ascii="Times New Roman" w:hAnsi="Times New Roman" w:cs="Times New Roman"/>
          <w:caps w:val="0"/>
          <w:smallCaps w:val="0"/>
          <w:sz w:val="24"/>
          <w:szCs w:val="24"/>
          <w:u w:val="wave"/>
        </w:rPr>
        <w:t>、0.0025</w:t>
      </w:r>
      <w:r>
        <w:rPr>
          <w:rFonts w:ascii="Times New Roman" w:hAnsi="Times New Roman" w:cs="Times New Roman"/>
          <w:caps w:val="0"/>
          <w:smallCaps w:val="0"/>
          <w:sz w:val="24"/>
          <w:szCs w:val="24"/>
          <w:u w:val="wave"/>
        </w:rPr>
        <w:t>μg/m</w:t>
      </w:r>
      <w:r>
        <w:rPr>
          <w:rFonts w:ascii="Times New Roman" w:hAnsi="Times New Roman" w:cs="Times New Roman"/>
          <w:caps w:val="0"/>
          <w:smallCaps w:val="0"/>
          <w:sz w:val="24"/>
          <w:szCs w:val="24"/>
          <w:u w:val="wave"/>
          <w:vertAlign w:val="superscript"/>
        </w:rPr>
        <w:t>3</w:t>
      </w:r>
      <w:r>
        <w:rPr>
          <w:rFonts w:ascii="Times New Roman" w:hAnsi="Times New Roman" w:cs="Times New Roman" w:eastAsiaTheme="minorEastAsia"/>
          <w:caps w:val="0"/>
          <w:smallCaps w:val="0"/>
          <w:sz w:val="24"/>
          <w:szCs w:val="24"/>
        </w:rPr>
        <w:t>环境浓度</w:t>
      </w:r>
      <w:r>
        <w:rPr>
          <w:rFonts w:hint="eastAsia" w:ascii="Times New Roman" w:hAnsi="Times New Roman" w:cs="Times New Roman" w:eastAsiaTheme="minorEastAsia"/>
          <w:caps w:val="0"/>
          <w:smallCaps w:val="0"/>
          <w:sz w:val="24"/>
          <w:szCs w:val="24"/>
        </w:rPr>
        <w:t>；TVOC小时平均浓度参照《环境影响评价技术导则大气环境》（HJ2.2-2018）附录D中其他污染物空气质量浓度参考限值0.6m</w:t>
      </w:r>
      <w:r>
        <w:rPr>
          <w:rFonts w:ascii="Times New Roman" w:hAnsi="Times New Roman" w:cs="Times New Roman"/>
          <w:caps w:val="0"/>
          <w:smallCaps w:val="0"/>
          <w:sz w:val="24"/>
          <w:szCs w:val="24"/>
          <w:u w:val="wave"/>
        </w:rPr>
        <w:t>g/m</w:t>
      </w:r>
      <w:r>
        <w:rPr>
          <w:rFonts w:ascii="Times New Roman" w:hAnsi="Times New Roman" w:cs="Times New Roman"/>
          <w:caps w:val="0"/>
          <w:smallCaps w:val="0"/>
          <w:sz w:val="24"/>
          <w:szCs w:val="24"/>
          <w:u w:val="wave"/>
          <w:vertAlign w:val="superscript"/>
        </w:rPr>
        <w:t>3</w:t>
      </w:r>
      <w:r>
        <w:rPr>
          <w:rFonts w:ascii="Times New Roman" w:hAnsi="Times New Roman" w:cs="Times New Roman" w:eastAsiaTheme="minorEastAsia"/>
          <w:caps w:val="0"/>
          <w:smallCaps w:val="0"/>
          <w:sz w:val="24"/>
          <w:szCs w:val="24"/>
        </w:rPr>
        <w:t>。</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4、监测时间、频次</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20</w:t>
      </w:r>
      <w:r>
        <w:rPr>
          <w:rFonts w:hint="eastAsia" w:ascii="Times New Roman" w:hAnsi="Times New Roman" w:cs="Times New Roman" w:eastAsiaTheme="minorEastAsia"/>
          <w:caps w:val="0"/>
          <w:smallCaps w:val="0"/>
          <w:sz w:val="24"/>
          <w:szCs w:val="24"/>
        </w:rPr>
        <w:t>21</w:t>
      </w:r>
      <w:r>
        <w:rPr>
          <w:rFonts w:ascii="Times New Roman" w:hAnsi="Times New Roman" w:cs="Times New Roman" w:eastAsiaTheme="minorEastAsia"/>
          <w:caps w:val="0"/>
          <w:smallCaps w:val="0"/>
          <w:sz w:val="24"/>
          <w:szCs w:val="24"/>
        </w:rPr>
        <w:t>年</w:t>
      </w:r>
      <w:r>
        <w:rPr>
          <w:rFonts w:hint="eastAsia" w:ascii="Times New Roman" w:hAnsi="Times New Roman" w:cs="Times New Roman" w:eastAsiaTheme="minorEastAsia"/>
          <w:caps w:val="0"/>
          <w:smallCaps w:val="0"/>
          <w:sz w:val="24"/>
          <w:szCs w:val="24"/>
        </w:rPr>
        <w:t>4</w:t>
      </w:r>
      <w:r>
        <w:rPr>
          <w:rFonts w:ascii="Times New Roman" w:hAnsi="Times New Roman" w:cs="Times New Roman" w:eastAsiaTheme="minorEastAsia"/>
          <w:caps w:val="0"/>
          <w:smallCaps w:val="0"/>
          <w:sz w:val="24"/>
          <w:szCs w:val="24"/>
        </w:rPr>
        <w:t>月</w:t>
      </w:r>
      <w:r>
        <w:rPr>
          <w:rFonts w:hint="eastAsia" w:ascii="Times New Roman" w:hAnsi="Times New Roman" w:cs="Times New Roman" w:eastAsiaTheme="minorEastAsia"/>
          <w:caps w:val="0"/>
          <w:smallCaps w:val="0"/>
          <w:sz w:val="24"/>
          <w:szCs w:val="24"/>
        </w:rPr>
        <w:t>12</w:t>
      </w:r>
      <w:r>
        <w:rPr>
          <w:rFonts w:ascii="Times New Roman" w:hAnsi="Times New Roman" w:cs="Times New Roman" w:eastAsiaTheme="minorEastAsia"/>
          <w:caps w:val="0"/>
          <w:smallCaps w:val="0"/>
          <w:sz w:val="24"/>
          <w:szCs w:val="24"/>
        </w:rPr>
        <w:t>日至</w:t>
      </w:r>
      <w:r>
        <w:rPr>
          <w:rFonts w:hint="eastAsia" w:ascii="Times New Roman" w:hAnsi="Times New Roman" w:cs="Times New Roman" w:eastAsiaTheme="minorEastAsia"/>
          <w:caps w:val="0"/>
          <w:smallCaps w:val="0"/>
          <w:sz w:val="24"/>
          <w:szCs w:val="24"/>
        </w:rPr>
        <w:t>4</w:t>
      </w:r>
      <w:r>
        <w:rPr>
          <w:rFonts w:ascii="Times New Roman" w:hAnsi="Times New Roman" w:cs="Times New Roman" w:eastAsiaTheme="minorEastAsia"/>
          <w:caps w:val="0"/>
          <w:smallCaps w:val="0"/>
          <w:sz w:val="24"/>
          <w:szCs w:val="24"/>
        </w:rPr>
        <w:t>月</w:t>
      </w:r>
      <w:r>
        <w:rPr>
          <w:rFonts w:hint="eastAsia" w:ascii="Times New Roman" w:hAnsi="Times New Roman" w:cs="Times New Roman" w:eastAsiaTheme="minorEastAsia"/>
          <w:caps w:val="0"/>
          <w:smallCaps w:val="0"/>
          <w:sz w:val="24"/>
          <w:szCs w:val="24"/>
        </w:rPr>
        <w:t>18</w:t>
      </w:r>
      <w:r>
        <w:rPr>
          <w:rFonts w:ascii="Times New Roman" w:hAnsi="Times New Roman" w:cs="Times New Roman" w:eastAsiaTheme="minorEastAsia"/>
          <w:caps w:val="0"/>
          <w:smallCaps w:val="0"/>
          <w:sz w:val="24"/>
          <w:szCs w:val="24"/>
        </w:rPr>
        <w:t>日连续监测7天。</w:t>
      </w:r>
    </w:p>
    <w:p>
      <w:pPr>
        <w:adjustRightInd w:val="0"/>
        <w:snapToGrid w:val="0"/>
        <w:spacing w:line="360" w:lineRule="auto"/>
        <w:ind w:firstLine="482" w:firstLineChars="200"/>
        <w:rPr>
          <w:rFonts w:ascii="Times New Roman" w:hAnsi="Times New Roman" w:cs="Times New Roman" w:eastAsiaTheme="minorEastAsia"/>
          <w:b/>
          <w:caps w:val="0"/>
          <w:smallCaps w:val="0"/>
          <w:kern w:val="0"/>
          <w:sz w:val="24"/>
          <w:szCs w:val="24"/>
        </w:rPr>
      </w:pPr>
      <w:r>
        <w:rPr>
          <w:rFonts w:ascii="Times New Roman" w:hAnsi="Times New Roman" w:cs="Times New Roman" w:eastAsiaTheme="minorEastAsia"/>
          <w:b/>
          <w:caps w:val="0"/>
          <w:smallCaps w:val="0"/>
          <w:sz w:val="24"/>
          <w:szCs w:val="24"/>
        </w:rPr>
        <w:t>5、</w:t>
      </w:r>
      <w:r>
        <w:rPr>
          <w:rFonts w:ascii="Times New Roman" w:hAnsi="Times New Roman" w:cs="Times New Roman" w:eastAsiaTheme="minorEastAsia"/>
          <w:b/>
          <w:caps w:val="0"/>
          <w:smallCaps w:val="0"/>
          <w:kern w:val="0"/>
          <w:sz w:val="24"/>
          <w:szCs w:val="24"/>
        </w:rPr>
        <w:t>监测方法</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0"/>
          <w:szCs w:val="20"/>
        </w:rPr>
      </w:pPr>
      <w:r>
        <w:rPr>
          <w:rFonts w:ascii="Times New Roman" w:hAnsi="Times New Roman" w:cs="Times New Roman" w:eastAsiaTheme="minorEastAsia"/>
          <w:caps w:val="0"/>
          <w:smallCaps w:val="0"/>
          <w:kern w:val="0"/>
          <w:sz w:val="24"/>
          <w:szCs w:val="24"/>
        </w:rPr>
        <w:t>监测所用的采样及分析方法按照国家规范执行，见表4.</w:t>
      </w:r>
      <w:r>
        <w:rPr>
          <w:rFonts w:hint="eastAsia" w:ascii="Times New Roman" w:hAnsi="Times New Roman" w:cs="Times New Roman" w:eastAsiaTheme="minorEastAsia"/>
          <w:caps w:val="0"/>
          <w:smallCaps w:val="0"/>
          <w:kern w:val="0"/>
          <w:sz w:val="24"/>
          <w:szCs w:val="24"/>
          <w:lang w:val="en-US" w:eastAsia="zh-CN"/>
        </w:rPr>
        <w:t>5</w:t>
      </w:r>
      <w:r>
        <w:rPr>
          <w:rFonts w:ascii="Times New Roman" w:hAnsi="Times New Roman" w:cs="Times New Roman" w:eastAsiaTheme="minorEastAsia"/>
          <w:caps w:val="0"/>
          <w:smallCaps w:val="0"/>
          <w:kern w:val="0"/>
          <w:sz w:val="24"/>
          <w:szCs w:val="24"/>
        </w:rPr>
        <w:t>-</w:t>
      </w:r>
      <w:r>
        <w:rPr>
          <w:rFonts w:hint="eastAsia" w:ascii="Times New Roman" w:hAnsi="Times New Roman" w:cs="Times New Roman" w:eastAsiaTheme="minorEastAsia"/>
          <w:caps w:val="0"/>
          <w:smallCaps w:val="0"/>
          <w:kern w:val="0"/>
          <w:sz w:val="24"/>
          <w:szCs w:val="24"/>
        </w:rPr>
        <w:t>3</w:t>
      </w:r>
      <w:r>
        <w:rPr>
          <w:rFonts w:ascii="Times New Roman" w:hAnsi="Times New Roman" w:cs="Times New Roman" w:eastAsiaTheme="minorEastAsia"/>
          <w:caps w:val="0"/>
          <w:smallCaps w:val="0"/>
          <w:kern w:val="0"/>
          <w:sz w:val="24"/>
          <w:szCs w:val="24"/>
        </w:rPr>
        <w:t>。</w:t>
      </w:r>
    </w:p>
    <w:p>
      <w:pPr>
        <w:adjustRightInd w:val="0"/>
        <w:snapToGrid w:val="0"/>
        <w:spacing w:line="276" w:lineRule="auto"/>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表4.</w:t>
      </w:r>
      <w:r>
        <w:rPr>
          <w:rFonts w:hint="eastAsia" w:ascii="Times New Roman" w:hAnsi="Times New Roman" w:cs="Times New Roman" w:eastAsiaTheme="minorEastAsia"/>
          <w:b/>
          <w:caps w:val="0"/>
          <w:smallCaps w:val="0"/>
          <w:sz w:val="24"/>
          <w:szCs w:val="24"/>
          <w:lang w:val="en-US" w:eastAsia="zh-CN"/>
        </w:rPr>
        <w:t>5</w:t>
      </w:r>
      <w:r>
        <w:rPr>
          <w:rFonts w:ascii="Times New Roman" w:hAnsi="Times New Roman" w:cs="Times New Roman" w:eastAsiaTheme="minorEastAsia"/>
          <w:b/>
          <w:caps w:val="0"/>
          <w:smallCaps w:val="0"/>
          <w:sz w:val="24"/>
          <w:szCs w:val="24"/>
        </w:rPr>
        <w:t>-</w:t>
      </w:r>
      <w:r>
        <w:rPr>
          <w:rFonts w:hint="eastAsia" w:ascii="Times New Roman" w:hAnsi="Times New Roman" w:cs="Times New Roman" w:eastAsiaTheme="minorEastAsia"/>
          <w:b/>
          <w:caps w:val="0"/>
          <w:smallCaps w:val="0"/>
          <w:sz w:val="24"/>
          <w:szCs w:val="24"/>
        </w:rPr>
        <w:t>3</w:t>
      </w:r>
      <w:r>
        <w:rPr>
          <w:rFonts w:ascii="Times New Roman" w:hAnsi="Times New Roman" w:cs="Times New Roman" w:eastAsiaTheme="minorEastAsia"/>
          <w:b/>
          <w:caps w:val="0"/>
          <w:smallCaps w:val="0"/>
          <w:sz w:val="24"/>
          <w:szCs w:val="24"/>
        </w:rPr>
        <w:t>大气污染物分析方法一览表</w:t>
      </w:r>
    </w:p>
    <w:tbl>
      <w:tblPr>
        <w:tblStyle w:val="71"/>
        <w:tblW w:w="506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199"/>
        <w:gridCol w:w="4141"/>
        <w:gridCol w:w="2324"/>
        <w:gridCol w:w="148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55"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分析项目</w:t>
            </w:r>
          </w:p>
        </w:tc>
        <w:tc>
          <w:tcPr>
            <w:tcW w:w="2263"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分析方法名称及来源</w:t>
            </w:r>
          </w:p>
        </w:tc>
        <w:tc>
          <w:tcPr>
            <w:tcW w:w="1270"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仪器型号</w:t>
            </w:r>
          </w:p>
        </w:tc>
        <w:tc>
          <w:tcPr>
            <w:tcW w:w="810"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最低检出限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55"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TSP</w:t>
            </w:r>
          </w:p>
        </w:tc>
        <w:tc>
          <w:tcPr>
            <w:tcW w:w="2263"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环境空气总悬浮颗粒物的测定重量法第1号修改单</w:t>
            </w:r>
            <w:r>
              <w:rPr>
                <w:rFonts w:hint="eastAsia" w:ascii="Times New Roman" w:hAnsi="Times New Roman" w:cs="Times New Roman"/>
                <w:caps w:val="0"/>
                <w:smallCaps w:val="0"/>
              </w:rPr>
              <w:t>（</w:t>
            </w:r>
            <w:r>
              <w:rPr>
                <w:rFonts w:ascii="Times New Roman" w:hAnsi="Times New Roman" w:cs="Times New Roman"/>
                <w:caps w:val="0"/>
                <w:smallCaps w:val="0"/>
              </w:rPr>
              <w:t>GB/T 15432-1995/XG1-2018</w:t>
            </w:r>
            <w:r>
              <w:rPr>
                <w:rFonts w:hint="eastAsia" w:ascii="Times New Roman" w:hAnsi="Times New Roman" w:cs="Times New Roman"/>
                <w:caps w:val="0"/>
                <w:smallCaps w:val="0"/>
              </w:rPr>
              <w:t>）</w:t>
            </w:r>
          </w:p>
        </w:tc>
        <w:tc>
          <w:tcPr>
            <w:tcW w:w="1270"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AS 220.R1电子</w:t>
            </w:r>
          </w:p>
          <w:p>
            <w:pPr>
              <w:pStyle w:val="117"/>
              <w:bidi w:val="0"/>
              <w:rPr>
                <w:rFonts w:ascii="Times New Roman" w:hAnsi="Times New Roman" w:cs="Times New Roman"/>
                <w:caps w:val="0"/>
                <w:smallCaps w:val="0"/>
              </w:rPr>
            </w:pPr>
            <w:r>
              <w:rPr>
                <w:rFonts w:ascii="Times New Roman" w:hAnsi="Times New Roman" w:cs="Times New Roman"/>
                <w:caps w:val="0"/>
                <w:smallCaps w:val="0"/>
              </w:rPr>
              <w:t>天平，JKFX-065</w:t>
            </w:r>
          </w:p>
        </w:tc>
        <w:tc>
          <w:tcPr>
            <w:tcW w:w="810"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0.001mg/m3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55"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苯并(a)芘</w:t>
            </w:r>
          </w:p>
        </w:tc>
        <w:tc>
          <w:tcPr>
            <w:tcW w:w="2263"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环境空气和废气气相和颗粒物中多环芳烃的测定气相色谱-质谱法</w:t>
            </w:r>
            <w:r>
              <w:rPr>
                <w:rFonts w:hint="eastAsia" w:ascii="Times New Roman" w:hAnsi="Times New Roman" w:cs="Times New Roman"/>
                <w:caps w:val="0"/>
                <w:smallCaps w:val="0"/>
              </w:rPr>
              <w:t>（</w:t>
            </w:r>
            <w:r>
              <w:rPr>
                <w:rFonts w:ascii="Times New Roman" w:hAnsi="Times New Roman" w:cs="Times New Roman"/>
                <w:caps w:val="0"/>
                <w:smallCaps w:val="0"/>
              </w:rPr>
              <w:t>HJ 646-2013</w:t>
            </w:r>
            <w:r>
              <w:rPr>
                <w:rFonts w:hint="eastAsia" w:ascii="Times New Roman" w:hAnsi="Times New Roman" w:cs="Times New Roman"/>
                <w:caps w:val="0"/>
                <w:smallCaps w:val="0"/>
              </w:rPr>
              <w:t>）</w:t>
            </w:r>
          </w:p>
        </w:tc>
        <w:tc>
          <w:tcPr>
            <w:tcW w:w="1270"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TRACE 1300+ISQ 7000气相色谱-质谱联用仪，JKFX-002</w:t>
            </w:r>
          </w:p>
        </w:tc>
        <w:tc>
          <w:tcPr>
            <w:tcW w:w="810"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0.0009μg/m3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55"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TVOC</w:t>
            </w:r>
          </w:p>
        </w:tc>
        <w:tc>
          <w:tcPr>
            <w:tcW w:w="2263"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环境空气挥发性有机物的测定吸附管采样-热脱附/气相色谱-质谱法（HJ 644-2013）</w:t>
            </w:r>
          </w:p>
        </w:tc>
        <w:tc>
          <w:tcPr>
            <w:tcW w:w="1270"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TRACE 1300+ISQ 7000气相色谱-质谱联用仪，JKFX-002</w:t>
            </w:r>
          </w:p>
        </w:tc>
        <w:tc>
          <w:tcPr>
            <w:tcW w:w="810" w:type="pct"/>
            <w:tcMar>
              <w:top w:w="0" w:type="dxa"/>
              <w:left w:w="0" w:type="dxa"/>
              <w:bottom w:w="0" w:type="dxa"/>
              <w:right w:w="0"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bl>
    <w:p>
      <w:pPr>
        <w:pStyle w:val="109"/>
        <w:adjustRightInd w:val="0"/>
        <w:snapToGrid w:val="0"/>
        <w:spacing w:line="360" w:lineRule="auto"/>
        <w:ind w:firstLine="482"/>
        <w:rPr>
          <w:rFonts w:ascii="Times New Roman" w:hAnsi="Times New Roman" w:cs="Times New Roman" w:eastAsiaTheme="minorEastAsia"/>
          <w:b/>
          <w:caps w:val="0"/>
          <w:smallCaps w:val="0"/>
        </w:rPr>
      </w:pP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环境空气质量现状评价</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1、评价标准</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本次评价码头区域执行《环境空气质量标准》（GB3095-2012）二级标准。</w:t>
      </w:r>
      <w:r>
        <w:rPr>
          <w:rFonts w:hint="eastAsia" w:ascii="Times New Roman" w:hAnsi="Times New Roman" w:cs="Times New Roman" w:eastAsiaTheme="minorEastAsia"/>
          <w:caps w:val="0"/>
          <w:smallCaps w:val="0"/>
          <w:sz w:val="24"/>
          <w:szCs w:val="24"/>
        </w:rPr>
        <w:t>TVOC小时平均浓度参照《环境影响评价技术导则大气环境》（HJ2.2-2018）附录D中其他污染物空气质量浓度参考限值0.6m</w:t>
      </w:r>
      <w:r>
        <w:rPr>
          <w:rFonts w:ascii="Times New Roman" w:hAnsi="Times New Roman" w:cs="Times New Roman"/>
          <w:caps w:val="0"/>
          <w:smallCaps w:val="0"/>
          <w:sz w:val="24"/>
          <w:szCs w:val="24"/>
          <w:u w:val="wave"/>
        </w:rPr>
        <w:t>g/m</w:t>
      </w:r>
      <w:r>
        <w:rPr>
          <w:rFonts w:ascii="Times New Roman" w:hAnsi="Times New Roman" w:cs="Times New Roman"/>
          <w:caps w:val="0"/>
          <w:smallCaps w:val="0"/>
          <w:sz w:val="24"/>
          <w:szCs w:val="24"/>
          <w:u w:val="wave"/>
          <w:vertAlign w:val="superscript"/>
        </w:rPr>
        <w:t>3</w:t>
      </w:r>
      <w:r>
        <w:rPr>
          <w:rFonts w:ascii="Times New Roman" w:hAnsi="Times New Roman" w:cs="Times New Roman" w:eastAsiaTheme="minorEastAsia"/>
          <w:caps w:val="0"/>
          <w:smallCaps w:val="0"/>
          <w:sz w:val="24"/>
          <w:szCs w:val="24"/>
        </w:rPr>
        <w:t>。</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2、评价方法</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环境空气质量现状评价采用占标率指标进行评价，其计算公式如下：</w:t>
      </w:r>
    </w:p>
    <w:p>
      <w:pPr>
        <w:pStyle w:val="160"/>
        <w:adjustRightInd w:val="0"/>
        <w:snapToGrid w:val="0"/>
        <w:jc w:val="center"/>
        <w:rPr>
          <w:rFonts w:ascii="Times New Roman" w:hAnsi="Times New Roman" w:cs="Times New Roman" w:eastAsiaTheme="minorEastAsia"/>
          <w:caps w:val="0"/>
          <w:smallCaps w:val="0"/>
          <w:szCs w:val="24"/>
        </w:rPr>
      </w:pPr>
      <w:r>
        <w:rPr>
          <w:rFonts w:ascii="Times New Roman" w:hAnsi="Times New Roman" w:cs="Times New Roman" w:eastAsiaTheme="minorEastAsia"/>
          <w:caps w:val="0"/>
          <w:smallCaps w:val="0"/>
          <w:position w:val="-32"/>
          <w:szCs w:val="24"/>
        </w:rPr>
        <w:object>
          <v:shape id="_x0000_i1032" o:spt="75" type="#_x0000_t75" style="height:36.75pt;width:49.5pt;" o:ole="t" filled="f" o:preferrelative="t" stroked="f" coordsize="21600,21600">
            <v:path/>
            <v:fill on="f" focussize="0,0"/>
            <v:stroke on="f" joinstyle="miter"/>
            <v:imagedata r:id="rId50" o:title=""/>
            <o:lock v:ext="edit" aspectratio="t"/>
            <w10:wrap type="none"/>
            <w10:anchorlock/>
          </v:shape>
          <o:OLEObject Type="Embed" ProgID="Equation.DSMT4" ShapeID="_x0000_i1032" DrawAspect="Content" ObjectID="_1468075732" r:id="rId49">
            <o:LockedField>false</o:LockedField>
          </o:OLEObject>
        </w:objec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式中：P</w:t>
      </w:r>
      <w:r>
        <w:rPr>
          <w:rFonts w:ascii="Times New Roman" w:hAnsi="Times New Roman" w:cs="Times New Roman" w:eastAsiaTheme="minorEastAsia"/>
          <w:caps w:val="0"/>
          <w:smallCaps w:val="0"/>
          <w:sz w:val="24"/>
          <w:szCs w:val="24"/>
          <w:vertAlign w:val="subscript"/>
        </w:rPr>
        <w:t>i</w:t>
      </w:r>
      <w:r>
        <w:rPr>
          <w:rFonts w:ascii="Times New Roman" w:hAnsi="Times New Roman" w:cs="Times New Roman" w:eastAsiaTheme="minorEastAsia"/>
          <w:caps w:val="0"/>
          <w:smallCaps w:val="0"/>
          <w:sz w:val="24"/>
          <w:szCs w:val="24"/>
        </w:rPr>
        <w:t>——第i个污染物的最大地面浓度占标率，%；</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C</w:t>
      </w:r>
      <w:r>
        <w:rPr>
          <w:rFonts w:ascii="Times New Roman" w:hAnsi="Times New Roman" w:cs="Times New Roman" w:eastAsiaTheme="minorEastAsia"/>
          <w:caps w:val="0"/>
          <w:smallCaps w:val="0"/>
          <w:sz w:val="24"/>
          <w:szCs w:val="24"/>
          <w:vertAlign w:val="subscript"/>
        </w:rPr>
        <w:t>i</w:t>
      </w:r>
      <w:r>
        <w:rPr>
          <w:rFonts w:ascii="Times New Roman" w:hAnsi="Times New Roman" w:cs="Times New Roman" w:eastAsiaTheme="minorEastAsia"/>
          <w:caps w:val="0"/>
          <w:smallCaps w:val="0"/>
          <w:sz w:val="24"/>
          <w:szCs w:val="24"/>
        </w:rPr>
        <w:t>——第i种污染物的实测浓度均值（mg/m</w:t>
      </w:r>
      <w:r>
        <w:rPr>
          <w:rFonts w:ascii="Times New Roman" w:hAnsi="Times New Roman" w:cs="Times New Roman" w:eastAsiaTheme="minorEastAsia"/>
          <w:caps w:val="0"/>
          <w:smallCaps w:val="0"/>
          <w:sz w:val="24"/>
          <w:szCs w:val="24"/>
          <w:vertAlign w:val="superscript"/>
        </w:rPr>
        <w:t>3</w:t>
      </w:r>
      <w:r>
        <w:rPr>
          <w:rFonts w:ascii="Times New Roman" w:hAnsi="Times New Roman" w:cs="Times New Roman" w:eastAsiaTheme="minorEastAsia"/>
          <w:caps w:val="0"/>
          <w:smallCaps w:val="0"/>
          <w:sz w:val="24"/>
          <w:szCs w:val="24"/>
        </w:rPr>
        <w:t>）；</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C</w:t>
      </w:r>
      <w:r>
        <w:rPr>
          <w:rFonts w:ascii="Times New Roman" w:hAnsi="Times New Roman" w:cs="Times New Roman" w:eastAsiaTheme="minorEastAsia"/>
          <w:caps w:val="0"/>
          <w:smallCaps w:val="0"/>
          <w:sz w:val="24"/>
          <w:szCs w:val="24"/>
          <w:vertAlign w:val="subscript"/>
        </w:rPr>
        <w:t>oi</w:t>
      </w:r>
      <w:r>
        <w:rPr>
          <w:rFonts w:ascii="Times New Roman" w:hAnsi="Times New Roman" w:cs="Times New Roman" w:eastAsiaTheme="minorEastAsia"/>
          <w:caps w:val="0"/>
          <w:smallCaps w:val="0"/>
          <w:sz w:val="24"/>
          <w:szCs w:val="24"/>
        </w:rPr>
        <w:t>——第i种污染物的环境空气质量标准值（mg/m</w:t>
      </w:r>
      <w:r>
        <w:rPr>
          <w:rFonts w:ascii="Times New Roman" w:hAnsi="Times New Roman" w:cs="Times New Roman" w:eastAsiaTheme="minorEastAsia"/>
          <w:caps w:val="0"/>
          <w:smallCaps w:val="0"/>
          <w:sz w:val="24"/>
          <w:szCs w:val="24"/>
          <w:vertAlign w:val="superscript"/>
        </w:rPr>
        <w:t>3</w:t>
      </w:r>
      <w:r>
        <w:rPr>
          <w:rFonts w:ascii="Times New Roman" w:hAnsi="Times New Roman" w:cs="Times New Roman" w:eastAsiaTheme="minorEastAsia"/>
          <w:caps w:val="0"/>
          <w:smallCaps w:val="0"/>
          <w:sz w:val="24"/>
          <w:szCs w:val="24"/>
        </w:rPr>
        <w:t>）。</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Pi&gt;100%时即为超标。超标率η计算式如下：</w:t>
      </w:r>
    </w:p>
    <w:p>
      <w:pPr>
        <w:adjustRightInd w:val="0"/>
        <w:snapToGrid w:val="0"/>
        <w:spacing w:line="360" w:lineRule="auto"/>
        <w:jc w:val="center"/>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超标率=（超标数据个数/中检测数据个数）×100%</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3、评价结果及分析</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0"/>
          <w:szCs w:val="20"/>
        </w:rPr>
      </w:pPr>
      <w:r>
        <w:rPr>
          <w:rFonts w:ascii="Times New Roman" w:hAnsi="Times New Roman" w:cs="Times New Roman" w:eastAsiaTheme="minorEastAsia"/>
          <w:caps w:val="0"/>
          <w:smallCaps w:val="0"/>
          <w:kern w:val="0"/>
          <w:sz w:val="24"/>
          <w:szCs w:val="24"/>
        </w:rPr>
        <w:t>本项目所在区域环境空气质量现状监测结果见表4.</w:t>
      </w:r>
      <w:r>
        <w:rPr>
          <w:rFonts w:hint="eastAsia" w:ascii="Times New Roman" w:hAnsi="Times New Roman" w:cs="Times New Roman" w:eastAsiaTheme="minorEastAsia"/>
          <w:caps w:val="0"/>
          <w:smallCaps w:val="0"/>
          <w:kern w:val="0"/>
          <w:sz w:val="24"/>
          <w:szCs w:val="24"/>
          <w:lang w:val="en-US" w:eastAsia="zh-CN"/>
        </w:rPr>
        <w:t>5</w:t>
      </w:r>
      <w:r>
        <w:rPr>
          <w:rFonts w:ascii="Times New Roman" w:hAnsi="Times New Roman" w:cs="Times New Roman" w:eastAsiaTheme="minorEastAsia"/>
          <w:caps w:val="0"/>
          <w:smallCaps w:val="0"/>
          <w:kern w:val="0"/>
          <w:sz w:val="24"/>
          <w:szCs w:val="24"/>
        </w:rPr>
        <w:t>-</w:t>
      </w:r>
      <w:r>
        <w:rPr>
          <w:rFonts w:hint="eastAsia" w:ascii="Times New Roman" w:hAnsi="Times New Roman" w:cs="Times New Roman" w:eastAsiaTheme="minorEastAsia"/>
          <w:caps w:val="0"/>
          <w:smallCaps w:val="0"/>
          <w:kern w:val="0"/>
          <w:sz w:val="24"/>
          <w:szCs w:val="24"/>
        </w:rPr>
        <w:t>4</w:t>
      </w:r>
      <w:r>
        <w:rPr>
          <w:rFonts w:ascii="Times New Roman" w:hAnsi="Times New Roman" w:cs="Times New Roman" w:eastAsiaTheme="minorEastAsia"/>
          <w:caps w:val="0"/>
          <w:smallCaps w:val="0"/>
          <w:kern w:val="0"/>
          <w:sz w:val="24"/>
          <w:szCs w:val="24"/>
        </w:rPr>
        <w:t>。</w:t>
      </w:r>
    </w:p>
    <w:p>
      <w:pPr>
        <w:adjustRightInd w:val="0"/>
        <w:snapToGrid w:val="0"/>
        <w:spacing w:line="276" w:lineRule="auto"/>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表4.</w:t>
      </w:r>
      <w:r>
        <w:rPr>
          <w:rFonts w:hint="eastAsia" w:ascii="Times New Roman" w:hAnsi="Times New Roman" w:cs="Times New Roman" w:eastAsiaTheme="minorEastAsia"/>
          <w:b/>
          <w:caps w:val="0"/>
          <w:smallCaps w:val="0"/>
          <w:sz w:val="24"/>
          <w:szCs w:val="24"/>
          <w:lang w:val="en-US" w:eastAsia="zh-CN"/>
        </w:rPr>
        <w:t>5</w:t>
      </w:r>
      <w:r>
        <w:rPr>
          <w:rFonts w:ascii="Times New Roman" w:hAnsi="Times New Roman" w:cs="Times New Roman" w:eastAsiaTheme="minorEastAsia"/>
          <w:b/>
          <w:caps w:val="0"/>
          <w:smallCaps w:val="0"/>
          <w:sz w:val="24"/>
          <w:szCs w:val="24"/>
        </w:rPr>
        <w:t>-</w:t>
      </w:r>
      <w:r>
        <w:rPr>
          <w:rFonts w:hint="eastAsia" w:ascii="Times New Roman" w:hAnsi="Times New Roman" w:cs="Times New Roman" w:eastAsiaTheme="minorEastAsia"/>
          <w:b/>
          <w:caps w:val="0"/>
          <w:smallCaps w:val="0"/>
          <w:sz w:val="24"/>
          <w:szCs w:val="24"/>
        </w:rPr>
        <w:t>4</w:t>
      </w:r>
      <w:r>
        <w:rPr>
          <w:rFonts w:ascii="Times New Roman" w:hAnsi="Times New Roman" w:cs="Times New Roman" w:eastAsiaTheme="minorEastAsia"/>
          <w:b/>
          <w:caps w:val="0"/>
          <w:smallCaps w:val="0"/>
          <w:sz w:val="24"/>
          <w:szCs w:val="24"/>
        </w:rPr>
        <w:t>特征因子监测数据统计结果汇总</w:t>
      </w:r>
    </w:p>
    <w:tbl>
      <w:tblPr>
        <w:tblStyle w:val="71"/>
        <w:tblW w:w="9099" w:type="dxa"/>
        <w:tblInd w:w="0" w:type="dxa"/>
        <w:tblLayout w:type="fixed"/>
        <w:tblCellMar>
          <w:top w:w="0" w:type="dxa"/>
          <w:left w:w="0" w:type="dxa"/>
          <w:bottom w:w="0" w:type="dxa"/>
          <w:right w:w="0" w:type="dxa"/>
        </w:tblCellMar>
      </w:tblPr>
      <w:tblGrid>
        <w:gridCol w:w="1514"/>
        <w:gridCol w:w="1315"/>
        <w:gridCol w:w="2090"/>
        <w:gridCol w:w="2090"/>
        <w:gridCol w:w="2090"/>
      </w:tblGrid>
      <w:tr>
        <w:tblPrEx>
          <w:tblCellMar>
            <w:top w:w="0" w:type="dxa"/>
            <w:left w:w="0" w:type="dxa"/>
            <w:bottom w:w="0" w:type="dxa"/>
            <w:right w:w="0" w:type="dxa"/>
          </w:tblCellMar>
        </w:tblPrEx>
        <w:trPr>
          <w:trHeight w:val="397" w:hRule="atLeast"/>
        </w:trPr>
        <w:tc>
          <w:tcPr>
            <w:tcW w:w="1514" w:type="dxa"/>
            <w:vMerge w:val="restart"/>
            <w:tcBorders>
              <w:top w:val="single" w:color="000000" w:sz="12" w:space="0"/>
              <w:left w:val="nil"/>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采样点位</w:t>
            </w:r>
          </w:p>
        </w:tc>
        <w:tc>
          <w:tcPr>
            <w:tcW w:w="1315" w:type="dxa"/>
            <w:vMerge w:val="restart"/>
            <w:tcBorders>
              <w:top w:val="single" w:color="000000" w:sz="12"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采样日期</w:t>
            </w:r>
          </w:p>
        </w:tc>
        <w:tc>
          <w:tcPr>
            <w:tcW w:w="6270" w:type="dxa"/>
            <w:gridSpan w:val="3"/>
            <w:tcBorders>
              <w:top w:val="single" w:color="000000" w:sz="12"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检测结果（</w:t>
            </w:r>
            <w:r>
              <w:rPr>
                <w:rFonts w:ascii="Times New Roman" w:hAnsi="Times New Roman" w:cs="Times New Roman"/>
                <w:caps w:val="0"/>
                <w:smallCaps w:val="0"/>
              </w:rPr>
              <w:t>mg/m</w:t>
            </w:r>
            <w:r>
              <w:rPr>
                <w:rFonts w:ascii="Times New Roman" w:hAnsi="Times New Roman" w:cs="Times New Roman"/>
                <w:caps w:val="0"/>
                <w:smallCaps w:val="0"/>
                <w:vertAlign w:val="superscript"/>
              </w:rPr>
              <w:t>3</w:t>
            </w:r>
            <w:r>
              <w:rPr>
                <w:rFonts w:hint="eastAsia" w:ascii="Times New Roman" w:hAnsi="Times New Roman" w:cs="Times New Roman"/>
                <w:caps w:val="0"/>
                <w:smallCaps w:val="0"/>
              </w:rPr>
              <w:t>）</w:t>
            </w:r>
          </w:p>
        </w:tc>
      </w:tr>
      <w:tr>
        <w:tblPrEx>
          <w:tblCellMar>
            <w:top w:w="0" w:type="dxa"/>
            <w:left w:w="0" w:type="dxa"/>
            <w:bottom w:w="0" w:type="dxa"/>
            <w:right w:w="0" w:type="dxa"/>
          </w:tblCellMar>
        </w:tblPrEx>
        <w:trPr>
          <w:trHeight w:val="397" w:hRule="atLeast"/>
        </w:trPr>
        <w:tc>
          <w:tcPr>
            <w:tcW w:w="1514" w:type="dxa"/>
            <w:vMerge w:val="continue"/>
            <w:tcBorders>
              <w:top w:val="single" w:color="000000" w:sz="8" w:space="0"/>
              <w:left w:val="nil"/>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vMerge w:val="continue"/>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苯并(a)芘（μg/m</w:t>
            </w:r>
            <w:r>
              <w:rPr>
                <w:rFonts w:ascii="Times New Roman" w:hAnsi="Times New Roman" w:cs="Times New Roman"/>
                <w:caps w:val="0"/>
                <w:smallCaps w:val="0"/>
                <w:vertAlign w:val="superscript"/>
              </w:rPr>
              <w:t>3</w:t>
            </w:r>
            <w:r>
              <w:rPr>
                <w:rFonts w:ascii="Times New Roman" w:hAnsi="Times New Roman" w:cs="Times New Roman"/>
                <w:caps w:val="0"/>
                <w:smallCaps w:val="0"/>
              </w:rPr>
              <w:t>）</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总悬浮颗粒物</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挥发性有机物</w:t>
            </w:r>
          </w:p>
        </w:tc>
      </w:tr>
      <w:tr>
        <w:tblPrEx>
          <w:tblCellMar>
            <w:top w:w="0" w:type="dxa"/>
            <w:left w:w="0" w:type="dxa"/>
            <w:bottom w:w="0" w:type="dxa"/>
            <w:right w:w="0" w:type="dxa"/>
          </w:tblCellMar>
        </w:tblPrEx>
        <w:trPr>
          <w:trHeight w:val="397" w:hRule="atLeast"/>
        </w:trPr>
        <w:tc>
          <w:tcPr>
            <w:tcW w:w="1514" w:type="dxa"/>
            <w:vMerge w:val="restart"/>
            <w:tcBorders>
              <w:top w:val="single" w:color="000000" w:sz="8" w:space="0"/>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G1北面居民点</w:t>
            </w: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0.099</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0.206</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2021.4.13</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0.102</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0.221</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2021.4.14</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0.092</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0.212</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2021.4.15</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0.106</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0.252</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2021.4.16</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0.0086</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0.194</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2021.4.17</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0.0081</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0.211</w:t>
            </w:r>
          </w:p>
        </w:tc>
      </w:tr>
      <w:tr>
        <w:tblPrEx>
          <w:tblCellMar>
            <w:top w:w="0" w:type="dxa"/>
            <w:left w:w="0" w:type="dxa"/>
            <w:bottom w:w="0" w:type="dxa"/>
            <w:right w:w="0" w:type="dxa"/>
          </w:tblCellMar>
        </w:tblPrEx>
        <w:trPr>
          <w:trHeight w:val="397" w:hRule="atLeast"/>
        </w:trPr>
        <w:tc>
          <w:tcPr>
            <w:tcW w:w="1514" w:type="dxa"/>
            <w:vMerge w:val="continue"/>
            <w:tcBorders>
              <w:left w:val="nil"/>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2021.4.18</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0.0094</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0.206</w:t>
            </w:r>
          </w:p>
        </w:tc>
      </w:tr>
      <w:tr>
        <w:tblPrEx>
          <w:tblCellMar>
            <w:top w:w="0" w:type="dxa"/>
            <w:left w:w="0" w:type="dxa"/>
            <w:bottom w:w="0" w:type="dxa"/>
            <w:right w:w="0" w:type="dxa"/>
          </w:tblCellMar>
        </w:tblPrEx>
        <w:trPr>
          <w:trHeight w:val="397" w:hRule="atLeast"/>
        </w:trPr>
        <w:tc>
          <w:tcPr>
            <w:tcW w:w="1514" w:type="dxa"/>
            <w:vMerge w:val="restart"/>
            <w:tcBorders>
              <w:top w:val="single" w:color="000000" w:sz="8" w:space="0"/>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G2建设地</w:t>
            </w: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0.109</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0.222</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2021.4.13</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0.114</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0.237</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2021.4.14</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0.098</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0.226</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2021.4.15</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0.119</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0.272</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2021.4.16</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0.092</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0.215</w:t>
            </w:r>
          </w:p>
        </w:tc>
      </w:tr>
      <w:tr>
        <w:tblPrEx>
          <w:tblCellMar>
            <w:top w:w="0" w:type="dxa"/>
            <w:left w:w="0" w:type="dxa"/>
            <w:bottom w:w="0" w:type="dxa"/>
            <w:right w:w="0" w:type="dxa"/>
          </w:tblCellMar>
        </w:tblPrEx>
        <w:trPr>
          <w:trHeight w:val="397" w:hRule="atLeast"/>
        </w:trPr>
        <w:tc>
          <w:tcPr>
            <w:tcW w:w="1514" w:type="dxa"/>
            <w:vMerge w:val="continue"/>
            <w:tcBorders>
              <w:left w:val="nil"/>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2021.4.17</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8"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0.088</w:t>
            </w:r>
          </w:p>
        </w:tc>
        <w:tc>
          <w:tcPr>
            <w:tcW w:w="2090" w:type="dxa"/>
            <w:tcBorders>
              <w:top w:val="single" w:color="000000" w:sz="8" w:space="0"/>
              <w:left w:val="single" w:color="000000" w:sz="4" w:space="0"/>
              <w:bottom w:val="single" w:color="000000" w:sz="8"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0.225</w:t>
            </w:r>
          </w:p>
        </w:tc>
      </w:tr>
      <w:tr>
        <w:tblPrEx>
          <w:tblCellMar>
            <w:top w:w="0" w:type="dxa"/>
            <w:left w:w="0" w:type="dxa"/>
            <w:bottom w:w="0" w:type="dxa"/>
            <w:right w:w="0" w:type="dxa"/>
          </w:tblCellMar>
        </w:tblPrEx>
        <w:trPr>
          <w:trHeight w:val="397" w:hRule="atLeast"/>
        </w:trPr>
        <w:tc>
          <w:tcPr>
            <w:tcW w:w="1514" w:type="dxa"/>
            <w:vMerge w:val="continue"/>
            <w:tcBorders>
              <w:left w:val="nil"/>
              <w:bottom w:val="single" w:color="000000" w:sz="12"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p>
        </w:tc>
        <w:tc>
          <w:tcPr>
            <w:tcW w:w="1315" w:type="dxa"/>
            <w:tcBorders>
              <w:top w:val="single" w:color="000000" w:sz="8" w:space="0"/>
              <w:left w:val="single" w:color="000000" w:sz="4" w:space="0"/>
              <w:bottom w:val="single" w:color="000000" w:sz="12"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2021.4.18</w:t>
            </w:r>
          </w:p>
        </w:tc>
        <w:tc>
          <w:tcPr>
            <w:tcW w:w="2090" w:type="dxa"/>
            <w:tcBorders>
              <w:top w:val="single" w:color="000000" w:sz="8" w:space="0"/>
              <w:left w:val="single" w:color="000000" w:sz="4" w:space="0"/>
              <w:bottom w:val="single" w:color="000000" w:sz="12"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0.0009L</w:t>
            </w:r>
          </w:p>
        </w:tc>
        <w:tc>
          <w:tcPr>
            <w:tcW w:w="2090" w:type="dxa"/>
            <w:tcBorders>
              <w:top w:val="single" w:color="000000" w:sz="8" w:space="0"/>
              <w:left w:val="single" w:color="000000" w:sz="4" w:space="0"/>
              <w:bottom w:val="single" w:color="000000" w:sz="12" w:space="0"/>
              <w:right w:val="single" w:color="000000" w:sz="4" w:space="0"/>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0.104</w:t>
            </w:r>
          </w:p>
        </w:tc>
        <w:tc>
          <w:tcPr>
            <w:tcW w:w="2090" w:type="dxa"/>
            <w:tcBorders>
              <w:top w:val="single" w:color="000000" w:sz="8" w:space="0"/>
              <w:left w:val="single" w:color="000000" w:sz="4" w:space="0"/>
              <w:bottom w:val="single" w:color="000000" w:sz="12" w:space="0"/>
              <w:right w:val="nil"/>
            </w:tcBorders>
            <w:shd w:val="clear" w:color="auto" w:fill="FFFFFF"/>
            <w:noWrap/>
            <w:tcMar>
              <w:top w:w="15" w:type="dxa"/>
              <w:left w:w="15" w:type="dxa"/>
              <w:right w:w="15"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0.217</w:t>
            </w:r>
          </w:p>
        </w:tc>
      </w:tr>
    </w:tbl>
    <w:p>
      <w:pPr>
        <w:pStyle w:val="70"/>
        <w:ind w:left="0" w:leftChars="0" w:firstLine="0" w:firstLineChars="0"/>
        <w:rPr>
          <w:rFonts w:ascii="Times New Roman" w:hAnsi="Times New Roman" w:cs="Times New Roman" w:eastAsiaTheme="minorEastAsia"/>
          <w:b/>
          <w:caps w:val="0"/>
          <w:smallCaps w:val="0"/>
          <w:sz w:val="24"/>
        </w:rPr>
      </w:pP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评价结果表明，项目所在区域各监测点位的</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TSP、</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苯并(a)芘</w:t>
      </w:r>
      <w:r>
        <w:rPr>
          <w:rFonts w:ascii="Times New Roman" w:hAnsi="Times New Roman" w:cs="Times New Roman" w:eastAsiaTheme="minorEastAsia"/>
          <w:caps w:val="0"/>
          <w:smallCaps w:val="0"/>
          <w:sz w:val="24"/>
          <w:szCs w:val="24"/>
        </w:rPr>
        <w:t>满足《</w:t>
      </w:r>
      <w:r>
        <w:rPr>
          <w:rFonts w:hint="eastAsia" w:ascii="Times New Roman" w:hAnsi="Times New Roman" w:cs="Times New Roman" w:eastAsiaTheme="minorEastAsia"/>
          <w:caps w:val="0"/>
          <w:smallCaps w:val="0"/>
          <w:sz w:val="24"/>
          <w:szCs w:val="24"/>
        </w:rPr>
        <w:t>环境空气质量标准</w:t>
      </w:r>
      <w:r>
        <w:rPr>
          <w:rFonts w:ascii="Times New Roman" w:hAnsi="Times New Roman" w:cs="Times New Roman" w:eastAsiaTheme="minorEastAsia"/>
          <w:caps w:val="0"/>
          <w:smallCaps w:val="0"/>
          <w:sz w:val="24"/>
          <w:szCs w:val="24"/>
        </w:rPr>
        <w:t>》</w:t>
      </w:r>
      <w:r>
        <w:rPr>
          <w:rFonts w:hint="eastAsia" w:ascii="Times New Roman" w:hAnsi="Times New Roman" w:cs="Times New Roman" w:eastAsiaTheme="minorEastAsia"/>
          <w:caps w:val="0"/>
          <w:smallCaps w:val="0"/>
          <w:sz w:val="24"/>
          <w:szCs w:val="24"/>
        </w:rPr>
        <w:t>（GB3095-2012）</w:t>
      </w:r>
      <w:r>
        <w:rPr>
          <w:rFonts w:ascii="Times New Roman" w:hAnsi="Times New Roman" w:cs="Times New Roman" w:eastAsiaTheme="minorEastAsia"/>
          <w:caps w:val="0"/>
          <w:smallCaps w:val="0"/>
          <w:sz w:val="24"/>
          <w:szCs w:val="24"/>
        </w:rPr>
        <w:t>中的相关要求，</w:t>
      </w:r>
      <w:r>
        <w:rPr>
          <w:rFonts w:hint="eastAsia" w:ascii="Times New Roman" w:hAnsi="Times New Roman" w:cs="Times New Roman" w:eastAsiaTheme="minorEastAsia"/>
          <w:caps w:val="0"/>
          <w:smallCaps w:val="0"/>
          <w:sz w:val="24"/>
          <w:szCs w:val="24"/>
        </w:rPr>
        <w:t>TVOC满足《环境影响评价技术导则大气环境》（HJ 2.2-2018）附录D中</w:t>
      </w:r>
      <w:r>
        <w:rPr>
          <w:rFonts w:ascii="Times New Roman" w:hAnsi="Times New Roman" w:cs="Times New Roman" w:eastAsiaTheme="minorEastAsia"/>
          <w:caps w:val="0"/>
          <w:smallCaps w:val="0"/>
          <w:sz w:val="24"/>
          <w:szCs w:val="24"/>
        </w:rPr>
        <w:t>的</w:t>
      </w:r>
      <w:r>
        <w:rPr>
          <w:rFonts w:hint="eastAsia" w:ascii="Times New Roman" w:hAnsi="Times New Roman" w:cs="Times New Roman" w:eastAsiaTheme="minorEastAsia"/>
          <w:caps w:val="0"/>
          <w:smallCaps w:val="0"/>
          <w:sz w:val="24"/>
          <w:szCs w:val="24"/>
        </w:rPr>
        <w:t>限值</w:t>
      </w:r>
      <w:r>
        <w:rPr>
          <w:rFonts w:ascii="Times New Roman" w:hAnsi="Times New Roman" w:cs="Times New Roman" w:eastAsiaTheme="minorEastAsia"/>
          <w:caps w:val="0"/>
          <w:smallCaps w:val="0"/>
          <w:sz w:val="24"/>
          <w:szCs w:val="24"/>
        </w:rPr>
        <w:t>要求</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sz w:val="24"/>
          <w:szCs w:val="24"/>
        </w:rPr>
        <w:t>评价区域内环境空气质量现状良好。</w:t>
      </w:r>
    </w:p>
    <w:p>
      <w:pPr>
        <w:pStyle w:val="5"/>
        <w:rPr>
          <w:rFonts w:ascii="Times New Roman" w:hAnsi="Times New Roman" w:cs="Times New Roman" w:eastAsiaTheme="minorEastAsia"/>
          <w:b/>
          <w:caps w:val="0"/>
          <w:smallCaps w:val="0"/>
        </w:rPr>
      </w:pPr>
      <w:bookmarkStart w:id="76" w:name="_Toc1647848"/>
      <w:bookmarkEnd w:id="76"/>
      <w:bookmarkStart w:id="77" w:name="_Toc27611"/>
      <w:r>
        <w:rPr>
          <w:rFonts w:ascii="Times New Roman" w:hAnsi="Times New Roman" w:cs="Times New Roman" w:eastAsiaTheme="minorEastAsia"/>
          <w:b/>
          <w:caps w:val="0"/>
          <w:smallCaps w:val="0"/>
        </w:rPr>
        <w:t>声环境现状调查与评价</w:t>
      </w:r>
      <w:bookmarkEnd w:id="77"/>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声环境现状调查</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bookmarkStart w:id="78" w:name="_Toc163890852"/>
      <w:bookmarkEnd w:id="78"/>
      <w:r>
        <w:rPr>
          <w:rFonts w:ascii="Times New Roman" w:hAnsi="Times New Roman" w:cs="Times New Roman" w:eastAsiaTheme="minorEastAsia"/>
          <w:b/>
          <w:caps w:val="0"/>
          <w:smallCaps w:val="0"/>
          <w:sz w:val="24"/>
          <w:szCs w:val="24"/>
        </w:rPr>
        <w:t>1、评价范围声功能区划</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目前，本项目所在地区尚没有进行环境功能区划。</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2、本项目周边主要噪声污染源</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sz w:val="24"/>
          <w:szCs w:val="24"/>
        </w:rPr>
        <w:t>本项目评价范围内均为</w:t>
      </w:r>
      <w:r>
        <w:rPr>
          <w:rFonts w:hint="eastAsia" w:ascii="Times New Roman" w:hAnsi="Times New Roman" w:cs="Times New Roman" w:eastAsiaTheme="minorEastAsia"/>
          <w:caps w:val="0"/>
          <w:smallCaps w:val="0"/>
          <w:sz w:val="24"/>
          <w:szCs w:val="24"/>
        </w:rPr>
        <w:t>城乡结合部</w:t>
      </w:r>
      <w:r>
        <w:rPr>
          <w:rFonts w:ascii="Times New Roman" w:hAnsi="Times New Roman" w:cs="Times New Roman" w:eastAsiaTheme="minorEastAsia"/>
          <w:caps w:val="0"/>
          <w:smallCaps w:val="0"/>
          <w:sz w:val="24"/>
          <w:szCs w:val="24"/>
        </w:rPr>
        <w:t>，主要噪声源主要为现有交通噪声和居民生活噪声，其中交通噪声为主要污染源。</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声环境现状监测</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ascii="Times New Roman" w:hAnsi="Times New Roman" w:cs="Times New Roman" w:eastAsiaTheme="minorEastAsia"/>
          <w:caps w:val="0"/>
          <w:smallCaps w:val="0"/>
          <w:color w:val="000000"/>
          <w:sz w:val="24"/>
          <w:szCs w:val="24"/>
        </w:rPr>
        <w:t>本次评价委托湖南</w:t>
      </w:r>
      <w:r>
        <w:rPr>
          <w:rFonts w:hint="eastAsia" w:ascii="Times New Roman" w:hAnsi="Times New Roman" w:cs="Times New Roman" w:eastAsiaTheme="minorEastAsia"/>
          <w:caps w:val="0"/>
          <w:smallCaps w:val="0"/>
          <w:color w:val="000000"/>
          <w:sz w:val="24"/>
          <w:szCs w:val="24"/>
        </w:rPr>
        <w:t>精科</w:t>
      </w:r>
      <w:r>
        <w:rPr>
          <w:rFonts w:ascii="Times New Roman" w:hAnsi="Times New Roman" w:cs="Times New Roman" w:eastAsiaTheme="minorEastAsia"/>
          <w:caps w:val="0"/>
          <w:smallCaps w:val="0"/>
          <w:color w:val="000000"/>
          <w:sz w:val="24"/>
          <w:szCs w:val="24"/>
        </w:rPr>
        <w:t>检测有限公司于20</w:t>
      </w:r>
      <w:r>
        <w:rPr>
          <w:rFonts w:hint="eastAsia" w:ascii="Times New Roman" w:hAnsi="Times New Roman" w:cs="Times New Roman" w:eastAsiaTheme="minorEastAsia"/>
          <w:caps w:val="0"/>
          <w:smallCaps w:val="0"/>
          <w:color w:val="000000"/>
          <w:sz w:val="24"/>
          <w:szCs w:val="24"/>
        </w:rPr>
        <w:t>2</w:t>
      </w:r>
      <w:r>
        <w:rPr>
          <w:rFonts w:hint="eastAsia" w:ascii="Times New Roman" w:hAnsi="Times New Roman" w:cs="Times New Roman" w:eastAsiaTheme="minorEastAsia"/>
          <w:caps w:val="0"/>
          <w:smallCaps w:val="0"/>
          <w:color w:val="000000"/>
          <w:sz w:val="24"/>
          <w:szCs w:val="24"/>
          <w:lang w:val="en-US" w:eastAsia="zh-CN"/>
        </w:rPr>
        <w:t>1</w:t>
      </w:r>
      <w:r>
        <w:rPr>
          <w:rFonts w:ascii="Times New Roman" w:hAnsi="Times New Roman" w:cs="Times New Roman" w:eastAsiaTheme="minorEastAsia"/>
          <w:caps w:val="0"/>
          <w:smallCaps w:val="0"/>
          <w:color w:val="000000"/>
          <w:sz w:val="24"/>
          <w:szCs w:val="24"/>
        </w:rPr>
        <w:t>年</w:t>
      </w:r>
      <w:r>
        <w:rPr>
          <w:rFonts w:hint="eastAsia" w:ascii="Times New Roman" w:hAnsi="Times New Roman" w:cs="Times New Roman" w:eastAsiaTheme="minorEastAsia"/>
          <w:caps w:val="0"/>
          <w:smallCaps w:val="0"/>
          <w:color w:val="000000"/>
          <w:sz w:val="24"/>
          <w:szCs w:val="24"/>
        </w:rPr>
        <w:t>4</w:t>
      </w:r>
      <w:r>
        <w:rPr>
          <w:rFonts w:ascii="Times New Roman" w:hAnsi="Times New Roman" w:cs="Times New Roman" w:eastAsiaTheme="minorEastAsia"/>
          <w:caps w:val="0"/>
          <w:smallCaps w:val="0"/>
          <w:color w:val="000000"/>
          <w:sz w:val="24"/>
          <w:szCs w:val="24"/>
        </w:rPr>
        <w:t>月</w:t>
      </w:r>
      <w:r>
        <w:rPr>
          <w:rFonts w:hint="eastAsia" w:ascii="Times New Roman" w:hAnsi="Times New Roman" w:cs="Times New Roman" w:eastAsiaTheme="minorEastAsia"/>
          <w:caps w:val="0"/>
          <w:smallCaps w:val="0"/>
          <w:color w:val="000000"/>
          <w:sz w:val="24"/>
          <w:szCs w:val="24"/>
        </w:rPr>
        <w:t>12</w:t>
      </w:r>
      <w:r>
        <w:rPr>
          <w:rFonts w:ascii="Times New Roman" w:hAnsi="Times New Roman" w:cs="Times New Roman" w:eastAsiaTheme="minorEastAsia"/>
          <w:caps w:val="0"/>
          <w:smallCaps w:val="0"/>
          <w:color w:val="000000"/>
          <w:sz w:val="24"/>
          <w:szCs w:val="24"/>
        </w:rPr>
        <w:t>日~</w:t>
      </w:r>
      <w:r>
        <w:rPr>
          <w:rFonts w:hint="eastAsia" w:ascii="Times New Roman" w:hAnsi="Times New Roman" w:cs="Times New Roman" w:eastAsiaTheme="minorEastAsia"/>
          <w:caps w:val="0"/>
          <w:smallCaps w:val="0"/>
          <w:color w:val="000000"/>
          <w:sz w:val="24"/>
          <w:szCs w:val="24"/>
        </w:rPr>
        <w:t>13</w:t>
      </w:r>
      <w:r>
        <w:rPr>
          <w:rFonts w:ascii="Times New Roman" w:hAnsi="Times New Roman" w:cs="Times New Roman" w:eastAsiaTheme="minorEastAsia"/>
          <w:caps w:val="0"/>
          <w:smallCaps w:val="0"/>
          <w:color w:val="000000"/>
          <w:sz w:val="24"/>
          <w:szCs w:val="24"/>
        </w:rPr>
        <w:t>日期间针对码头周边进行了声环境现状监测。</w:t>
      </w:r>
    </w:p>
    <w:p>
      <w:pPr>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1、监测布点</w:t>
      </w:r>
    </w:p>
    <w:p>
      <w:pPr>
        <w:adjustRightInd w:val="0"/>
        <w:snapToGrid w:val="0"/>
        <w:spacing w:line="360" w:lineRule="auto"/>
        <w:ind w:firstLine="480" w:firstLineChars="200"/>
        <w:rPr>
          <w:rFonts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检测布点为海丰物流现有厂区四至。</w:t>
      </w:r>
    </w:p>
    <w:p>
      <w:pPr>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2、监测时间、频率</w:t>
      </w:r>
    </w:p>
    <w:p>
      <w:pPr>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监测2天，每天昼夜间各监测1次，对各个噪声监测点进行昼间和夜间监测。昼间06:00~22:00，夜间22:00~06:00（次日）。</w:t>
      </w:r>
    </w:p>
    <w:p>
      <w:pPr>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3、监测方法</w:t>
      </w:r>
    </w:p>
    <w:p>
      <w:pPr>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按《声环境质量标准》（GB3096-2008）的规定，采用符合国家计量规定的声级计进行监测。监测期间天气良好，无雨雪、无雷电天气，风速小于5m/s，传声器设置户外1m处，高度为1.2m以上。</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环境噪声现状评价</w:t>
      </w:r>
    </w:p>
    <w:p>
      <w:pPr>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1、评价标准及方法</w:t>
      </w:r>
    </w:p>
    <w:p>
      <w:pPr>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采用等效声级与相应标准值比较的方法进行，本项目所在地声环境质量执行《声环境质量标准》（GB3096-2008）2类、4a类标准。</w:t>
      </w:r>
    </w:p>
    <w:p>
      <w:pPr>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2、评价结果及分析</w:t>
      </w:r>
    </w:p>
    <w:p>
      <w:pPr>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本项目各个噪声监测点声环境现状监测及评价结果见表4.</w:t>
      </w:r>
      <w:r>
        <w:rPr>
          <w:rFonts w:hint="eastAsia" w:ascii="Times New Roman" w:hAnsi="Times New Roman" w:cs="Times New Roman" w:eastAsiaTheme="minorEastAsia"/>
          <w:caps w:val="0"/>
          <w:smallCaps w:val="0"/>
          <w:sz w:val="24"/>
          <w:szCs w:val="24"/>
          <w:lang w:val="en-US" w:eastAsia="zh-CN"/>
        </w:rPr>
        <w:t>6</w:t>
      </w:r>
      <w:r>
        <w:rPr>
          <w:rFonts w:ascii="Times New Roman" w:hAnsi="Times New Roman" w:cs="Times New Roman" w:eastAsiaTheme="minorEastAsia"/>
          <w:caps w:val="0"/>
          <w:smallCaps w:val="0"/>
          <w:sz w:val="24"/>
          <w:szCs w:val="24"/>
        </w:rPr>
        <w:t>-2。</w:t>
      </w:r>
    </w:p>
    <w:p>
      <w:pPr>
        <w:adjustRightInd w:val="0"/>
        <w:snapToGrid w:val="0"/>
        <w:spacing w:line="276" w:lineRule="auto"/>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表4.</w:t>
      </w:r>
      <w:r>
        <w:rPr>
          <w:rFonts w:hint="eastAsia" w:ascii="Times New Roman" w:hAnsi="Times New Roman" w:cs="Times New Roman" w:eastAsiaTheme="minorEastAsia"/>
          <w:b/>
          <w:caps w:val="0"/>
          <w:smallCaps w:val="0"/>
          <w:sz w:val="24"/>
          <w:szCs w:val="24"/>
          <w:lang w:val="en-US" w:eastAsia="zh-CN"/>
        </w:rPr>
        <w:t>6</w:t>
      </w:r>
      <w:r>
        <w:rPr>
          <w:rFonts w:ascii="Times New Roman" w:hAnsi="Times New Roman" w:cs="Times New Roman" w:eastAsiaTheme="minorEastAsia"/>
          <w:b/>
          <w:caps w:val="0"/>
          <w:smallCaps w:val="0"/>
          <w:sz w:val="24"/>
          <w:szCs w:val="24"/>
        </w:rPr>
        <w:t>-2噪声监测结果一览表</w:t>
      </w:r>
    </w:p>
    <w:tbl>
      <w:tblPr>
        <w:tblStyle w:val="71"/>
        <w:tblW w:w="0" w:type="auto"/>
        <w:tblInd w:w="119"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2867"/>
        <w:gridCol w:w="1485"/>
        <w:gridCol w:w="2315"/>
        <w:gridCol w:w="2393"/>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blHeader/>
        </w:trPr>
        <w:tc>
          <w:tcPr>
            <w:tcW w:w="2867" w:type="dxa"/>
            <w:vMerge w:val="restart"/>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检测点位</w:t>
            </w:r>
          </w:p>
        </w:tc>
        <w:tc>
          <w:tcPr>
            <w:tcW w:w="1485" w:type="dxa"/>
            <w:vMerge w:val="restart"/>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检测日期</w:t>
            </w:r>
          </w:p>
        </w:tc>
        <w:tc>
          <w:tcPr>
            <w:tcW w:w="4708" w:type="dxa"/>
            <w:gridSpan w:val="2"/>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检测结果Leq[dB(A)]</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blHeader/>
        </w:trPr>
        <w:tc>
          <w:tcPr>
            <w:tcW w:w="2867" w:type="dxa"/>
            <w:vMerge w:val="continue"/>
            <w:noWrap/>
            <w:vAlign w:val="center"/>
          </w:tcPr>
          <w:p>
            <w:pPr>
              <w:pStyle w:val="127"/>
              <w:bidi w:val="0"/>
              <w:rPr>
                <w:rFonts w:ascii="Times New Roman" w:hAnsi="Times New Roman" w:cs="Times New Roman"/>
                <w:caps w:val="0"/>
                <w:smallCaps w:val="0"/>
              </w:rPr>
            </w:pPr>
          </w:p>
        </w:tc>
        <w:tc>
          <w:tcPr>
            <w:tcW w:w="1485" w:type="dxa"/>
            <w:vMerge w:val="continue"/>
            <w:noWrap/>
            <w:vAlign w:val="center"/>
          </w:tcPr>
          <w:p>
            <w:pPr>
              <w:pStyle w:val="127"/>
              <w:bidi w:val="0"/>
              <w:rPr>
                <w:rFonts w:ascii="Times New Roman" w:hAnsi="Times New Roman" w:cs="Times New Roman"/>
                <w:caps w:val="0"/>
                <w:smallCaps w:val="0"/>
              </w:rPr>
            </w:pPr>
          </w:p>
        </w:tc>
        <w:tc>
          <w:tcPr>
            <w:tcW w:w="231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昼间</w:t>
            </w:r>
          </w:p>
        </w:tc>
        <w:tc>
          <w:tcPr>
            <w:tcW w:w="2393"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夜间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2867" w:type="dxa"/>
            <w:vMerge w:val="restart"/>
            <w:noWrap/>
            <w:vAlign w:val="center"/>
          </w:tcPr>
          <w:p>
            <w:pPr>
              <w:pStyle w:val="12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rPr>
              <w:t>N1厂界东侧</w:t>
            </w:r>
            <w:r>
              <w:rPr>
                <w:rFonts w:hint="eastAsia" w:ascii="Times New Roman" w:hAnsi="Times New Roman" w:cs="Times New Roman"/>
                <w:caps w:val="0"/>
                <w:smallCaps w:val="0"/>
                <w:lang w:eastAsia="zh-CN"/>
              </w:rPr>
              <w:t>（</w:t>
            </w:r>
            <w:r>
              <w:rPr>
                <w:rFonts w:hint="eastAsia" w:ascii="Times New Roman" w:hAnsi="Times New Roman" w:cs="Times New Roman"/>
                <w:caps w:val="0"/>
                <w:smallCaps w:val="0"/>
                <w:lang w:val="en-US" w:eastAsia="zh-CN"/>
              </w:rPr>
              <w:t>2类</w:t>
            </w:r>
            <w:r>
              <w:rPr>
                <w:rFonts w:hint="eastAsia" w:ascii="Times New Roman" w:hAnsi="Times New Roman" w:cs="Times New Roman"/>
                <w:caps w:val="0"/>
                <w:smallCaps w:val="0"/>
                <w:lang w:eastAsia="zh-CN"/>
              </w:rPr>
              <w:t>）</w:t>
            </w:r>
          </w:p>
        </w:tc>
        <w:tc>
          <w:tcPr>
            <w:tcW w:w="148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231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52.2</w:t>
            </w:r>
          </w:p>
        </w:tc>
        <w:tc>
          <w:tcPr>
            <w:tcW w:w="2393"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42.2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2867" w:type="dxa"/>
            <w:vMerge w:val="continue"/>
            <w:noWrap/>
            <w:vAlign w:val="center"/>
          </w:tcPr>
          <w:p>
            <w:pPr>
              <w:pStyle w:val="127"/>
              <w:bidi w:val="0"/>
              <w:rPr>
                <w:rFonts w:ascii="Times New Roman" w:hAnsi="Times New Roman" w:cs="Times New Roman"/>
                <w:caps w:val="0"/>
                <w:smallCaps w:val="0"/>
              </w:rPr>
            </w:pPr>
          </w:p>
        </w:tc>
        <w:tc>
          <w:tcPr>
            <w:tcW w:w="148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2021.4.13</w:t>
            </w:r>
          </w:p>
        </w:tc>
        <w:tc>
          <w:tcPr>
            <w:tcW w:w="231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53.1</w:t>
            </w:r>
          </w:p>
        </w:tc>
        <w:tc>
          <w:tcPr>
            <w:tcW w:w="2393"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41.6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2867" w:type="dxa"/>
            <w:vMerge w:val="restart"/>
            <w:noWrap/>
            <w:vAlign w:val="center"/>
          </w:tcPr>
          <w:p>
            <w:pPr>
              <w:pStyle w:val="127"/>
              <w:bidi w:val="0"/>
              <w:rPr>
                <w:rFonts w:ascii="Times New Roman" w:hAnsi="Times New Roman" w:cs="Times New Roman"/>
                <w:caps w:val="0"/>
                <w:smallCaps w:val="0"/>
              </w:rPr>
            </w:pPr>
            <w:r>
              <w:rPr>
                <w:rFonts w:hint="eastAsia" w:ascii="Times New Roman" w:hAnsi="Times New Roman" w:cs="Times New Roman"/>
                <w:caps w:val="0"/>
                <w:smallCaps w:val="0"/>
              </w:rPr>
              <w:t>N2厂界南侧</w:t>
            </w:r>
            <w:r>
              <w:rPr>
                <w:rFonts w:hint="eastAsia" w:ascii="Times New Roman" w:hAnsi="Times New Roman" w:cs="Times New Roman"/>
                <w:caps w:val="0"/>
                <w:smallCaps w:val="0"/>
                <w:lang w:eastAsia="zh-CN"/>
              </w:rPr>
              <w:t>（</w:t>
            </w:r>
            <w:r>
              <w:rPr>
                <w:rFonts w:hint="eastAsia" w:ascii="Times New Roman" w:hAnsi="Times New Roman" w:cs="Times New Roman"/>
                <w:caps w:val="0"/>
                <w:smallCaps w:val="0"/>
                <w:lang w:val="en-US" w:eastAsia="zh-CN"/>
              </w:rPr>
              <w:t>2类</w:t>
            </w:r>
            <w:r>
              <w:rPr>
                <w:rFonts w:hint="eastAsia" w:ascii="Times New Roman" w:hAnsi="Times New Roman" w:cs="Times New Roman"/>
                <w:caps w:val="0"/>
                <w:smallCaps w:val="0"/>
                <w:lang w:eastAsia="zh-CN"/>
              </w:rPr>
              <w:t>）</w:t>
            </w:r>
          </w:p>
        </w:tc>
        <w:tc>
          <w:tcPr>
            <w:tcW w:w="148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231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53.7</w:t>
            </w:r>
          </w:p>
        </w:tc>
        <w:tc>
          <w:tcPr>
            <w:tcW w:w="2393"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41.1</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2867" w:type="dxa"/>
            <w:vMerge w:val="continue"/>
            <w:noWrap/>
            <w:vAlign w:val="center"/>
          </w:tcPr>
          <w:p>
            <w:pPr>
              <w:pStyle w:val="127"/>
              <w:bidi w:val="0"/>
              <w:rPr>
                <w:rFonts w:ascii="Times New Roman" w:hAnsi="Times New Roman" w:cs="Times New Roman"/>
                <w:caps w:val="0"/>
                <w:smallCaps w:val="0"/>
              </w:rPr>
            </w:pPr>
          </w:p>
        </w:tc>
        <w:tc>
          <w:tcPr>
            <w:tcW w:w="148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2021.4.13</w:t>
            </w:r>
          </w:p>
        </w:tc>
        <w:tc>
          <w:tcPr>
            <w:tcW w:w="231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54.2</w:t>
            </w:r>
          </w:p>
        </w:tc>
        <w:tc>
          <w:tcPr>
            <w:tcW w:w="2393"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41.4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2867" w:type="dxa"/>
            <w:vMerge w:val="restart"/>
            <w:noWrap/>
            <w:vAlign w:val="center"/>
          </w:tcPr>
          <w:p>
            <w:pPr>
              <w:pStyle w:val="127"/>
              <w:bidi w:val="0"/>
              <w:rPr>
                <w:rFonts w:ascii="Times New Roman" w:hAnsi="Times New Roman" w:cs="Times New Roman"/>
                <w:caps w:val="0"/>
                <w:smallCaps w:val="0"/>
              </w:rPr>
            </w:pPr>
            <w:r>
              <w:rPr>
                <w:rFonts w:hint="eastAsia" w:ascii="Times New Roman" w:hAnsi="Times New Roman" w:cs="Times New Roman"/>
                <w:caps w:val="0"/>
                <w:smallCaps w:val="0"/>
              </w:rPr>
              <w:t>N3厂界西侧</w:t>
            </w:r>
            <w:r>
              <w:rPr>
                <w:rFonts w:hint="eastAsia" w:ascii="Times New Roman" w:hAnsi="Times New Roman" w:cs="Times New Roman"/>
                <w:caps w:val="0"/>
                <w:smallCaps w:val="0"/>
                <w:lang w:eastAsia="zh-CN"/>
              </w:rPr>
              <w:t>（</w:t>
            </w:r>
            <w:r>
              <w:rPr>
                <w:rFonts w:hint="eastAsia" w:ascii="Times New Roman" w:hAnsi="Times New Roman" w:cs="Times New Roman"/>
                <w:caps w:val="0"/>
                <w:smallCaps w:val="0"/>
                <w:lang w:val="en-US" w:eastAsia="zh-CN"/>
              </w:rPr>
              <w:t>4a类</w:t>
            </w:r>
            <w:r>
              <w:rPr>
                <w:rFonts w:hint="eastAsia" w:ascii="Times New Roman" w:hAnsi="Times New Roman" w:cs="Times New Roman"/>
                <w:caps w:val="0"/>
                <w:smallCaps w:val="0"/>
                <w:lang w:eastAsia="zh-CN"/>
              </w:rPr>
              <w:t>）</w:t>
            </w:r>
          </w:p>
        </w:tc>
        <w:tc>
          <w:tcPr>
            <w:tcW w:w="148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231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52.6</w:t>
            </w:r>
          </w:p>
        </w:tc>
        <w:tc>
          <w:tcPr>
            <w:tcW w:w="2393"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42.7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2867" w:type="dxa"/>
            <w:vMerge w:val="continue"/>
            <w:noWrap/>
            <w:vAlign w:val="center"/>
          </w:tcPr>
          <w:p>
            <w:pPr>
              <w:pStyle w:val="127"/>
              <w:bidi w:val="0"/>
              <w:rPr>
                <w:rFonts w:ascii="Times New Roman" w:hAnsi="Times New Roman" w:cs="Times New Roman"/>
                <w:caps w:val="0"/>
                <w:smallCaps w:val="0"/>
              </w:rPr>
            </w:pPr>
          </w:p>
        </w:tc>
        <w:tc>
          <w:tcPr>
            <w:tcW w:w="148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2021.4.13</w:t>
            </w:r>
          </w:p>
        </w:tc>
        <w:tc>
          <w:tcPr>
            <w:tcW w:w="231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52.1</w:t>
            </w:r>
          </w:p>
        </w:tc>
        <w:tc>
          <w:tcPr>
            <w:tcW w:w="2393"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43.2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2867" w:type="dxa"/>
            <w:vMerge w:val="restart"/>
            <w:noWrap/>
            <w:vAlign w:val="center"/>
          </w:tcPr>
          <w:p>
            <w:pPr>
              <w:pStyle w:val="127"/>
              <w:bidi w:val="0"/>
              <w:rPr>
                <w:rFonts w:ascii="Times New Roman" w:hAnsi="Times New Roman" w:cs="Times New Roman"/>
                <w:caps w:val="0"/>
                <w:smallCaps w:val="0"/>
              </w:rPr>
            </w:pPr>
            <w:r>
              <w:rPr>
                <w:rFonts w:hint="eastAsia" w:ascii="Times New Roman" w:hAnsi="Times New Roman" w:cs="Times New Roman"/>
                <w:caps w:val="0"/>
                <w:smallCaps w:val="0"/>
              </w:rPr>
              <w:t>N4厂界北侧</w:t>
            </w:r>
            <w:r>
              <w:rPr>
                <w:rFonts w:hint="eastAsia" w:ascii="Times New Roman" w:hAnsi="Times New Roman" w:cs="Times New Roman"/>
                <w:caps w:val="0"/>
                <w:smallCaps w:val="0"/>
                <w:lang w:eastAsia="zh-CN"/>
              </w:rPr>
              <w:t>（</w:t>
            </w:r>
            <w:r>
              <w:rPr>
                <w:rFonts w:hint="eastAsia" w:ascii="Times New Roman" w:hAnsi="Times New Roman" w:cs="Times New Roman"/>
                <w:caps w:val="0"/>
                <w:smallCaps w:val="0"/>
                <w:lang w:val="en-US" w:eastAsia="zh-CN"/>
              </w:rPr>
              <w:t>2类</w:t>
            </w:r>
            <w:r>
              <w:rPr>
                <w:rFonts w:hint="eastAsia" w:ascii="Times New Roman" w:hAnsi="Times New Roman" w:cs="Times New Roman"/>
                <w:caps w:val="0"/>
                <w:smallCaps w:val="0"/>
                <w:lang w:eastAsia="zh-CN"/>
              </w:rPr>
              <w:t>）</w:t>
            </w:r>
          </w:p>
        </w:tc>
        <w:tc>
          <w:tcPr>
            <w:tcW w:w="148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231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51.7</w:t>
            </w:r>
          </w:p>
        </w:tc>
        <w:tc>
          <w:tcPr>
            <w:tcW w:w="2393"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41.9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454" w:hRule="atLeast"/>
        </w:trPr>
        <w:tc>
          <w:tcPr>
            <w:tcW w:w="2867" w:type="dxa"/>
            <w:vMerge w:val="continue"/>
            <w:noWrap/>
            <w:vAlign w:val="center"/>
          </w:tcPr>
          <w:p>
            <w:pPr>
              <w:pStyle w:val="127"/>
              <w:bidi w:val="0"/>
              <w:rPr>
                <w:rFonts w:ascii="Times New Roman" w:hAnsi="Times New Roman" w:cs="Times New Roman"/>
                <w:caps w:val="0"/>
                <w:smallCaps w:val="0"/>
              </w:rPr>
            </w:pPr>
          </w:p>
        </w:tc>
        <w:tc>
          <w:tcPr>
            <w:tcW w:w="148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2021.4.13</w:t>
            </w:r>
          </w:p>
        </w:tc>
        <w:tc>
          <w:tcPr>
            <w:tcW w:w="2315"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52.1</w:t>
            </w:r>
          </w:p>
        </w:tc>
        <w:tc>
          <w:tcPr>
            <w:tcW w:w="2393" w:type="dxa"/>
            <w:noWrap/>
            <w:vAlign w:val="center"/>
          </w:tcPr>
          <w:p>
            <w:pPr>
              <w:pStyle w:val="127"/>
              <w:bidi w:val="0"/>
              <w:rPr>
                <w:rFonts w:ascii="Times New Roman" w:hAnsi="Times New Roman" w:cs="Times New Roman"/>
                <w:caps w:val="0"/>
                <w:smallCaps w:val="0"/>
              </w:rPr>
            </w:pPr>
            <w:r>
              <w:rPr>
                <w:rFonts w:ascii="Times New Roman" w:hAnsi="Times New Roman" w:cs="Times New Roman"/>
                <w:caps w:val="0"/>
                <w:smallCaps w:val="0"/>
              </w:rPr>
              <w:t>42.5</w:t>
            </w:r>
          </w:p>
        </w:tc>
      </w:tr>
    </w:tbl>
    <w:p>
      <w:pPr>
        <w:pStyle w:val="70"/>
        <w:ind w:left="0" w:leftChars="0" w:firstLine="0" w:firstLineChars="0"/>
        <w:rPr>
          <w:rFonts w:ascii="Times New Roman" w:hAnsi="Times New Roman" w:cs="Times New Roman" w:eastAsiaTheme="minorEastAsia"/>
          <w:b/>
          <w:caps w:val="0"/>
          <w:smallCaps w:val="0"/>
          <w:sz w:val="24"/>
        </w:rPr>
      </w:pPr>
    </w:p>
    <w:p>
      <w:pPr>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现状监测结果表明，项目所在地环境质量满足《声环境质量标准》（GB3096-2008）2类、4a类标准，表明项目周边声环境质量现状良好。</w:t>
      </w:r>
    </w:p>
    <w:p>
      <w:pPr>
        <w:pStyle w:val="5"/>
        <w:bidi w:val="0"/>
        <w:rPr>
          <w:rFonts w:ascii="Times New Roman" w:hAnsi="Times New Roman" w:cs="Times New Roman"/>
          <w:caps w:val="0"/>
          <w:smallCaps w:val="0"/>
        </w:rPr>
      </w:pPr>
      <w:bookmarkStart w:id="79" w:name="_Toc22317"/>
      <w:r>
        <w:rPr>
          <w:rFonts w:ascii="Times New Roman" w:hAnsi="Times New Roman" w:cs="Times New Roman"/>
          <w:caps w:val="0"/>
          <w:smallCaps w:val="0"/>
        </w:rPr>
        <w:t>土壤环境现状调查与评价</w:t>
      </w:r>
      <w:bookmarkEnd w:id="79"/>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土壤环境现状监测</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本次评价委托</w:t>
      </w:r>
      <w:r>
        <w:rPr>
          <w:rFonts w:hint="eastAsia" w:ascii="Times New Roman" w:hAnsi="Times New Roman" w:cs="Times New Roman" w:eastAsiaTheme="minorEastAsia"/>
          <w:caps w:val="0"/>
          <w:smallCaps w:val="0"/>
          <w:color w:val="000000"/>
          <w:sz w:val="24"/>
          <w:szCs w:val="24"/>
        </w:rPr>
        <w:t>湖南精科检测有限公司</w:t>
      </w:r>
      <w:r>
        <w:rPr>
          <w:rFonts w:ascii="Times New Roman" w:hAnsi="Times New Roman" w:cs="Times New Roman" w:eastAsiaTheme="minorEastAsia"/>
          <w:caps w:val="0"/>
          <w:smallCaps w:val="0"/>
          <w:sz w:val="24"/>
          <w:szCs w:val="24"/>
        </w:rPr>
        <w:t>于20</w:t>
      </w:r>
      <w:r>
        <w:rPr>
          <w:rFonts w:hint="eastAsia" w:ascii="Times New Roman" w:hAnsi="Times New Roman" w:cs="Times New Roman" w:eastAsiaTheme="minorEastAsia"/>
          <w:caps w:val="0"/>
          <w:smallCaps w:val="0"/>
          <w:sz w:val="24"/>
          <w:szCs w:val="24"/>
        </w:rPr>
        <w:t>2</w:t>
      </w:r>
      <w:r>
        <w:rPr>
          <w:rFonts w:hint="eastAsia" w:ascii="Times New Roman" w:hAnsi="Times New Roman" w:cs="Times New Roman" w:eastAsiaTheme="minorEastAsia"/>
          <w:caps w:val="0"/>
          <w:smallCaps w:val="0"/>
          <w:sz w:val="24"/>
          <w:szCs w:val="24"/>
          <w:lang w:val="en-US" w:eastAsia="zh-CN"/>
        </w:rPr>
        <w:t>1</w:t>
      </w:r>
      <w:r>
        <w:rPr>
          <w:rFonts w:ascii="Times New Roman" w:hAnsi="Times New Roman" w:cs="Times New Roman" w:eastAsiaTheme="minorEastAsia"/>
          <w:caps w:val="0"/>
          <w:smallCaps w:val="0"/>
          <w:sz w:val="24"/>
          <w:szCs w:val="24"/>
        </w:rPr>
        <w:t>年</w:t>
      </w:r>
      <w:r>
        <w:rPr>
          <w:rFonts w:hint="eastAsia" w:ascii="Times New Roman" w:hAnsi="Times New Roman" w:cs="Times New Roman" w:eastAsiaTheme="minorEastAsia"/>
          <w:caps w:val="0"/>
          <w:smallCaps w:val="0"/>
          <w:sz w:val="24"/>
          <w:szCs w:val="24"/>
        </w:rPr>
        <w:t>4</w:t>
      </w:r>
      <w:r>
        <w:rPr>
          <w:rFonts w:ascii="Times New Roman" w:hAnsi="Times New Roman" w:cs="Times New Roman" w:eastAsiaTheme="minorEastAsia"/>
          <w:caps w:val="0"/>
          <w:smallCaps w:val="0"/>
          <w:sz w:val="24"/>
          <w:szCs w:val="24"/>
        </w:rPr>
        <w:t>月</w:t>
      </w:r>
      <w:r>
        <w:rPr>
          <w:rFonts w:hint="eastAsia" w:ascii="Times New Roman" w:hAnsi="Times New Roman" w:cs="Times New Roman" w:eastAsiaTheme="minorEastAsia"/>
          <w:caps w:val="0"/>
          <w:smallCaps w:val="0"/>
          <w:sz w:val="24"/>
          <w:szCs w:val="24"/>
        </w:rPr>
        <w:t>12</w:t>
      </w:r>
      <w:r>
        <w:rPr>
          <w:rFonts w:ascii="Times New Roman" w:hAnsi="Times New Roman" w:cs="Times New Roman" w:eastAsiaTheme="minorEastAsia"/>
          <w:caps w:val="0"/>
          <w:smallCaps w:val="0"/>
          <w:sz w:val="24"/>
          <w:szCs w:val="24"/>
        </w:rPr>
        <w:t>日对项目所在地土壤进行现状监测。</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1、监测布点</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在</w:t>
      </w:r>
      <w:r>
        <w:rPr>
          <w:rFonts w:hint="eastAsia" w:ascii="Times New Roman" w:hAnsi="Times New Roman" w:cs="Times New Roman" w:eastAsiaTheme="minorEastAsia"/>
          <w:caps w:val="0"/>
          <w:smallCaps w:val="0"/>
          <w:sz w:val="24"/>
          <w:szCs w:val="24"/>
        </w:rPr>
        <w:t>海丰物流码头</w:t>
      </w:r>
      <w:r>
        <w:rPr>
          <w:rFonts w:ascii="Times New Roman" w:hAnsi="Times New Roman" w:cs="Times New Roman" w:eastAsiaTheme="minorEastAsia"/>
          <w:caps w:val="0"/>
          <w:smallCaps w:val="0"/>
          <w:sz w:val="24"/>
          <w:szCs w:val="24"/>
        </w:rPr>
        <w:t>厂址占地范围内设置3个表层样点，详见表4.</w:t>
      </w:r>
      <w:r>
        <w:rPr>
          <w:rFonts w:hint="eastAsia" w:ascii="Times New Roman" w:hAnsi="Times New Roman" w:cs="Times New Roman" w:eastAsiaTheme="minorEastAsia"/>
          <w:caps w:val="0"/>
          <w:smallCaps w:val="0"/>
          <w:sz w:val="24"/>
          <w:szCs w:val="24"/>
          <w:lang w:val="en-US" w:eastAsia="zh-CN"/>
        </w:rPr>
        <w:t>7</w:t>
      </w:r>
      <w:r>
        <w:rPr>
          <w:rFonts w:ascii="Times New Roman" w:hAnsi="Times New Roman" w:cs="Times New Roman" w:eastAsiaTheme="minorEastAsia"/>
          <w:caps w:val="0"/>
          <w:smallCaps w:val="0"/>
          <w:sz w:val="24"/>
          <w:szCs w:val="24"/>
        </w:rPr>
        <w:t>-1。</w:t>
      </w:r>
    </w:p>
    <w:p>
      <w:pPr>
        <w:adjustRightInd w:val="0"/>
        <w:snapToGrid w:val="0"/>
        <w:spacing w:line="276" w:lineRule="auto"/>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表4.</w:t>
      </w:r>
      <w:r>
        <w:rPr>
          <w:rFonts w:hint="eastAsia" w:ascii="Times New Roman" w:hAnsi="Times New Roman" w:cs="Times New Roman" w:eastAsiaTheme="minorEastAsia"/>
          <w:b/>
          <w:caps w:val="0"/>
          <w:smallCaps w:val="0"/>
          <w:sz w:val="24"/>
          <w:szCs w:val="24"/>
          <w:lang w:val="en-US" w:eastAsia="zh-CN"/>
        </w:rPr>
        <w:t>7</w:t>
      </w:r>
      <w:r>
        <w:rPr>
          <w:rFonts w:ascii="Times New Roman" w:hAnsi="Times New Roman" w:cs="Times New Roman" w:eastAsiaTheme="minorEastAsia"/>
          <w:b/>
          <w:caps w:val="0"/>
          <w:smallCaps w:val="0"/>
          <w:sz w:val="24"/>
          <w:szCs w:val="24"/>
        </w:rPr>
        <w:t>-1土壤环境现状监测布点一览表</w:t>
      </w:r>
    </w:p>
    <w:tbl>
      <w:tblPr>
        <w:tblStyle w:val="71"/>
        <w:tblW w:w="503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697"/>
        <w:gridCol w:w="2422"/>
        <w:gridCol w:w="1138"/>
        <w:gridCol w:w="1284"/>
        <w:gridCol w:w="354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blHeader/>
          <w:jc w:val="center"/>
        </w:trPr>
        <w:tc>
          <w:tcPr>
            <w:tcW w:w="38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1332"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监测位置</w:t>
            </w:r>
          </w:p>
        </w:tc>
        <w:tc>
          <w:tcPr>
            <w:tcW w:w="626"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监测类型</w:t>
            </w:r>
          </w:p>
        </w:tc>
        <w:tc>
          <w:tcPr>
            <w:tcW w:w="706"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监测项目</w:t>
            </w:r>
          </w:p>
        </w:tc>
        <w:tc>
          <w:tcPr>
            <w:tcW w:w="1950"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经纬度坐标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T1</w:t>
            </w:r>
          </w:p>
        </w:tc>
        <w:tc>
          <w:tcPr>
            <w:tcW w:w="1332" w:type="pct"/>
            <w:shd w:val="clear" w:color="auto" w:fill="auto"/>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场区东侧</w:t>
            </w:r>
          </w:p>
        </w:tc>
        <w:tc>
          <w:tcPr>
            <w:tcW w:w="626"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表层样点</w:t>
            </w:r>
          </w:p>
        </w:tc>
        <w:tc>
          <w:tcPr>
            <w:tcW w:w="706"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45项指标</w:t>
            </w:r>
          </w:p>
        </w:tc>
        <w:tc>
          <w:tcPr>
            <w:tcW w:w="3547" w:type="dxa"/>
            <w:shd w:val="clear" w:color="auto" w:fill="auto"/>
            <w:vAlign w:val="center"/>
          </w:tcPr>
          <w:p>
            <w:pPr>
              <w:pStyle w:val="117"/>
              <w:bidi w:val="0"/>
              <w:ind w:firstLine="0" w:firstLineChars="0"/>
              <w:rPr>
                <w:rFonts w:hint="default" w:ascii="Times New Roman" w:hAnsi="Times New Roman" w:cs="Times New Roman"/>
                <w:caps w:val="0"/>
                <w:smallCaps w:val="0"/>
                <w:lang w:val="en-US"/>
              </w:rPr>
            </w:pPr>
            <w:r>
              <w:rPr>
                <w:rFonts w:ascii="Times New Roman" w:hAnsi="Times New Roman" w:cs="Times New Roman"/>
                <w:caps w:val="0"/>
                <w:smallCaps w:val="0"/>
              </w:rPr>
              <w:t>E：11</w:t>
            </w:r>
            <w:r>
              <w:rPr>
                <w:rFonts w:hint="eastAsia" w:ascii="Times New Roman" w:hAnsi="Times New Roman" w:cs="Times New Roman"/>
                <w:caps w:val="0"/>
                <w:smallCaps w:val="0"/>
                <w:lang w:val="en-US" w:eastAsia="zh-CN"/>
              </w:rPr>
              <w:t>2.8983389</w:t>
            </w:r>
            <w:r>
              <w:rPr>
                <w:rFonts w:ascii="Times New Roman" w:hAnsi="Times New Roman" w:cs="Times New Roman"/>
                <w:caps w:val="0"/>
                <w:smallCaps w:val="0"/>
              </w:rPr>
              <w:t>，N：2</w:t>
            </w:r>
            <w:r>
              <w:rPr>
                <w:rFonts w:hint="eastAsia" w:ascii="Times New Roman" w:hAnsi="Times New Roman" w:cs="Times New Roman"/>
                <w:caps w:val="0"/>
                <w:smallCaps w:val="0"/>
                <w:lang w:val="en-US" w:eastAsia="zh-CN"/>
              </w:rPr>
              <w:t>8.8647084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T2</w:t>
            </w:r>
          </w:p>
        </w:tc>
        <w:tc>
          <w:tcPr>
            <w:tcW w:w="1332" w:type="pct"/>
            <w:shd w:val="clear" w:color="auto" w:fill="auto"/>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eastAsia="zh-CN"/>
              </w:rPr>
              <w:t>场区南侧</w:t>
            </w:r>
          </w:p>
        </w:tc>
        <w:tc>
          <w:tcPr>
            <w:tcW w:w="626"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表层样点</w:t>
            </w:r>
          </w:p>
        </w:tc>
        <w:tc>
          <w:tcPr>
            <w:tcW w:w="706" w:type="pct"/>
            <w:shd w:val="clear" w:color="auto" w:fill="auto"/>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w:t>
            </w:r>
            <w:r>
              <w:rPr>
                <w:rFonts w:ascii="Times New Roman" w:hAnsi="Times New Roman" w:cs="Times New Roman"/>
                <w:caps w:val="0"/>
                <w:smallCaps w:val="0"/>
              </w:rPr>
              <w:t>项指标</w:t>
            </w:r>
          </w:p>
        </w:tc>
        <w:tc>
          <w:tcPr>
            <w:tcW w:w="3547" w:type="dxa"/>
            <w:shd w:val="clear" w:color="auto" w:fill="auto"/>
            <w:vAlign w:val="center"/>
          </w:tcPr>
          <w:p>
            <w:pPr>
              <w:pStyle w:val="117"/>
              <w:bidi w:val="0"/>
              <w:ind w:firstLine="0" w:firstLineChars="0"/>
              <w:rPr>
                <w:rFonts w:hint="default" w:ascii="Times New Roman" w:hAnsi="Times New Roman" w:cs="Times New Roman"/>
                <w:caps w:val="0"/>
                <w:smallCaps w:val="0"/>
                <w:lang w:val="en-US"/>
              </w:rPr>
            </w:pPr>
            <w:r>
              <w:rPr>
                <w:rFonts w:ascii="Times New Roman" w:hAnsi="Times New Roman" w:cs="Times New Roman"/>
                <w:caps w:val="0"/>
                <w:smallCaps w:val="0"/>
              </w:rPr>
              <w:t>E：11</w:t>
            </w:r>
            <w:r>
              <w:rPr>
                <w:rFonts w:hint="eastAsia" w:ascii="Times New Roman" w:hAnsi="Times New Roman" w:cs="Times New Roman"/>
                <w:caps w:val="0"/>
                <w:smallCaps w:val="0"/>
                <w:lang w:val="en-US" w:eastAsia="zh-CN"/>
              </w:rPr>
              <w:t>2.89818056</w:t>
            </w:r>
            <w:r>
              <w:rPr>
                <w:rFonts w:ascii="Times New Roman" w:hAnsi="Times New Roman" w:cs="Times New Roman"/>
                <w:caps w:val="0"/>
                <w:smallCaps w:val="0"/>
              </w:rPr>
              <w:t>，N：2</w:t>
            </w:r>
            <w:r>
              <w:rPr>
                <w:rFonts w:hint="eastAsia" w:ascii="Times New Roman" w:hAnsi="Times New Roman" w:cs="Times New Roman"/>
                <w:caps w:val="0"/>
                <w:smallCaps w:val="0"/>
                <w:lang w:val="en-US" w:eastAsia="zh-CN"/>
              </w:rPr>
              <w:t>8.8641056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383"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T3</w:t>
            </w:r>
          </w:p>
        </w:tc>
        <w:tc>
          <w:tcPr>
            <w:tcW w:w="1332" w:type="pct"/>
            <w:shd w:val="clear" w:color="auto" w:fill="auto"/>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eastAsia="zh-CN"/>
              </w:rPr>
              <w:t>场区北侧</w:t>
            </w:r>
          </w:p>
        </w:tc>
        <w:tc>
          <w:tcPr>
            <w:tcW w:w="626" w:type="pct"/>
            <w:shd w:val="clear" w:color="auto" w:fill="auto"/>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表层样点</w:t>
            </w:r>
          </w:p>
        </w:tc>
        <w:tc>
          <w:tcPr>
            <w:tcW w:w="706" w:type="pct"/>
            <w:shd w:val="clear" w:color="auto" w:fill="auto"/>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w:t>
            </w:r>
            <w:r>
              <w:rPr>
                <w:rFonts w:ascii="Times New Roman" w:hAnsi="Times New Roman" w:cs="Times New Roman"/>
                <w:caps w:val="0"/>
                <w:smallCaps w:val="0"/>
              </w:rPr>
              <w:t>项指标</w:t>
            </w:r>
          </w:p>
        </w:tc>
        <w:tc>
          <w:tcPr>
            <w:tcW w:w="3547" w:type="dxa"/>
            <w:shd w:val="clear" w:color="auto" w:fill="auto"/>
            <w:vAlign w:val="center"/>
          </w:tcPr>
          <w:p>
            <w:pPr>
              <w:pStyle w:val="117"/>
              <w:bidi w:val="0"/>
              <w:ind w:firstLine="0" w:firstLineChars="0"/>
              <w:rPr>
                <w:rFonts w:hint="default" w:ascii="Times New Roman" w:hAnsi="Times New Roman" w:cs="Times New Roman"/>
                <w:caps w:val="0"/>
                <w:smallCaps w:val="0"/>
                <w:lang w:val="en-US"/>
              </w:rPr>
            </w:pPr>
            <w:r>
              <w:rPr>
                <w:rFonts w:ascii="Times New Roman" w:hAnsi="Times New Roman" w:cs="Times New Roman"/>
                <w:caps w:val="0"/>
                <w:smallCaps w:val="0"/>
              </w:rPr>
              <w:t>E：11</w:t>
            </w:r>
            <w:r>
              <w:rPr>
                <w:rFonts w:hint="eastAsia" w:ascii="Times New Roman" w:hAnsi="Times New Roman" w:cs="Times New Roman"/>
                <w:caps w:val="0"/>
                <w:smallCaps w:val="0"/>
                <w:lang w:val="en-US" w:eastAsia="zh-CN"/>
              </w:rPr>
              <w:t>2.89780278</w:t>
            </w:r>
            <w:r>
              <w:rPr>
                <w:rFonts w:ascii="Times New Roman" w:hAnsi="Times New Roman" w:cs="Times New Roman"/>
                <w:caps w:val="0"/>
                <w:smallCaps w:val="0"/>
              </w:rPr>
              <w:t>，N：2</w:t>
            </w:r>
            <w:r>
              <w:rPr>
                <w:rFonts w:hint="eastAsia" w:ascii="Times New Roman" w:hAnsi="Times New Roman" w:cs="Times New Roman"/>
                <w:caps w:val="0"/>
                <w:smallCaps w:val="0"/>
                <w:lang w:val="en-US" w:eastAsia="zh-CN"/>
              </w:rPr>
              <w:t>8.8649139</w:t>
            </w:r>
          </w:p>
        </w:tc>
      </w:tr>
    </w:tbl>
    <w:p>
      <w:pPr>
        <w:adjustRightInd w:val="0"/>
        <w:snapToGrid w:val="0"/>
        <w:spacing w:line="360" w:lineRule="auto"/>
        <w:ind w:firstLine="482" w:firstLineChars="200"/>
        <w:rPr>
          <w:rFonts w:ascii="Times New Roman" w:hAnsi="Times New Roman" w:cs="Times New Roman" w:eastAsiaTheme="minorEastAsia"/>
          <w:b/>
          <w:bCs/>
          <w:caps w:val="0"/>
          <w:smallCaps w:val="0"/>
          <w:sz w:val="24"/>
          <w:szCs w:val="24"/>
        </w:rPr>
      </w:pP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2、监测项目</w:t>
      </w:r>
    </w:p>
    <w:p>
      <w:pPr>
        <w:widowControl/>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T</w:t>
      </w:r>
      <w:r>
        <w:rPr>
          <w:rFonts w:hint="eastAsia" w:ascii="Times New Roman" w:hAnsi="Times New Roman" w:cs="Times New Roman" w:eastAsiaTheme="minorEastAsia"/>
          <w:caps w:val="0"/>
          <w:smallCaps w:val="0"/>
          <w:sz w:val="24"/>
          <w:szCs w:val="24"/>
        </w:rPr>
        <w:t>1</w:t>
      </w:r>
      <w:r>
        <w:rPr>
          <w:rFonts w:ascii="Times New Roman" w:hAnsi="Times New Roman" w:cs="Times New Roman" w:eastAsiaTheme="minorEastAsia"/>
          <w:caps w:val="0"/>
          <w:smallCaps w:val="0"/>
          <w:sz w:val="24"/>
          <w:szCs w:val="24"/>
        </w:rPr>
        <w:t>样点的检测项目为《土壤环境质量建设用地土壤污染风险管控标准（试行）》（GB36600-2018）中的45项指标；</w:t>
      </w:r>
      <w:r>
        <w:rPr>
          <w:rFonts w:hint="eastAsia" w:ascii="Times New Roman" w:hAnsi="Times New Roman" w:cs="Times New Roman" w:eastAsiaTheme="minorEastAsia"/>
          <w:caps w:val="0"/>
          <w:smallCaps w:val="0"/>
          <w:sz w:val="24"/>
          <w:szCs w:val="24"/>
        </w:rPr>
        <w:t>2</w:t>
      </w:r>
      <w:r>
        <w:rPr>
          <w:rFonts w:ascii="Times New Roman" w:hAnsi="Times New Roman" w:cs="Times New Roman" w:eastAsiaTheme="minorEastAsia"/>
          <w:caps w:val="0"/>
          <w:smallCaps w:val="0"/>
          <w:sz w:val="24"/>
          <w:szCs w:val="24"/>
        </w:rPr>
        <w:t>个样点T2、T3的检测项目为石油烃（C10~C40）</w:t>
      </w:r>
      <w:r>
        <w:rPr>
          <w:rFonts w:hint="eastAsia" w:ascii="Times New Roman" w:hAnsi="Times New Roman" w:cs="Times New Roman" w:eastAsiaTheme="minorEastAsia"/>
          <w:caps w:val="0"/>
          <w:smallCaps w:val="0"/>
          <w:sz w:val="24"/>
          <w:szCs w:val="24"/>
        </w:rPr>
        <w:t>。</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3、监测时间及频率</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20</w:t>
      </w:r>
      <w:r>
        <w:rPr>
          <w:rFonts w:hint="eastAsia" w:ascii="Times New Roman" w:hAnsi="Times New Roman" w:cs="Times New Roman" w:eastAsiaTheme="minorEastAsia"/>
          <w:caps w:val="0"/>
          <w:smallCaps w:val="0"/>
          <w:sz w:val="24"/>
          <w:szCs w:val="24"/>
          <w:lang w:val="en-US" w:eastAsia="zh-CN"/>
        </w:rPr>
        <w:t>21</w:t>
      </w:r>
      <w:r>
        <w:rPr>
          <w:rFonts w:ascii="Times New Roman" w:hAnsi="Times New Roman" w:cs="Times New Roman" w:eastAsiaTheme="minorEastAsia"/>
          <w:caps w:val="0"/>
          <w:smallCaps w:val="0"/>
          <w:sz w:val="24"/>
          <w:szCs w:val="24"/>
        </w:rPr>
        <w:t>年</w:t>
      </w:r>
      <w:r>
        <w:rPr>
          <w:rFonts w:hint="eastAsia" w:ascii="Times New Roman" w:hAnsi="Times New Roman" w:cs="Times New Roman" w:eastAsiaTheme="minorEastAsia"/>
          <w:caps w:val="0"/>
          <w:smallCaps w:val="0"/>
          <w:sz w:val="24"/>
          <w:szCs w:val="24"/>
        </w:rPr>
        <w:t>4</w:t>
      </w:r>
      <w:r>
        <w:rPr>
          <w:rFonts w:ascii="Times New Roman" w:hAnsi="Times New Roman" w:cs="Times New Roman" w:eastAsiaTheme="minorEastAsia"/>
          <w:caps w:val="0"/>
          <w:smallCaps w:val="0"/>
          <w:sz w:val="24"/>
          <w:szCs w:val="24"/>
        </w:rPr>
        <w:t>月</w:t>
      </w:r>
      <w:r>
        <w:rPr>
          <w:rFonts w:hint="eastAsia" w:ascii="Times New Roman" w:hAnsi="Times New Roman" w:cs="Times New Roman" w:eastAsiaTheme="minorEastAsia"/>
          <w:caps w:val="0"/>
          <w:smallCaps w:val="0"/>
          <w:sz w:val="24"/>
          <w:szCs w:val="24"/>
        </w:rPr>
        <w:t>12</w:t>
      </w:r>
      <w:r>
        <w:rPr>
          <w:rFonts w:ascii="Times New Roman" w:hAnsi="Times New Roman" w:cs="Times New Roman" w:eastAsiaTheme="minorEastAsia"/>
          <w:caps w:val="0"/>
          <w:smallCaps w:val="0"/>
          <w:sz w:val="24"/>
          <w:szCs w:val="24"/>
        </w:rPr>
        <w:t>日进行一次监测。</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4、采样方法</w:t>
      </w:r>
    </w:p>
    <w:p>
      <w:pPr>
        <w:widowControl/>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表层样点：采样区位于地面杂填土以下的原状土部分，去除杂填土厚度以下，深度为0~0.2m。</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土壤环境现状评价</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1、评价标准</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评价范围内土壤执行《土壤环境质量建设用地土壤污染风险管控标准（试行）》（GB36600-2018）第二类用地标准限值要求。</w:t>
      </w:r>
    </w:p>
    <w:p>
      <w:pPr>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2、评价方法</w:t>
      </w:r>
    </w:p>
    <w:p>
      <w:pPr>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采用单项因子质量指数法进行评价，其数学模式为：</w:t>
      </w:r>
    </w:p>
    <w:p>
      <w:pPr>
        <w:snapToGrid w:val="0"/>
        <w:spacing w:line="360" w:lineRule="auto"/>
        <w:jc w:val="center"/>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rPr>
        <w:drawing>
          <wp:inline distT="0" distB="0" distL="0" distR="0">
            <wp:extent cx="647700" cy="3937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662023" cy="402970"/>
                    </a:xfrm>
                    <a:prstGeom prst="rect">
                      <a:avLst/>
                    </a:prstGeom>
                  </pic:spPr>
                </pic:pic>
              </a:graphicData>
            </a:graphic>
          </wp:inline>
        </w:drawing>
      </w:r>
    </w:p>
    <w:p>
      <w:pPr>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式中：P</w:t>
      </w:r>
      <w:r>
        <w:rPr>
          <w:rFonts w:ascii="Times New Roman" w:hAnsi="Times New Roman" w:cs="Times New Roman" w:eastAsiaTheme="minorEastAsia"/>
          <w:caps w:val="0"/>
          <w:smallCaps w:val="0"/>
          <w:kern w:val="0"/>
          <w:sz w:val="24"/>
          <w:szCs w:val="24"/>
          <w:vertAlign w:val="subscript"/>
        </w:rPr>
        <w:t>i</w:t>
      </w:r>
      <w:r>
        <w:rPr>
          <w:rFonts w:ascii="Times New Roman" w:hAnsi="Times New Roman" w:cs="Times New Roman" w:eastAsiaTheme="minorEastAsia"/>
          <w:caps w:val="0"/>
          <w:smallCaps w:val="0"/>
          <w:kern w:val="0"/>
          <w:sz w:val="24"/>
          <w:szCs w:val="24"/>
        </w:rPr>
        <w:t>——i种污染物的单项质量指数；</w:t>
      </w:r>
    </w:p>
    <w:p>
      <w:pPr>
        <w:snapToGrid w:val="0"/>
        <w:spacing w:line="360" w:lineRule="auto"/>
        <w:ind w:firstLine="1200" w:firstLineChars="5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C</w:t>
      </w:r>
      <w:r>
        <w:rPr>
          <w:rFonts w:ascii="Times New Roman" w:hAnsi="Times New Roman" w:cs="Times New Roman" w:eastAsiaTheme="minorEastAsia"/>
          <w:caps w:val="0"/>
          <w:smallCaps w:val="0"/>
          <w:kern w:val="0"/>
          <w:sz w:val="24"/>
          <w:szCs w:val="24"/>
          <w:vertAlign w:val="subscript"/>
        </w:rPr>
        <w:t>i</w:t>
      </w:r>
      <w:r>
        <w:rPr>
          <w:rFonts w:ascii="Times New Roman" w:hAnsi="Times New Roman" w:cs="Times New Roman" w:eastAsiaTheme="minorEastAsia"/>
          <w:caps w:val="0"/>
          <w:smallCaps w:val="0"/>
          <w:kern w:val="0"/>
          <w:sz w:val="24"/>
          <w:szCs w:val="24"/>
        </w:rPr>
        <w:t>——i种污染物的实测浓度值（mg/kg）；</w:t>
      </w:r>
    </w:p>
    <w:p>
      <w:pPr>
        <w:snapToGrid w:val="0"/>
        <w:spacing w:line="360" w:lineRule="auto"/>
        <w:ind w:firstLine="1200" w:firstLineChars="5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C</w:t>
      </w:r>
      <w:r>
        <w:rPr>
          <w:rFonts w:ascii="Times New Roman" w:hAnsi="Times New Roman" w:cs="Times New Roman" w:eastAsiaTheme="minorEastAsia"/>
          <w:caps w:val="0"/>
          <w:smallCaps w:val="0"/>
          <w:kern w:val="0"/>
          <w:sz w:val="24"/>
          <w:szCs w:val="24"/>
          <w:vertAlign w:val="subscript"/>
        </w:rPr>
        <w:t>si</w:t>
      </w:r>
      <w:r>
        <w:rPr>
          <w:rFonts w:ascii="Times New Roman" w:hAnsi="Times New Roman" w:cs="Times New Roman" w:eastAsiaTheme="minorEastAsia"/>
          <w:caps w:val="0"/>
          <w:smallCaps w:val="0"/>
          <w:kern w:val="0"/>
          <w:sz w:val="24"/>
          <w:szCs w:val="24"/>
        </w:rPr>
        <w:t>——评价因子i的评价标准限值（mg/kg）。</w:t>
      </w:r>
    </w:p>
    <w:p>
      <w:pPr>
        <w:adjustRightInd w:val="0"/>
        <w:snapToGrid w:val="0"/>
        <w:spacing w:line="360" w:lineRule="auto"/>
        <w:ind w:firstLine="482" w:firstLineChars="200"/>
        <w:rPr>
          <w:rFonts w:ascii="Times New Roman" w:hAnsi="Times New Roman" w:cs="Times New Roman" w:eastAsiaTheme="minorEastAsia"/>
          <w:b/>
          <w:caps w:val="0"/>
          <w:smallCaps w:val="0"/>
          <w:kern w:val="0"/>
          <w:sz w:val="24"/>
          <w:szCs w:val="24"/>
        </w:rPr>
      </w:pPr>
      <w:r>
        <w:rPr>
          <w:rFonts w:ascii="Times New Roman" w:hAnsi="Times New Roman" w:cs="Times New Roman" w:eastAsiaTheme="minorEastAsia"/>
          <w:b/>
          <w:caps w:val="0"/>
          <w:smallCaps w:val="0"/>
          <w:kern w:val="0"/>
          <w:sz w:val="24"/>
          <w:szCs w:val="24"/>
        </w:rPr>
        <w:t>2、监测结果及分析</w:t>
      </w:r>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土壤环境现状监测结果见下表。</w:t>
      </w:r>
    </w:p>
    <w:p>
      <w:pPr>
        <w:wordWrap/>
        <w:adjustRightInd w:val="0"/>
        <w:snapToGrid w:val="0"/>
        <w:spacing w:line="276" w:lineRule="auto"/>
        <w:jc w:val="center"/>
        <w:rPr>
          <w:rFonts w:ascii="Times New Roman" w:hAnsi="Times New Roman" w:cs="Times New Roman" w:eastAsiaTheme="minorEastAsia"/>
          <w:caps w:val="0"/>
          <w:smallCaps w:val="0"/>
          <w:sz w:val="24"/>
          <w:szCs w:val="24"/>
        </w:rPr>
      </w:pPr>
      <w:r>
        <w:rPr>
          <w:rFonts w:ascii="Times New Roman" w:hAnsi="Times New Roman" w:cs="Times New Roman" w:eastAsiaTheme="minorEastAsia"/>
          <w:b/>
          <w:caps w:val="0"/>
          <w:smallCaps w:val="0"/>
          <w:sz w:val="24"/>
          <w:szCs w:val="24"/>
        </w:rPr>
        <w:t>表4.</w:t>
      </w:r>
      <w:r>
        <w:rPr>
          <w:rFonts w:hint="eastAsia" w:ascii="Times New Roman" w:hAnsi="Times New Roman" w:cs="Times New Roman" w:eastAsiaTheme="minorEastAsia"/>
          <w:b/>
          <w:caps w:val="0"/>
          <w:smallCaps w:val="0"/>
          <w:sz w:val="24"/>
          <w:szCs w:val="24"/>
          <w:lang w:val="en-US" w:eastAsia="zh-CN"/>
        </w:rPr>
        <w:t>7</w:t>
      </w:r>
      <w:r>
        <w:rPr>
          <w:rFonts w:ascii="Times New Roman" w:hAnsi="Times New Roman" w:cs="Times New Roman" w:eastAsiaTheme="minorEastAsia"/>
          <w:b/>
          <w:caps w:val="0"/>
          <w:smallCaps w:val="0"/>
          <w:sz w:val="24"/>
          <w:szCs w:val="24"/>
        </w:rPr>
        <w:t>-2建设用地土壤环境全因子现状监测结果一览表</w:t>
      </w:r>
      <w:r>
        <w:rPr>
          <w:rFonts w:hint="eastAsia" w:ascii="Times New Roman" w:hAnsi="Times New Roman" w:cs="Times New Roman" w:eastAsiaTheme="minorEastAsia"/>
          <w:b/>
          <w:caps w:val="0"/>
          <w:smallCaps w:val="0"/>
          <w:sz w:val="24"/>
          <w:szCs w:val="24"/>
          <w:lang w:val="en-US" w:eastAsia="zh-CN"/>
        </w:rPr>
        <w:t xml:space="preserve">   </w:t>
      </w:r>
      <w:r>
        <w:rPr>
          <w:rFonts w:ascii="Times New Roman" w:hAnsi="Times New Roman" w:cs="Times New Roman" w:eastAsiaTheme="minorEastAsia"/>
          <w:caps w:val="0"/>
          <w:smallCaps w:val="0"/>
          <w:sz w:val="24"/>
          <w:szCs w:val="24"/>
        </w:rPr>
        <w:t>单位：mg/kg</w:t>
      </w:r>
    </w:p>
    <w:tbl>
      <w:tblPr>
        <w:tblStyle w:val="71"/>
        <w:tblW w:w="4712"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000"/>
        <w:gridCol w:w="1518"/>
        <w:gridCol w:w="737"/>
        <w:gridCol w:w="813"/>
        <w:gridCol w:w="723"/>
        <w:gridCol w:w="661"/>
        <w:gridCol w:w="2142"/>
        <w:gridCol w:w="91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blHeader/>
          <w:jc w:val="center"/>
        </w:trPr>
        <w:tc>
          <w:tcPr>
            <w:tcW w:w="587"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采样时间</w:t>
            </w:r>
          </w:p>
        </w:tc>
        <w:tc>
          <w:tcPr>
            <w:tcW w:w="891"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监测项目</w:t>
            </w:r>
          </w:p>
        </w:tc>
        <w:tc>
          <w:tcPr>
            <w:tcW w:w="433"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单位</w:t>
            </w:r>
          </w:p>
        </w:tc>
        <w:tc>
          <w:tcPr>
            <w:tcW w:w="1290" w:type="pct"/>
            <w:gridSpan w:val="3"/>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监测结果（mg/kg）</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评价标准（筛选值）</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Merge w:val="continue"/>
            <w:vAlign w:val="center"/>
          </w:tcPr>
          <w:p>
            <w:pPr>
              <w:pStyle w:val="117"/>
              <w:bidi w:val="0"/>
              <w:rPr>
                <w:rFonts w:ascii="Times New Roman" w:hAnsi="Times New Roman" w:cs="Times New Roman"/>
                <w:caps w:val="0"/>
                <w:smallCaps w:val="0"/>
              </w:rPr>
            </w:pPr>
          </w:p>
        </w:tc>
        <w:tc>
          <w:tcPr>
            <w:tcW w:w="433" w:type="pct"/>
            <w:vMerge w:val="continue"/>
            <w:vAlign w:val="center"/>
          </w:tcPr>
          <w:p>
            <w:pPr>
              <w:pStyle w:val="117"/>
              <w:bidi w:val="0"/>
              <w:rPr>
                <w:rFonts w:ascii="Times New Roman" w:hAnsi="Times New Roman" w:cs="Times New Roman"/>
                <w:caps w:val="0"/>
                <w:smallCaps w:val="0"/>
              </w:rPr>
            </w:pP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T1</w:t>
            </w:r>
          </w:p>
        </w:tc>
        <w:tc>
          <w:tcPr>
            <w:tcW w:w="42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T2</w:t>
            </w:r>
          </w:p>
        </w:tc>
        <w:tc>
          <w:tcPr>
            <w:tcW w:w="38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T3</w:t>
            </w:r>
          </w:p>
        </w:tc>
        <w:tc>
          <w:tcPr>
            <w:tcW w:w="1258" w:type="pct"/>
            <w:vAlign w:val="center"/>
          </w:tcPr>
          <w:p>
            <w:pPr>
              <w:pStyle w:val="117"/>
              <w:bidi w:val="0"/>
              <w:rPr>
                <w:rFonts w:ascii="Times New Roman" w:hAnsi="Times New Roman" w:cs="Times New Roman"/>
                <w:caps w:val="0"/>
                <w:smallCaps w:val="0"/>
              </w:rPr>
            </w:pPr>
          </w:p>
        </w:tc>
        <w:tc>
          <w:tcPr>
            <w:tcW w:w="538" w:type="pct"/>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restar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w:t>
            </w:r>
            <w:r>
              <w:rPr>
                <w:rFonts w:ascii="Times New Roman" w:hAnsi="Times New Roman" w:cs="Times New Roman"/>
                <w:caps w:val="0"/>
                <w:smallCaps w:val="0"/>
              </w:rPr>
              <w:t>月</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12</w:t>
            </w:r>
            <w:r>
              <w:rPr>
                <w:rFonts w:ascii="Times New Roman" w:hAnsi="Times New Roman" w:cs="Times New Roman"/>
                <w:caps w:val="0"/>
                <w:smallCaps w:val="0"/>
              </w:rPr>
              <w:t>日</w:t>
            </w: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14.3</w:t>
            </w:r>
          </w:p>
        </w:tc>
        <w:tc>
          <w:tcPr>
            <w:tcW w:w="424"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镉</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0.55</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65</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铬</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1.49</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5.7</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铜</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25.3</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18000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铅</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38.2</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800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汞</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0.134</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38</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镍</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18.9</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四氯化碳</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2.8</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氯仿</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0.9</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氯甲烷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0.041</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37</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1,1-二氯乙烷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1,2-二氯乙烷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1,1-二氯乙烯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66</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顺-1,2-二氯乙烯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596</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反-1,2-二氯乙烯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54</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二氯甲烷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616</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1,2-二氯丙烷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1,1,1,2-四氯乙烷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1,1,2,2-四氯乙烷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6.8</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四氯乙烯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53</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1,1,1-三氯乙烷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840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1,1,2-三氯乙烷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2.8</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三氯乙烯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2.8</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1,2,3-三氯丙烷</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0.5</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氯乙烯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0.43</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氯苯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270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1,2-二氯苯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560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1,4-二氯苯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乙苯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28</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苯乙烯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1290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甲苯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1200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间二甲苯+对二甲苯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570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邻二甲苯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640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硝基苯</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76</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苯胺</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260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2-氯酚</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2256</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苯并[a]蒽</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苯并[a]芘</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苯并[b]荧蒽</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苯并[k]荧蒽</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151</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䓛</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二苯并[a,h]蒽</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1293</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茚并[1,2,3-cd]芘</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15</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萘</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ND</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587" w:type="pct"/>
            <w:vMerge w:val="continue"/>
            <w:vAlign w:val="center"/>
          </w:tcPr>
          <w:p>
            <w:pPr>
              <w:pStyle w:val="117"/>
              <w:bidi w:val="0"/>
              <w:rPr>
                <w:rFonts w:ascii="Times New Roman" w:hAnsi="Times New Roman" w:cs="Times New Roman"/>
                <w:caps w:val="0"/>
                <w:smallCaps w:val="0"/>
              </w:rPr>
            </w:pPr>
          </w:p>
        </w:tc>
        <w:tc>
          <w:tcPr>
            <w:tcW w:w="8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石油烃</w:t>
            </w:r>
          </w:p>
        </w:tc>
        <w:tc>
          <w:tcPr>
            <w:tcW w:w="4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mg/kg</w:t>
            </w:r>
          </w:p>
        </w:tc>
        <w:tc>
          <w:tcPr>
            <w:tcW w:w="477"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264</w:t>
            </w:r>
          </w:p>
        </w:tc>
        <w:tc>
          <w:tcPr>
            <w:tcW w:w="424"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222</w:t>
            </w:r>
          </w:p>
        </w:tc>
        <w:tc>
          <w:tcPr>
            <w:tcW w:w="388" w:type="pct"/>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211</w:t>
            </w:r>
          </w:p>
        </w:tc>
        <w:tc>
          <w:tcPr>
            <w:tcW w:w="125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4500</w:t>
            </w:r>
          </w:p>
        </w:tc>
        <w:tc>
          <w:tcPr>
            <w:tcW w:w="53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bl>
    <w:p>
      <w:pPr>
        <w:snapToGrid w:val="0"/>
        <w:spacing w:line="360" w:lineRule="auto"/>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rPr>
        <w:t>注：ND表示低于该方法检出限。</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由上表分析结果可知，项目所在地土壤监测数据能满足《土壤环境质量建设用地土壤污染风险管控标准》（GB36600-2018）中二类用地风险筛选值要求和《土壤环境质量农用地土壤污染风险管控标准》（GB15618-2018）中表1“其他”筛选值要求。</w:t>
      </w:r>
    </w:p>
    <w:p>
      <w:pPr>
        <w:pStyle w:val="6"/>
        <w:rPr>
          <w:rFonts w:ascii="Times New Roman" w:hAnsi="Times New Roman" w:cs="Times New Roman" w:eastAsiaTheme="minorEastAsia"/>
          <w:caps w:val="0"/>
          <w:smallCaps w:val="0"/>
        </w:rPr>
      </w:pPr>
      <w:r>
        <w:rPr>
          <w:rFonts w:hint="eastAsia" w:ascii="Times New Roman" w:hAnsi="Times New Roman" w:cs="Times New Roman" w:eastAsiaTheme="minorEastAsia"/>
          <w:caps w:val="0"/>
          <w:smallCaps w:val="0"/>
          <w:lang w:eastAsia="zh-CN"/>
        </w:rPr>
        <w:t>底泥</w:t>
      </w:r>
      <w:r>
        <w:rPr>
          <w:rFonts w:ascii="Times New Roman" w:hAnsi="Times New Roman" w:cs="Times New Roman" w:eastAsiaTheme="minorEastAsia"/>
          <w:caps w:val="0"/>
          <w:smallCaps w:val="0"/>
        </w:rPr>
        <w:t>现状评价</w:t>
      </w:r>
    </w:p>
    <w:p>
      <w:pPr>
        <w:pStyle w:val="60"/>
        <w:rPr>
          <w:rFonts w:ascii="Times New Roman" w:hAnsi="Times New Roman" w:cs="Times New Roman"/>
          <w:caps w:val="0"/>
          <w:smallCaps w:val="0"/>
        </w:rPr>
      </w:pPr>
    </w:p>
    <w:p>
      <w:pPr>
        <w:adjustRightInd w:val="0"/>
        <w:snapToGrid w:val="0"/>
        <w:spacing w:line="276" w:lineRule="auto"/>
        <w:jc w:val="center"/>
        <w:rPr>
          <w:rFonts w:ascii="Times New Roman" w:hAnsi="Times New Roman" w:cs="Times New Roman" w:eastAsiaTheme="minorEastAsia"/>
          <w:caps w:val="0"/>
          <w:smallCaps w:val="0"/>
          <w:sz w:val="24"/>
          <w:szCs w:val="24"/>
        </w:rPr>
      </w:pPr>
      <w:r>
        <w:rPr>
          <w:rFonts w:ascii="Times New Roman" w:hAnsi="Times New Roman" w:cs="Times New Roman" w:eastAsiaTheme="minorEastAsia"/>
          <w:b/>
          <w:caps w:val="0"/>
          <w:smallCaps w:val="0"/>
          <w:sz w:val="24"/>
          <w:szCs w:val="24"/>
        </w:rPr>
        <w:t>表</w:t>
      </w:r>
      <w:r>
        <w:rPr>
          <w:rFonts w:hint="eastAsia" w:ascii="Times New Roman" w:hAnsi="Times New Roman" w:cs="Times New Roman" w:eastAsiaTheme="minorEastAsia"/>
          <w:b/>
          <w:caps w:val="0"/>
          <w:smallCaps w:val="0"/>
          <w:sz w:val="24"/>
          <w:szCs w:val="24"/>
          <w:lang w:val="en-US" w:eastAsia="zh-CN"/>
        </w:rPr>
        <w:t>4</w:t>
      </w:r>
      <w:r>
        <w:rPr>
          <w:rFonts w:ascii="Times New Roman" w:hAnsi="Times New Roman" w:cs="Times New Roman" w:eastAsiaTheme="minorEastAsia"/>
          <w:b/>
          <w:caps w:val="0"/>
          <w:smallCaps w:val="0"/>
          <w:sz w:val="24"/>
          <w:szCs w:val="24"/>
        </w:rPr>
        <w:t>.</w:t>
      </w:r>
      <w:r>
        <w:rPr>
          <w:rFonts w:hint="eastAsia" w:ascii="Times New Roman" w:hAnsi="Times New Roman" w:cs="Times New Roman" w:eastAsiaTheme="minorEastAsia"/>
          <w:b/>
          <w:caps w:val="0"/>
          <w:smallCaps w:val="0"/>
          <w:sz w:val="24"/>
          <w:szCs w:val="24"/>
          <w:lang w:val="en-US" w:eastAsia="zh-CN"/>
        </w:rPr>
        <w:t>7</w:t>
      </w:r>
      <w:r>
        <w:rPr>
          <w:rFonts w:ascii="Times New Roman" w:hAnsi="Times New Roman" w:cs="Times New Roman" w:eastAsiaTheme="minorEastAsia"/>
          <w:b/>
          <w:caps w:val="0"/>
          <w:smallCaps w:val="0"/>
          <w:sz w:val="24"/>
          <w:szCs w:val="24"/>
        </w:rPr>
        <w:t>-3</w:t>
      </w:r>
      <w:r>
        <w:rPr>
          <w:rFonts w:hint="eastAsia" w:ascii="Times New Roman" w:hAnsi="Times New Roman" w:cs="Times New Roman" w:eastAsiaTheme="minorEastAsia"/>
          <w:b/>
          <w:caps w:val="0"/>
          <w:smallCaps w:val="0"/>
          <w:sz w:val="24"/>
          <w:szCs w:val="24"/>
        </w:rPr>
        <w:t>底泥</w:t>
      </w:r>
      <w:r>
        <w:rPr>
          <w:rFonts w:ascii="Times New Roman" w:hAnsi="Times New Roman" w:cs="Times New Roman" w:eastAsiaTheme="minorEastAsia"/>
          <w:b/>
          <w:caps w:val="0"/>
          <w:smallCaps w:val="0"/>
          <w:sz w:val="24"/>
          <w:szCs w:val="24"/>
        </w:rPr>
        <w:t>现状监测结果一览表</w:t>
      </w:r>
      <w:r>
        <w:rPr>
          <w:rFonts w:ascii="Times New Roman" w:hAnsi="Times New Roman" w:cs="Times New Roman" w:eastAsiaTheme="minorEastAsia"/>
          <w:caps w:val="0"/>
          <w:smallCaps w:val="0"/>
          <w:sz w:val="24"/>
          <w:szCs w:val="24"/>
        </w:rPr>
        <w:t>单位：mg/kg</w:t>
      </w:r>
    </w:p>
    <w:tbl>
      <w:tblPr>
        <w:tblStyle w:val="71"/>
        <w:tblW w:w="9750" w:type="dxa"/>
        <w:tblInd w:w="91" w:type="dxa"/>
        <w:tblLayout w:type="fixed"/>
        <w:tblCellMar>
          <w:top w:w="0" w:type="dxa"/>
          <w:left w:w="108" w:type="dxa"/>
          <w:bottom w:w="0" w:type="dxa"/>
          <w:right w:w="108" w:type="dxa"/>
        </w:tblCellMar>
      </w:tblPr>
      <w:tblGrid>
        <w:gridCol w:w="818"/>
        <w:gridCol w:w="1221"/>
        <w:gridCol w:w="644"/>
        <w:gridCol w:w="625"/>
        <w:gridCol w:w="682"/>
        <w:gridCol w:w="675"/>
        <w:gridCol w:w="735"/>
        <w:gridCol w:w="720"/>
        <w:gridCol w:w="645"/>
        <w:gridCol w:w="675"/>
        <w:gridCol w:w="645"/>
        <w:gridCol w:w="675"/>
        <w:gridCol w:w="990"/>
      </w:tblGrid>
      <w:tr>
        <w:tblPrEx>
          <w:tblCellMar>
            <w:top w:w="0" w:type="dxa"/>
            <w:left w:w="108" w:type="dxa"/>
            <w:bottom w:w="0" w:type="dxa"/>
            <w:right w:w="108" w:type="dxa"/>
          </w:tblCellMar>
        </w:tblPrEx>
        <w:trPr>
          <w:trHeight w:val="396" w:hRule="atLeast"/>
        </w:trPr>
        <w:tc>
          <w:tcPr>
            <w:tcW w:w="818" w:type="dxa"/>
            <w:vMerge w:val="restart"/>
            <w:tcBorders>
              <w:top w:val="single" w:color="000000" w:sz="12" w:space="0"/>
              <w:left w:val="nil"/>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采样点位</w:t>
            </w:r>
          </w:p>
        </w:tc>
        <w:tc>
          <w:tcPr>
            <w:tcW w:w="1221" w:type="dxa"/>
            <w:vMerge w:val="restart"/>
            <w:tcBorders>
              <w:top w:val="single" w:color="000000" w:sz="12"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采样日期</w:t>
            </w:r>
          </w:p>
        </w:tc>
        <w:tc>
          <w:tcPr>
            <w:tcW w:w="644" w:type="dxa"/>
            <w:vMerge w:val="restart"/>
            <w:tcBorders>
              <w:top w:val="single" w:color="000000" w:sz="12"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样品状态</w:t>
            </w:r>
          </w:p>
        </w:tc>
        <w:tc>
          <w:tcPr>
            <w:tcW w:w="7067" w:type="dxa"/>
            <w:gridSpan w:val="10"/>
            <w:tcBorders>
              <w:top w:val="single" w:color="000000" w:sz="12" w:space="0"/>
              <w:left w:val="single" w:color="000000" w:sz="4" w:space="0"/>
              <w:bottom w:val="single" w:color="000000" w:sz="8" w:space="0"/>
              <w:right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检测结果（</w:t>
            </w:r>
            <w:r>
              <w:rPr>
                <w:rFonts w:ascii="Times New Roman" w:hAnsi="Times New Roman" w:cs="Times New Roman"/>
                <w:caps w:val="0"/>
                <w:smallCaps w:val="0"/>
              </w:rPr>
              <w:t>mg/kg</w:t>
            </w:r>
            <w:r>
              <w:rPr>
                <w:rFonts w:hint="eastAsia" w:ascii="Times New Roman" w:hAnsi="Times New Roman" w:cs="Times New Roman"/>
                <w:caps w:val="0"/>
                <w:smallCaps w:val="0"/>
              </w:rPr>
              <w:t>，</w:t>
            </w:r>
            <w:r>
              <w:rPr>
                <w:rFonts w:ascii="Times New Roman" w:hAnsi="Times New Roman" w:cs="Times New Roman"/>
                <w:caps w:val="0"/>
                <w:smallCaps w:val="0"/>
              </w:rPr>
              <w:t>pH</w:t>
            </w:r>
            <w:r>
              <w:rPr>
                <w:rFonts w:hint="eastAsia" w:ascii="Times New Roman" w:hAnsi="Times New Roman" w:cs="Times New Roman"/>
                <w:caps w:val="0"/>
                <w:smallCaps w:val="0"/>
              </w:rPr>
              <w:t>值：无量纲）</w:t>
            </w:r>
          </w:p>
        </w:tc>
      </w:tr>
      <w:tr>
        <w:tblPrEx>
          <w:tblCellMar>
            <w:top w:w="0" w:type="dxa"/>
            <w:left w:w="108" w:type="dxa"/>
            <w:bottom w:w="0" w:type="dxa"/>
            <w:right w:w="108" w:type="dxa"/>
          </w:tblCellMar>
        </w:tblPrEx>
        <w:trPr>
          <w:trHeight w:val="512" w:hRule="atLeast"/>
        </w:trPr>
        <w:tc>
          <w:tcPr>
            <w:tcW w:w="818" w:type="dxa"/>
            <w:vMerge w:val="continue"/>
            <w:tcBorders>
              <w:top w:val="single" w:color="000000" w:sz="8" w:space="0"/>
              <w:left w:val="nil"/>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p>
        </w:tc>
        <w:tc>
          <w:tcPr>
            <w:tcW w:w="1221" w:type="dxa"/>
            <w:vMerge w:val="continue"/>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p>
        </w:tc>
        <w:tc>
          <w:tcPr>
            <w:tcW w:w="644" w:type="dxa"/>
            <w:vMerge w:val="continue"/>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p>
        </w:tc>
        <w:tc>
          <w:tcPr>
            <w:tcW w:w="62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pH</w:t>
            </w:r>
          </w:p>
        </w:tc>
        <w:tc>
          <w:tcPr>
            <w:tcW w:w="682"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镉</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六价铬</w:t>
            </w:r>
          </w:p>
        </w:tc>
        <w:tc>
          <w:tcPr>
            <w:tcW w:w="73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总汞</w:t>
            </w:r>
          </w:p>
        </w:tc>
        <w:tc>
          <w:tcPr>
            <w:tcW w:w="720"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总砷</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铅</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铜</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锌</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镍</w:t>
            </w:r>
          </w:p>
        </w:tc>
        <w:tc>
          <w:tcPr>
            <w:tcW w:w="990" w:type="dxa"/>
            <w:tcBorders>
              <w:top w:val="single" w:color="000000" w:sz="8" w:space="0"/>
              <w:left w:val="single" w:color="000000" w:sz="4" w:space="0"/>
              <w:bottom w:val="single" w:color="000000" w:sz="8" w:space="0"/>
              <w:right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石油烃(C10-C40)</w:t>
            </w:r>
          </w:p>
        </w:tc>
      </w:tr>
      <w:tr>
        <w:tblPrEx>
          <w:tblCellMar>
            <w:top w:w="0" w:type="dxa"/>
            <w:left w:w="108" w:type="dxa"/>
            <w:bottom w:w="0" w:type="dxa"/>
            <w:right w:w="108" w:type="dxa"/>
          </w:tblCellMar>
        </w:tblPrEx>
        <w:trPr>
          <w:trHeight w:val="415" w:hRule="atLeast"/>
        </w:trPr>
        <w:tc>
          <w:tcPr>
            <w:tcW w:w="818" w:type="dxa"/>
            <w:tcBorders>
              <w:top w:val="single" w:color="000000" w:sz="8" w:space="0"/>
              <w:left w:val="nil"/>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趸船处</w:t>
            </w:r>
          </w:p>
        </w:tc>
        <w:tc>
          <w:tcPr>
            <w:tcW w:w="1221"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2021.4.12</w:t>
            </w:r>
          </w:p>
        </w:tc>
        <w:tc>
          <w:tcPr>
            <w:tcW w:w="644"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棕色无味</w:t>
            </w:r>
          </w:p>
        </w:tc>
        <w:tc>
          <w:tcPr>
            <w:tcW w:w="62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spacing w:val="-11"/>
                <w:sz w:val="21"/>
              </w:rPr>
            </w:pPr>
            <w:r>
              <w:rPr>
                <w:rFonts w:ascii="Times New Roman" w:hAnsi="Times New Roman" w:cs="Times New Roman"/>
                <w:caps w:val="0"/>
                <w:smallCaps w:val="0"/>
                <w:spacing w:val="-11"/>
                <w:sz w:val="21"/>
              </w:rPr>
              <w:t>7.64</w:t>
            </w:r>
          </w:p>
        </w:tc>
        <w:tc>
          <w:tcPr>
            <w:tcW w:w="682"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spacing w:val="-11"/>
                <w:sz w:val="21"/>
              </w:rPr>
            </w:pPr>
            <w:r>
              <w:rPr>
                <w:rFonts w:ascii="Times New Roman" w:hAnsi="Times New Roman" w:cs="Times New Roman"/>
                <w:caps w:val="0"/>
                <w:smallCaps w:val="0"/>
                <w:spacing w:val="-11"/>
                <w:sz w:val="21"/>
              </w:rPr>
              <w:t>0.71</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spacing w:val="-11"/>
                <w:sz w:val="21"/>
              </w:rPr>
            </w:pPr>
            <w:r>
              <w:rPr>
                <w:rFonts w:hint="eastAsia" w:ascii="Times New Roman" w:hAnsi="Times New Roman" w:cs="Times New Roman"/>
                <w:caps w:val="0"/>
                <w:smallCaps w:val="0"/>
                <w:spacing w:val="-11"/>
                <w:sz w:val="21"/>
              </w:rPr>
              <w:t>1.49</w:t>
            </w:r>
          </w:p>
        </w:tc>
        <w:tc>
          <w:tcPr>
            <w:tcW w:w="73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spacing w:val="-11"/>
                <w:sz w:val="21"/>
              </w:rPr>
            </w:pPr>
            <w:r>
              <w:rPr>
                <w:rFonts w:ascii="Times New Roman" w:hAnsi="Times New Roman" w:cs="Times New Roman"/>
                <w:caps w:val="0"/>
                <w:smallCaps w:val="0"/>
                <w:spacing w:val="-11"/>
                <w:sz w:val="21"/>
              </w:rPr>
              <w:t>0.384</w:t>
            </w:r>
          </w:p>
        </w:tc>
        <w:tc>
          <w:tcPr>
            <w:tcW w:w="720"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spacing w:val="-11"/>
                <w:sz w:val="21"/>
              </w:rPr>
            </w:pPr>
            <w:r>
              <w:rPr>
                <w:rFonts w:ascii="Times New Roman" w:hAnsi="Times New Roman" w:cs="Times New Roman"/>
                <w:caps w:val="0"/>
                <w:smallCaps w:val="0"/>
                <w:spacing w:val="-11"/>
                <w:sz w:val="21"/>
              </w:rPr>
              <w:t>67.2</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spacing w:val="-11"/>
                <w:sz w:val="21"/>
              </w:rPr>
            </w:pPr>
            <w:r>
              <w:rPr>
                <w:rFonts w:ascii="Times New Roman" w:hAnsi="Times New Roman" w:cs="Times New Roman"/>
                <w:caps w:val="0"/>
                <w:smallCaps w:val="0"/>
                <w:spacing w:val="-11"/>
                <w:sz w:val="21"/>
              </w:rPr>
              <w:t>32.6</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spacing w:val="-11"/>
                <w:sz w:val="21"/>
              </w:rPr>
            </w:pPr>
            <w:r>
              <w:rPr>
                <w:rFonts w:ascii="Times New Roman" w:hAnsi="Times New Roman" w:cs="Times New Roman"/>
                <w:caps w:val="0"/>
                <w:smallCaps w:val="0"/>
                <w:spacing w:val="-11"/>
                <w:sz w:val="21"/>
              </w:rPr>
              <w:t>45.0</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spacing w:val="-11"/>
                <w:sz w:val="21"/>
              </w:rPr>
            </w:pPr>
            <w:r>
              <w:rPr>
                <w:rFonts w:ascii="Times New Roman" w:hAnsi="Times New Roman" w:cs="Times New Roman"/>
                <w:caps w:val="0"/>
                <w:smallCaps w:val="0"/>
                <w:spacing w:val="-11"/>
                <w:sz w:val="21"/>
              </w:rPr>
              <w:t>101</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spacing w:val="-11"/>
                <w:sz w:val="21"/>
              </w:rPr>
            </w:pPr>
            <w:r>
              <w:rPr>
                <w:rFonts w:ascii="Times New Roman" w:hAnsi="Times New Roman" w:cs="Times New Roman"/>
                <w:caps w:val="0"/>
                <w:smallCaps w:val="0"/>
                <w:spacing w:val="-11"/>
                <w:sz w:val="21"/>
              </w:rPr>
              <w:t>46.3</w:t>
            </w:r>
          </w:p>
        </w:tc>
        <w:tc>
          <w:tcPr>
            <w:tcW w:w="990" w:type="dxa"/>
            <w:tcBorders>
              <w:top w:val="single" w:color="000000" w:sz="8" w:space="0"/>
              <w:left w:val="single" w:color="000000" w:sz="4" w:space="0"/>
              <w:bottom w:val="single" w:color="000000" w:sz="8" w:space="0"/>
              <w:right w:val="nil"/>
            </w:tcBorders>
            <w:noWrap/>
            <w:vAlign w:val="center"/>
          </w:tcPr>
          <w:p>
            <w:pPr>
              <w:pStyle w:val="117"/>
              <w:bidi w:val="0"/>
              <w:rPr>
                <w:rFonts w:ascii="Times New Roman" w:hAnsi="Times New Roman" w:cs="Times New Roman"/>
                <w:caps w:val="0"/>
                <w:smallCaps w:val="0"/>
                <w:spacing w:val="-11"/>
                <w:sz w:val="21"/>
              </w:rPr>
            </w:pPr>
            <w:r>
              <w:rPr>
                <w:rFonts w:ascii="Times New Roman" w:hAnsi="Times New Roman" w:cs="Times New Roman"/>
                <w:caps w:val="0"/>
                <w:smallCaps w:val="0"/>
                <w:spacing w:val="-11"/>
                <w:sz w:val="21"/>
              </w:rPr>
              <w:t>39.3</w:t>
            </w:r>
          </w:p>
        </w:tc>
      </w:tr>
      <w:tr>
        <w:tblPrEx>
          <w:tblCellMar>
            <w:top w:w="0" w:type="dxa"/>
            <w:left w:w="108" w:type="dxa"/>
            <w:bottom w:w="0" w:type="dxa"/>
            <w:right w:w="108" w:type="dxa"/>
          </w:tblCellMar>
        </w:tblPrEx>
        <w:trPr>
          <w:trHeight w:val="415" w:hRule="atLeast"/>
        </w:trPr>
        <w:tc>
          <w:tcPr>
            <w:tcW w:w="2039" w:type="dxa"/>
            <w:gridSpan w:val="2"/>
            <w:vMerge w:val="restart"/>
            <w:tcBorders>
              <w:top w:val="single" w:color="000000" w:sz="8" w:space="0"/>
              <w:left w:val="nil"/>
              <w:right w:val="single" w:color="000000" w:sz="4" w:space="0"/>
            </w:tcBorders>
            <w:noWrap/>
            <w:vAlign w:val="center"/>
          </w:tcPr>
          <w:p>
            <w:pPr>
              <w:pStyle w:val="117"/>
              <w:bidi w:val="0"/>
              <w:jc w:val="left"/>
              <w:rPr>
                <w:rFonts w:ascii="Times New Roman" w:hAnsi="Times New Roman" w:cs="Times New Roman"/>
                <w:caps w:val="0"/>
                <w:smallCaps w:val="0"/>
              </w:rPr>
            </w:pPr>
            <w:r>
              <w:rPr>
                <w:rFonts w:hint="eastAsia" w:ascii="Times New Roman" w:hAnsi="Times New Roman" w:cs="Times New Roman"/>
                <w:caps w:val="0"/>
                <w:smallCaps w:val="0"/>
                <w:spacing w:val="-6"/>
                <w:sz w:val="21"/>
              </w:rPr>
              <w:t>（DB43/T1165-2016）</w:t>
            </w:r>
          </w:p>
        </w:tc>
        <w:tc>
          <w:tcPr>
            <w:tcW w:w="644"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居住</w:t>
            </w:r>
          </w:p>
        </w:tc>
        <w:tc>
          <w:tcPr>
            <w:tcW w:w="62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2"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5</w:t>
            </w:r>
          </w:p>
        </w:tc>
        <w:tc>
          <w:tcPr>
            <w:tcW w:w="73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w:t>
            </w:r>
          </w:p>
        </w:tc>
        <w:tc>
          <w:tcPr>
            <w:tcW w:w="720"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50</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280</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300</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500</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990" w:type="dxa"/>
            <w:tcBorders>
              <w:top w:val="single" w:color="000000" w:sz="8" w:space="0"/>
              <w:left w:val="single" w:color="000000" w:sz="4" w:space="0"/>
              <w:bottom w:val="single" w:color="000000" w:sz="8" w:space="0"/>
              <w:right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r>
        <w:tblPrEx>
          <w:tblCellMar>
            <w:top w:w="0" w:type="dxa"/>
            <w:left w:w="108" w:type="dxa"/>
            <w:bottom w:w="0" w:type="dxa"/>
            <w:right w:w="108" w:type="dxa"/>
          </w:tblCellMar>
        </w:tblPrEx>
        <w:trPr>
          <w:trHeight w:val="415" w:hRule="atLeast"/>
        </w:trPr>
        <w:tc>
          <w:tcPr>
            <w:tcW w:w="2039" w:type="dxa"/>
            <w:gridSpan w:val="2"/>
            <w:vMerge w:val="continue"/>
            <w:tcBorders>
              <w:left w:val="nil"/>
              <w:right w:val="single" w:color="000000" w:sz="4" w:space="0"/>
            </w:tcBorders>
            <w:noWrap/>
            <w:vAlign w:val="center"/>
          </w:tcPr>
          <w:p>
            <w:pPr>
              <w:pStyle w:val="117"/>
              <w:bidi w:val="0"/>
              <w:rPr>
                <w:rFonts w:ascii="Times New Roman" w:hAnsi="Times New Roman" w:cs="Times New Roman"/>
                <w:caps w:val="0"/>
                <w:smallCaps w:val="0"/>
              </w:rPr>
            </w:pPr>
          </w:p>
        </w:tc>
        <w:tc>
          <w:tcPr>
            <w:tcW w:w="644"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商业</w:t>
            </w:r>
          </w:p>
        </w:tc>
        <w:tc>
          <w:tcPr>
            <w:tcW w:w="62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2"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20</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30</w:t>
            </w:r>
          </w:p>
        </w:tc>
        <w:tc>
          <w:tcPr>
            <w:tcW w:w="73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20</w:t>
            </w:r>
          </w:p>
        </w:tc>
        <w:tc>
          <w:tcPr>
            <w:tcW w:w="720"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70</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600</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500</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700</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990" w:type="dxa"/>
            <w:tcBorders>
              <w:top w:val="single" w:color="000000" w:sz="8" w:space="0"/>
              <w:left w:val="single" w:color="000000" w:sz="4" w:space="0"/>
              <w:bottom w:val="single" w:color="000000" w:sz="8" w:space="0"/>
              <w:right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r>
        <w:tblPrEx>
          <w:tblCellMar>
            <w:top w:w="0" w:type="dxa"/>
            <w:left w:w="108" w:type="dxa"/>
            <w:bottom w:w="0" w:type="dxa"/>
            <w:right w:w="108" w:type="dxa"/>
          </w:tblCellMar>
        </w:tblPrEx>
        <w:trPr>
          <w:trHeight w:val="415" w:hRule="atLeast"/>
        </w:trPr>
        <w:tc>
          <w:tcPr>
            <w:tcW w:w="2039" w:type="dxa"/>
            <w:gridSpan w:val="2"/>
            <w:vMerge w:val="continue"/>
            <w:tcBorders>
              <w:left w:val="nil"/>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p>
        </w:tc>
        <w:tc>
          <w:tcPr>
            <w:tcW w:w="644"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工业</w:t>
            </w:r>
          </w:p>
        </w:tc>
        <w:tc>
          <w:tcPr>
            <w:tcW w:w="62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682"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20</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30</w:t>
            </w:r>
          </w:p>
        </w:tc>
        <w:tc>
          <w:tcPr>
            <w:tcW w:w="73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20</w:t>
            </w:r>
          </w:p>
        </w:tc>
        <w:tc>
          <w:tcPr>
            <w:tcW w:w="720"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70</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600</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500</w:t>
            </w:r>
          </w:p>
        </w:tc>
        <w:tc>
          <w:tcPr>
            <w:tcW w:w="64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700</w:t>
            </w:r>
          </w:p>
        </w:tc>
        <w:tc>
          <w:tcPr>
            <w:tcW w:w="675" w:type="dxa"/>
            <w:tcBorders>
              <w:top w:val="single" w:color="000000" w:sz="8" w:space="0"/>
              <w:left w:val="single" w:color="000000" w:sz="4" w:space="0"/>
              <w:bottom w:val="single" w:color="000000" w:sz="8"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990" w:type="dxa"/>
            <w:tcBorders>
              <w:top w:val="single" w:color="000000" w:sz="8" w:space="0"/>
              <w:left w:val="single" w:color="000000" w:sz="4" w:space="0"/>
              <w:bottom w:val="single" w:color="000000" w:sz="8" w:space="0"/>
              <w:right w:val="nil"/>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r>
        <w:tblPrEx>
          <w:tblCellMar>
            <w:top w:w="0" w:type="dxa"/>
            <w:left w:w="108" w:type="dxa"/>
            <w:bottom w:w="0" w:type="dxa"/>
            <w:right w:w="108" w:type="dxa"/>
          </w:tblCellMar>
        </w:tblPrEx>
        <w:trPr>
          <w:trHeight w:val="415" w:hRule="atLeast"/>
        </w:trPr>
        <w:tc>
          <w:tcPr>
            <w:tcW w:w="2683" w:type="dxa"/>
            <w:gridSpan w:val="3"/>
            <w:tcBorders>
              <w:top w:val="single" w:color="000000" w:sz="8" w:space="0"/>
              <w:left w:val="nil"/>
              <w:bottom w:val="single" w:color="000000" w:sz="12"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达标情况</w:t>
            </w:r>
          </w:p>
        </w:tc>
        <w:tc>
          <w:tcPr>
            <w:tcW w:w="625" w:type="dxa"/>
            <w:tcBorders>
              <w:top w:val="single" w:color="000000" w:sz="8" w:space="0"/>
              <w:left w:val="single" w:color="000000" w:sz="4" w:space="0"/>
              <w:bottom w:val="single" w:color="000000" w:sz="12" w:space="0"/>
              <w:right w:val="single" w:color="000000" w:sz="4" w:space="0"/>
            </w:tcBorders>
            <w:noWrap/>
            <w:vAlign w:val="center"/>
          </w:tcPr>
          <w:p>
            <w:pPr>
              <w:pStyle w:val="117"/>
              <w:bidi w:val="0"/>
              <w:rPr>
                <w:rFonts w:hint="eastAsia" w:ascii="Times New Roman" w:hAnsi="Times New Roman" w:eastAsia="宋体" w:cs="Times New Roman"/>
                <w:caps w:val="0"/>
                <w:smallCaps w:val="0"/>
                <w:lang w:val="en-US" w:eastAsia="zh-CN"/>
              </w:rPr>
            </w:pPr>
            <w:r>
              <w:rPr>
                <w:rFonts w:hint="eastAsia" w:ascii="Times New Roman" w:hAnsi="Times New Roman" w:cs="Times New Roman"/>
                <w:caps w:val="0"/>
                <w:smallCaps w:val="0"/>
                <w:lang w:val="en-US" w:eastAsia="zh-CN"/>
              </w:rPr>
              <w:t>-</w:t>
            </w:r>
          </w:p>
        </w:tc>
        <w:tc>
          <w:tcPr>
            <w:tcW w:w="682" w:type="dxa"/>
            <w:tcBorders>
              <w:top w:val="single" w:color="000000" w:sz="8" w:space="0"/>
              <w:left w:val="single" w:color="000000" w:sz="4" w:space="0"/>
              <w:bottom w:val="single" w:color="000000" w:sz="12"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达标</w:t>
            </w:r>
          </w:p>
        </w:tc>
        <w:tc>
          <w:tcPr>
            <w:tcW w:w="675" w:type="dxa"/>
            <w:tcBorders>
              <w:top w:val="single" w:color="000000" w:sz="8" w:space="0"/>
              <w:left w:val="single" w:color="000000" w:sz="4" w:space="0"/>
              <w:bottom w:val="single" w:color="000000" w:sz="12"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达标</w:t>
            </w:r>
          </w:p>
        </w:tc>
        <w:tc>
          <w:tcPr>
            <w:tcW w:w="735" w:type="dxa"/>
            <w:tcBorders>
              <w:top w:val="single" w:color="000000" w:sz="8" w:space="0"/>
              <w:left w:val="single" w:color="000000" w:sz="4" w:space="0"/>
              <w:bottom w:val="single" w:color="000000" w:sz="12"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达标</w:t>
            </w:r>
          </w:p>
        </w:tc>
        <w:tc>
          <w:tcPr>
            <w:tcW w:w="720" w:type="dxa"/>
            <w:tcBorders>
              <w:top w:val="single" w:color="000000" w:sz="8" w:space="0"/>
              <w:left w:val="single" w:color="000000" w:sz="4" w:space="0"/>
              <w:bottom w:val="single" w:color="000000" w:sz="12"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达标</w:t>
            </w:r>
          </w:p>
        </w:tc>
        <w:tc>
          <w:tcPr>
            <w:tcW w:w="645" w:type="dxa"/>
            <w:tcBorders>
              <w:top w:val="single" w:color="000000" w:sz="8" w:space="0"/>
              <w:left w:val="single" w:color="000000" w:sz="4" w:space="0"/>
              <w:bottom w:val="single" w:color="000000" w:sz="12"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达标</w:t>
            </w:r>
          </w:p>
        </w:tc>
        <w:tc>
          <w:tcPr>
            <w:tcW w:w="675" w:type="dxa"/>
            <w:tcBorders>
              <w:top w:val="single" w:color="000000" w:sz="8" w:space="0"/>
              <w:left w:val="single" w:color="000000" w:sz="4" w:space="0"/>
              <w:bottom w:val="single" w:color="000000" w:sz="12"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达标</w:t>
            </w:r>
          </w:p>
        </w:tc>
        <w:tc>
          <w:tcPr>
            <w:tcW w:w="645" w:type="dxa"/>
            <w:tcBorders>
              <w:top w:val="single" w:color="000000" w:sz="8" w:space="0"/>
              <w:left w:val="single" w:color="000000" w:sz="4" w:space="0"/>
              <w:bottom w:val="single" w:color="000000" w:sz="12"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达标</w:t>
            </w:r>
          </w:p>
        </w:tc>
        <w:tc>
          <w:tcPr>
            <w:tcW w:w="675" w:type="dxa"/>
            <w:tcBorders>
              <w:top w:val="single" w:color="000000" w:sz="8" w:space="0"/>
              <w:left w:val="single" w:color="000000" w:sz="4" w:space="0"/>
              <w:bottom w:val="single" w:color="000000" w:sz="12" w:space="0"/>
              <w:right w:val="single" w:color="000000" w:sz="4" w:space="0"/>
            </w:tcBorders>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达标</w:t>
            </w:r>
          </w:p>
        </w:tc>
        <w:tc>
          <w:tcPr>
            <w:tcW w:w="990" w:type="dxa"/>
            <w:tcBorders>
              <w:top w:val="single" w:color="000000" w:sz="8" w:space="0"/>
              <w:left w:val="single" w:color="000000" w:sz="4" w:space="0"/>
              <w:bottom w:val="single" w:color="000000" w:sz="12" w:space="0"/>
              <w:right w:val="nil"/>
            </w:tcBorders>
            <w:noWrap/>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val="en-US" w:eastAsia="zh-CN"/>
              </w:rPr>
              <w:t>-</w:t>
            </w:r>
          </w:p>
        </w:tc>
      </w:tr>
    </w:tbl>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由上表分析结果可知，项目所在地</w:t>
      </w:r>
      <w:r>
        <w:rPr>
          <w:rFonts w:hint="eastAsia" w:ascii="Times New Roman" w:hAnsi="Times New Roman" w:cs="Times New Roman" w:eastAsiaTheme="minorEastAsia"/>
          <w:caps w:val="0"/>
          <w:smallCaps w:val="0"/>
          <w:sz w:val="24"/>
          <w:szCs w:val="24"/>
        </w:rPr>
        <w:t>底泥</w:t>
      </w:r>
      <w:r>
        <w:rPr>
          <w:rFonts w:ascii="Times New Roman" w:hAnsi="Times New Roman" w:cs="Times New Roman" w:eastAsiaTheme="minorEastAsia"/>
          <w:caps w:val="0"/>
          <w:smallCaps w:val="0"/>
          <w:sz w:val="24"/>
          <w:szCs w:val="24"/>
        </w:rPr>
        <w:t>监测数据能满足</w:t>
      </w:r>
      <w:r>
        <w:rPr>
          <w:rFonts w:hint="eastAsia" w:ascii="Times New Roman" w:hAnsi="Times New Roman" w:cs="Times New Roman" w:eastAsiaTheme="minorEastAsia"/>
          <w:caps w:val="0"/>
          <w:smallCaps w:val="0"/>
          <w:sz w:val="24"/>
          <w:szCs w:val="24"/>
        </w:rPr>
        <w:t>湖南省地方标准《重金属污染场地土壤修复标准》（DB43/T1165-2016）标准要求</w:t>
      </w:r>
      <w:r>
        <w:rPr>
          <w:rFonts w:ascii="Times New Roman" w:hAnsi="Times New Roman" w:cs="Times New Roman" w:eastAsiaTheme="minorEastAsia"/>
          <w:caps w:val="0"/>
          <w:smallCaps w:val="0"/>
          <w:sz w:val="24"/>
          <w:szCs w:val="24"/>
        </w:rPr>
        <w:t>中</w:t>
      </w:r>
      <w:r>
        <w:rPr>
          <w:rFonts w:hint="eastAsia" w:ascii="Times New Roman" w:hAnsi="Times New Roman" w:cs="Times New Roman" w:eastAsiaTheme="minorEastAsia"/>
          <w:caps w:val="0"/>
          <w:smallCaps w:val="0"/>
          <w:sz w:val="24"/>
          <w:szCs w:val="24"/>
        </w:rPr>
        <w:t>商业用地和工业用地要求</w:t>
      </w:r>
      <w:r>
        <w:rPr>
          <w:rFonts w:ascii="Times New Roman" w:hAnsi="Times New Roman" w:cs="Times New Roman" w:eastAsiaTheme="minorEastAsia"/>
          <w:caps w:val="0"/>
          <w:smallCaps w:val="0"/>
          <w:sz w:val="24"/>
          <w:szCs w:val="24"/>
        </w:rPr>
        <w:t>。</w:t>
      </w:r>
    </w:p>
    <w:p>
      <w:pPr>
        <w:pStyle w:val="5"/>
        <w:rPr>
          <w:rFonts w:ascii="Times New Roman" w:hAnsi="Times New Roman" w:cs="Times New Roman" w:eastAsiaTheme="minorEastAsia"/>
          <w:b/>
          <w:caps w:val="0"/>
          <w:smallCaps w:val="0"/>
          <w:color w:val="000000" w:themeColor="text1"/>
          <w14:textFill>
            <w14:solidFill>
              <w14:schemeClr w14:val="tx1"/>
            </w14:solidFill>
          </w14:textFill>
        </w:rPr>
      </w:pPr>
      <w:bookmarkStart w:id="80" w:name="_Toc31307"/>
      <w:r>
        <w:rPr>
          <w:rFonts w:ascii="Times New Roman" w:hAnsi="Times New Roman" w:cs="Times New Roman" w:eastAsiaTheme="minorEastAsia"/>
          <w:b/>
          <w:caps w:val="0"/>
          <w:smallCaps w:val="0"/>
          <w:color w:val="000000" w:themeColor="text1"/>
          <w14:textFill>
            <w14:solidFill>
              <w14:schemeClr w14:val="tx1"/>
            </w14:solidFill>
          </w14:textFill>
        </w:rPr>
        <w:t>生态环境现状调查与评价</w:t>
      </w:r>
      <w:bookmarkEnd w:id="80"/>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本项目码头工程位于岳阳市东洞庭湖江豚自然保护区范围内，生态环境概况摘自于《</w:t>
      </w:r>
      <w:r>
        <w:rPr>
          <w:rFonts w:hint="eastAsia" w:ascii="Times New Roman" w:hAnsi="Times New Roman" w:cs="Times New Roman" w:eastAsiaTheme="minorEastAsia"/>
          <w:caps w:val="0"/>
          <w:smallCaps w:val="0"/>
          <w:sz w:val="24"/>
          <w:szCs w:val="24"/>
        </w:rPr>
        <w:t>湖南海丰物流有限公司湖南海丰物流老码头提质改造技改项目</w:t>
      </w:r>
      <w:r>
        <w:rPr>
          <w:rFonts w:ascii="Times New Roman" w:hAnsi="Times New Roman" w:cs="Times New Roman" w:eastAsiaTheme="minorEastAsia"/>
          <w:caps w:val="0"/>
          <w:smallCaps w:val="0"/>
          <w:sz w:val="24"/>
          <w:szCs w:val="24"/>
        </w:rPr>
        <w:t>对岳阳市东洞庭湖江豚自然保护区影响专题论证报告》相关内容。</w:t>
      </w:r>
    </w:p>
    <w:p>
      <w:pPr>
        <w:pStyle w:val="6"/>
        <w:spacing w:before="48"/>
        <w:rPr>
          <w:rFonts w:hint="eastAsia" w:ascii="Times New Roman" w:hAnsi="Times New Roman" w:cs="Times New Roman"/>
          <w:caps w:val="0"/>
          <w:smallCaps w:val="0"/>
          <w:szCs w:val="24"/>
          <w:u w:val="single"/>
          <w:lang w:val="en-US" w:eastAsia="zh-CN"/>
        </w:rPr>
      </w:pPr>
      <w:r>
        <w:rPr>
          <w:rFonts w:hint="eastAsia" w:ascii="Times New Roman" w:hAnsi="Times New Roman" w:cs="Times New Roman"/>
          <w:caps w:val="0"/>
          <w:smallCaps w:val="0"/>
          <w:szCs w:val="24"/>
          <w:u w:val="single"/>
          <w:lang w:val="en-US" w:eastAsia="zh-CN"/>
        </w:rPr>
        <w:t>现状调查</w:t>
      </w:r>
      <w:r>
        <w:rPr>
          <w:rFonts w:hint="eastAsia" w:cs="Times New Roman"/>
          <w:caps w:val="0"/>
          <w:smallCaps w:val="0"/>
          <w:szCs w:val="24"/>
          <w:u w:val="single"/>
          <w:lang w:val="en-US" w:eastAsia="zh-CN"/>
        </w:rPr>
        <w:t>内容、范围、时段和调查方法</w:t>
      </w:r>
    </w:p>
    <w:p>
      <w:pPr>
        <w:pStyle w:val="7"/>
        <w:spacing w:before="161" w:line="240" w:lineRule="auto"/>
        <w:ind w:right="0"/>
        <w:jc w:val="left"/>
        <w:rPr>
          <w:rFonts w:ascii="Times New Roman" w:hAnsi="Times New Roman" w:cs="Times New Roman"/>
          <w:b w:val="0"/>
          <w:bCs w:val="0"/>
          <w:caps w:val="0"/>
          <w:smallCaps w:val="0"/>
          <w:u w:val="single"/>
        </w:rPr>
      </w:pPr>
      <w:r>
        <w:rPr>
          <w:rFonts w:ascii="Times New Roman" w:hAnsi="Times New Roman" w:cs="Times New Roman"/>
          <w:caps w:val="0"/>
          <w:smallCaps w:val="0"/>
          <w:spacing w:val="-1"/>
          <w:u w:val="single"/>
        </w:rPr>
        <w:t>调查范围和时段</w:t>
      </w:r>
    </w:p>
    <w:p>
      <w:pPr>
        <w:pStyle w:val="2"/>
        <w:spacing w:before="167" w:line="360" w:lineRule="auto"/>
        <w:ind w:right="119" w:firstLine="480"/>
        <w:jc w:val="left"/>
        <w:rPr>
          <w:rFonts w:ascii="Times New Roman" w:hAnsi="Times New Roman" w:cs="Times New Roman"/>
          <w:caps w:val="0"/>
          <w:smallCaps w:val="0"/>
          <w:u w:val="single"/>
        </w:rPr>
      </w:pPr>
      <w:r>
        <w:rPr>
          <w:rFonts w:ascii="Times New Roman" w:hAnsi="Times New Roman" w:cs="Times New Roman"/>
          <w:caps w:val="0"/>
          <w:smallCaps w:val="0"/>
          <w:u w:val="single"/>
        </w:rPr>
        <w:t>水生生物资源的调查评价范围为保护区及其受影响区域，包括保护区水域，重点为海丰物流码头工程所在水域</w:t>
      </w:r>
      <w:r>
        <w:rPr>
          <w:rFonts w:ascii="Times New Roman" w:hAnsi="Times New Roman" w:cs="Times New Roman"/>
          <w:caps w:val="0"/>
          <w:smallCaps w:val="0"/>
          <w:spacing w:val="-120"/>
          <w:u w:val="single"/>
        </w:rPr>
        <w:t>。</w:t>
      </w:r>
      <w:r>
        <w:rPr>
          <w:rFonts w:ascii="Times New Roman" w:hAnsi="Times New Roman" w:cs="Times New Roman"/>
          <w:caps w:val="0"/>
          <w:smallCaps w:val="0"/>
          <w:u w:val="single"/>
        </w:rPr>
        <w:t>调查时间为</w:t>
      </w:r>
      <w:r>
        <w:rPr>
          <w:rFonts w:ascii="Times New Roman" w:hAnsi="Times New Roman" w:eastAsia="Times New Roman" w:cs="Times New Roman"/>
          <w:caps w:val="0"/>
          <w:smallCaps w:val="0"/>
          <w:u w:val="single"/>
        </w:rPr>
        <w:t>2021</w:t>
      </w:r>
      <w:r>
        <w:rPr>
          <w:rFonts w:ascii="Times New Roman" w:hAnsi="Times New Roman" w:cs="Times New Roman"/>
          <w:caps w:val="0"/>
          <w:smallCaps w:val="0"/>
          <w:u w:val="single"/>
        </w:rPr>
        <w:t>年</w:t>
      </w:r>
      <w:r>
        <w:rPr>
          <w:rFonts w:ascii="Times New Roman" w:hAnsi="Times New Roman" w:eastAsia="Times New Roman" w:cs="Times New Roman"/>
          <w:caps w:val="0"/>
          <w:smallCaps w:val="0"/>
          <w:u w:val="single"/>
        </w:rPr>
        <w:t>9</w:t>
      </w:r>
      <w:r>
        <w:rPr>
          <w:rFonts w:ascii="Times New Roman" w:hAnsi="Times New Roman" w:cs="Times New Roman"/>
          <w:caps w:val="0"/>
          <w:smallCaps w:val="0"/>
          <w:u w:val="single"/>
        </w:rPr>
        <w:t>月</w:t>
      </w:r>
      <w:r>
        <w:rPr>
          <w:rFonts w:ascii="Times New Roman" w:hAnsi="Times New Roman" w:eastAsia="Times New Roman" w:cs="Times New Roman"/>
          <w:caps w:val="0"/>
          <w:smallCaps w:val="0"/>
          <w:u w:val="single"/>
        </w:rPr>
        <w:t>17</w:t>
      </w:r>
      <w:r>
        <w:rPr>
          <w:rFonts w:ascii="Times New Roman" w:hAnsi="Times New Roman" w:cs="Times New Roman"/>
          <w:caps w:val="0"/>
          <w:smallCaps w:val="0"/>
          <w:u w:val="single"/>
        </w:rPr>
        <w:t>日</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u w:val="single"/>
        </w:rPr>
        <w:t>20</w:t>
      </w:r>
      <w:r>
        <w:rPr>
          <w:rFonts w:ascii="Times New Roman" w:hAnsi="Times New Roman" w:eastAsia="Times New Roman" w:cs="Times New Roman"/>
          <w:caps w:val="0"/>
          <w:smallCaps w:val="0"/>
          <w:spacing w:val="2"/>
          <w:u w:val="single"/>
        </w:rPr>
        <w:t>2</w:t>
      </w:r>
      <w:r>
        <w:rPr>
          <w:rFonts w:ascii="Times New Roman" w:hAnsi="Times New Roman" w:eastAsia="Times New Roman" w:cs="Times New Roman"/>
          <w:caps w:val="0"/>
          <w:smallCaps w:val="0"/>
          <w:u w:val="single"/>
        </w:rPr>
        <w:t>1</w:t>
      </w:r>
      <w:r>
        <w:rPr>
          <w:rFonts w:ascii="Times New Roman" w:hAnsi="Times New Roman" w:cs="Times New Roman"/>
          <w:caps w:val="0"/>
          <w:smallCaps w:val="0"/>
          <w:u w:val="single"/>
        </w:rPr>
        <w:t>年</w:t>
      </w:r>
      <w:r>
        <w:rPr>
          <w:rFonts w:ascii="Times New Roman" w:hAnsi="Times New Roman" w:eastAsia="Times New Roman" w:cs="Times New Roman"/>
          <w:caps w:val="0"/>
          <w:smallCaps w:val="0"/>
          <w:u w:val="single"/>
        </w:rPr>
        <w:t>9</w:t>
      </w:r>
      <w:r>
        <w:rPr>
          <w:rFonts w:ascii="Times New Roman" w:hAnsi="Times New Roman" w:cs="Times New Roman"/>
          <w:caps w:val="0"/>
          <w:smallCaps w:val="0"/>
          <w:u w:val="single"/>
        </w:rPr>
        <w:t>月</w:t>
      </w:r>
      <w:r>
        <w:rPr>
          <w:rFonts w:ascii="Times New Roman" w:hAnsi="Times New Roman" w:eastAsia="Times New Roman" w:cs="Times New Roman"/>
          <w:caps w:val="0"/>
          <w:smallCaps w:val="0"/>
          <w:u w:val="single"/>
        </w:rPr>
        <w:t>19</w:t>
      </w:r>
      <w:r>
        <w:rPr>
          <w:rFonts w:ascii="Times New Roman" w:hAnsi="Times New Roman" w:cs="Times New Roman"/>
          <w:caps w:val="0"/>
          <w:smallCaps w:val="0"/>
          <w:u w:val="single"/>
        </w:rPr>
        <w:t>日。</w:t>
      </w:r>
    </w:p>
    <w:p>
      <w:pPr>
        <w:pStyle w:val="2"/>
        <w:spacing w:before="6" w:line="353" w:lineRule="auto"/>
        <w:ind w:right="119" w:firstLine="480"/>
        <w:jc w:val="left"/>
        <w:rPr>
          <w:rFonts w:ascii="Times New Roman" w:hAnsi="Times New Roman" w:cs="Times New Roman"/>
          <w:caps w:val="0"/>
          <w:smallCaps w:val="0"/>
          <w:u w:val="single"/>
        </w:rPr>
      </w:pPr>
      <w:r>
        <w:rPr>
          <w:rFonts w:ascii="Times New Roman" w:hAnsi="Times New Roman" w:cs="Times New Roman"/>
          <w:caps w:val="0"/>
          <w:smallCaps w:val="0"/>
          <w:u w:val="single"/>
        </w:rPr>
        <w:t>生态影响评价工作范围应依据评价项目对生态因子的影响方式、影响程度和生态因子之间的相互影响和相互依存关系确定</w:t>
      </w:r>
      <w:r>
        <w:rPr>
          <w:rFonts w:ascii="Times New Roman" w:hAnsi="Times New Roman" w:cs="Times New Roman"/>
          <w:caps w:val="0"/>
          <w:smallCaps w:val="0"/>
          <w:spacing w:val="-120"/>
          <w:u w:val="single"/>
        </w:rPr>
        <w:t>。</w:t>
      </w:r>
      <w:r>
        <w:rPr>
          <w:rFonts w:ascii="Times New Roman" w:hAnsi="Times New Roman" w:cs="Times New Roman"/>
          <w:caps w:val="0"/>
          <w:smallCaps w:val="0"/>
          <w:u w:val="single"/>
        </w:rPr>
        <w:t>在对本项目进行生态影响专题评价时，</w:t>
      </w:r>
      <w:r>
        <w:rPr>
          <w:rFonts w:ascii="Times New Roman" w:hAnsi="Times New Roman" w:cs="Times New Roman"/>
          <w:caps w:val="0"/>
          <w:smallCaps w:val="0"/>
          <w:spacing w:val="-1"/>
          <w:u w:val="single"/>
        </w:rPr>
        <w:t>参照《环境影响评价技术导则</w:t>
      </w:r>
      <w:r>
        <w:rPr>
          <w:rFonts w:ascii="Times New Roman" w:hAnsi="Times New Roman" w:cs="Times New Roman"/>
          <w:caps w:val="0"/>
          <w:smallCaps w:val="0"/>
          <w:spacing w:val="-2"/>
          <w:u w:val="single"/>
        </w:rPr>
        <w:t>生态影响》（</w:t>
      </w:r>
      <w:r>
        <w:rPr>
          <w:rFonts w:ascii="Times New Roman" w:hAnsi="Times New Roman" w:eastAsia="Times New Roman" w:cs="Times New Roman"/>
          <w:caps w:val="0"/>
          <w:smallCaps w:val="0"/>
          <w:spacing w:val="-2"/>
          <w:u w:val="single"/>
        </w:rPr>
        <w:t>HJ</w:t>
      </w:r>
      <w:r>
        <w:rPr>
          <w:rFonts w:ascii="Times New Roman" w:hAnsi="Times New Roman" w:eastAsia="Times New Roman" w:cs="Times New Roman"/>
          <w:caps w:val="0"/>
          <w:smallCaps w:val="0"/>
          <w:spacing w:val="2"/>
          <w:u w:val="single"/>
        </w:rPr>
        <w:t xml:space="preserve"> </w:t>
      </w:r>
      <w:r>
        <w:rPr>
          <w:rFonts w:ascii="Times New Roman" w:hAnsi="Times New Roman" w:eastAsia="Times New Roman" w:cs="Times New Roman"/>
          <w:caps w:val="0"/>
          <w:smallCaps w:val="0"/>
          <w:spacing w:val="-2"/>
          <w:u w:val="single"/>
        </w:rPr>
        <w:t>19-2011</w:t>
      </w:r>
      <w:r>
        <w:rPr>
          <w:rFonts w:ascii="Times New Roman" w:hAnsi="Times New Roman" w:cs="Times New Roman"/>
          <w:caps w:val="0"/>
          <w:smallCaps w:val="0"/>
          <w:spacing w:val="-2"/>
          <w:u w:val="single"/>
        </w:rPr>
        <w:t>）、《涉及国家级自然保护</w:t>
      </w:r>
      <w:r>
        <w:rPr>
          <w:rFonts w:ascii="Times New Roman" w:hAnsi="Times New Roman" w:cs="Times New Roman"/>
          <w:caps w:val="0"/>
          <w:smallCaps w:val="0"/>
          <w:u w:val="single"/>
        </w:rPr>
        <w:t>区建设项目生态影响专题报告编制指南（试行）》和农业部关于印发《建设项目对</w:t>
      </w:r>
      <w:r>
        <w:rPr>
          <w:rFonts w:ascii="Times New Roman" w:hAnsi="Times New Roman" w:cs="Times New Roman"/>
          <w:caps w:val="0"/>
          <w:smallCaps w:val="0"/>
          <w:spacing w:val="1"/>
          <w:u w:val="single"/>
        </w:rPr>
        <w:t>水生生物国家级自然保护区影响专题评价管理规范》的通知（</w:t>
      </w:r>
      <w:r>
        <w:rPr>
          <w:rFonts w:ascii="Times New Roman" w:hAnsi="Times New Roman" w:eastAsia="Times New Roman" w:cs="Times New Roman"/>
          <w:caps w:val="0"/>
          <w:smallCaps w:val="0"/>
          <w:spacing w:val="1"/>
          <w:u w:val="single"/>
        </w:rPr>
        <w:t>2009</w:t>
      </w:r>
      <w:r>
        <w:rPr>
          <w:rFonts w:ascii="Times New Roman" w:hAnsi="Times New Roman" w:cs="Times New Roman"/>
          <w:caps w:val="0"/>
          <w:smallCaps w:val="0"/>
          <w:u w:val="single"/>
        </w:rPr>
        <w:t>年</w:t>
      </w:r>
      <w:r>
        <w:rPr>
          <w:rFonts w:ascii="Times New Roman" w:hAnsi="Times New Roman" w:eastAsia="Times New Roman" w:cs="Times New Roman"/>
          <w:caps w:val="0"/>
          <w:smallCaps w:val="0"/>
          <w:u w:val="single"/>
        </w:rPr>
        <w:t>2</w:t>
      </w:r>
      <w:r>
        <w:rPr>
          <w:rFonts w:ascii="Times New Roman" w:hAnsi="Times New Roman" w:cs="Times New Roman"/>
          <w:caps w:val="0"/>
          <w:smallCaps w:val="0"/>
          <w:u w:val="single"/>
        </w:rPr>
        <w:t>月</w:t>
      </w:r>
      <w:r>
        <w:rPr>
          <w:rFonts w:ascii="Times New Roman" w:hAnsi="Times New Roman" w:eastAsia="Times New Roman" w:cs="Times New Roman"/>
          <w:caps w:val="0"/>
          <w:smallCaps w:val="0"/>
          <w:u w:val="single"/>
        </w:rPr>
        <w:t>23</w:t>
      </w:r>
      <w:r>
        <w:rPr>
          <w:rFonts w:ascii="Times New Roman" w:hAnsi="Times New Roman" w:cs="Times New Roman"/>
          <w:caps w:val="0"/>
          <w:smallCaps w:val="0"/>
          <w:spacing w:val="1"/>
          <w:u w:val="single"/>
        </w:rPr>
        <w:t>日，</w:t>
      </w:r>
      <w:r>
        <w:rPr>
          <w:rFonts w:ascii="Times New Roman" w:hAnsi="Times New Roman" w:cs="Times New Roman"/>
          <w:caps w:val="0"/>
          <w:smallCaps w:val="0"/>
          <w:u w:val="single"/>
        </w:rPr>
        <w:t>农渔发</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u w:val="single"/>
        </w:rPr>
        <w:t>2009</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u w:val="single"/>
        </w:rPr>
        <w:t>4</w:t>
      </w:r>
      <w:r>
        <w:rPr>
          <w:rFonts w:ascii="Times New Roman" w:hAnsi="Times New Roman" w:cs="Times New Roman"/>
          <w:caps w:val="0"/>
          <w:smallCaps w:val="0"/>
          <w:u w:val="single"/>
        </w:rPr>
        <w:t>号</w:t>
      </w:r>
      <w:r>
        <w:rPr>
          <w:rFonts w:ascii="Times New Roman" w:hAnsi="Times New Roman" w:cs="Times New Roman"/>
          <w:caps w:val="0"/>
          <w:smallCaps w:val="0"/>
          <w:spacing w:val="-34"/>
          <w:u w:val="single"/>
        </w:rPr>
        <w:t>），</w:t>
      </w:r>
      <w:r>
        <w:rPr>
          <w:rFonts w:ascii="Times New Roman" w:hAnsi="Times New Roman" w:cs="Times New Roman"/>
          <w:caps w:val="0"/>
          <w:smallCaps w:val="0"/>
          <w:u w:val="single"/>
        </w:rPr>
        <w:t>原则上评价范围应体</w:t>
      </w:r>
      <w:r>
        <w:rPr>
          <w:rFonts w:ascii="Times New Roman" w:hAnsi="Times New Roman" w:cs="Times New Roman"/>
          <w:caps w:val="0"/>
          <w:smallCaps w:val="0"/>
          <w:spacing w:val="2"/>
          <w:u w:val="single"/>
        </w:rPr>
        <w:t>现</w:t>
      </w:r>
      <w:r>
        <w:rPr>
          <w:rFonts w:ascii="Times New Roman" w:hAnsi="Times New Roman" w:cs="Times New Roman"/>
          <w:caps w:val="0"/>
          <w:smallCaps w:val="0"/>
          <w:u w:val="single"/>
        </w:rPr>
        <w:t>生态完整性</w:t>
      </w:r>
      <w:r>
        <w:rPr>
          <w:rFonts w:ascii="Times New Roman" w:hAnsi="Times New Roman" w:cs="Times New Roman"/>
          <w:caps w:val="0"/>
          <w:smallCaps w:val="0"/>
          <w:spacing w:val="-34"/>
          <w:u w:val="single"/>
        </w:rPr>
        <w:t>，</w:t>
      </w:r>
      <w:r>
        <w:rPr>
          <w:rFonts w:ascii="Times New Roman" w:hAnsi="Times New Roman" w:cs="Times New Roman"/>
          <w:caps w:val="0"/>
          <w:smallCaps w:val="0"/>
          <w:u w:val="single"/>
        </w:rPr>
        <w:t>涵盖评价项目全部活</w:t>
      </w:r>
      <w:r>
        <w:rPr>
          <w:rFonts w:ascii="Times New Roman" w:hAnsi="Times New Roman" w:cs="Times New Roman"/>
          <w:caps w:val="0"/>
          <w:smallCaps w:val="0"/>
          <w:spacing w:val="2"/>
          <w:u w:val="single"/>
        </w:rPr>
        <w:t>动</w:t>
      </w:r>
      <w:r>
        <w:rPr>
          <w:rFonts w:ascii="Times New Roman" w:hAnsi="Times New Roman" w:cs="Times New Roman"/>
          <w:caps w:val="0"/>
          <w:smallCaps w:val="0"/>
          <w:u w:val="single"/>
        </w:rPr>
        <w:t>的直接影响区和间接影响区域，以项目影响区域所涉及的完整气候单元、水文单元、生态单元、地理单元界限为参照边界来确定项目重点评价范围；一般情况下，将距项目施工边界点外扩不低于</w:t>
      </w:r>
      <w:r>
        <w:rPr>
          <w:rFonts w:ascii="Times New Roman" w:hAnsi="Times New Roman" w:eastAsia="Times New Roman" w:cs="Times New Roman"/>
          <w:caps w:val="0"/>
          <w:smallCaps w:val="0"/>
          <w:u w:val="single"/>
        </w:rPr>
        <w:t>1km</w:t>
      </w:r>
      <w:r>
        <w:rPr>
          <w:rFonts w:ascii="Times New Roman" w:hAnsi="Times New Roman" w:cs="Times New Roman"/>
          <w:caps w:val="0"/>
          <w:smallCaps w:val="0"/>
          <w:u w:val="single"/>
        </w:rPr>
        <w:t>范围作为重点评价范围。</w:t>
      </w:r>
    </w:p>
    <w:p>
      <w:pPr>
        <w:pStyle w:val="2"/>
        <w:spacing w:before="14" w:line="351" w:lineRule="auto"/>
        <w:ind w:right="189" w:firstLine="523"/>
        <w:jc w:val="both"/>
        <w:rPr>
          <w:rFonts w:ascii="Times New Roman" w:hAnsi="Times New Roman" w:cs="Times New Roman"/>
          <w:caps w:val="0"/>
          <w:smallCaps w:val="0"/>
          <w:u w:val="single"/>
        </w:rPr>
      </w:pPr>
      <w:r>
        <w:rPr>
          <w:rFonts w:ascii="Times New Roman" w:hAnsi="Times New Roman" w:cs="Times New Roman"/>
          <w:caps w:val="0"/>
          <w:smallCaps w:val="0"/>
          <w:u w:val="single"/>
        </w:rPr>
        <w:t>根据上述原则，将工程外扩</w:t>
      </w:r>
      <w:r>
        <w:rPr>
          <w:rFonts w:ascii="Times New Roman" w:hAnsi="Times New Roman" w:eastAsia="Times New Roman" w:cs="Times New Roman"/>
          <w:caps w:val="0"/>
          <w:smallCaps w:val="0"/>
          <w:spacing w:val="6"/>
          <w:u w:val="single"/>
        </w:rPr>
        <w:t>1km</w:t>
      </w:r>
      <w:r>
        <w:rPr>
          <w:rFonts w:ascii="Times New Roman" w:hAnsi="Times New Roman" w:cs="Times New Roman"/>
          <w:caps w:val="0"/>
          <w:smallCaps w:val="0"/>
          <w:u w:val="single"/>
        </w:rPr>
        <w:t>带状区域内的水域作为重点评价范</w:t>
      </w:r>
      <w:r>
        <w:rPr>
          <w:rFonts w:ascii="Times New Roman" w:hAnsi="Times New Roman" w:cs="Times New Roman"/>
          <w:caps w:val="0"/>
          <w:smallCaps w:val="0"/>
          <w:spacing w:val="9"/>
          <w:u w:val="single"/>
        </w:rPr>
        <w:t>围，</w:t>
      </w:r>
      <w:r>
        <w:rPr>
          <w:rFonts w:ascii="Times New Roman" w:hAnsi="Times New Roman" w:cs="Times New Roman"/>
          <w:caps w:val="0"/>
          <w:smallCaps w:val="0"/>
          <w:u w:val="single"/>
        </w:rPr>
        <w:t>同时兼顾岳阳东洞庭湖江豚市级自然保护区江豚及其栖息地的重要生境和水域的生态环境条件，具体情况如下：</w:t>
      </w:r>
    </w:p>
    <w:p>
      <w:pPr>
        <w:pStyle w:val="2"/>
        <w:spacing w:before="44" w:line="341" w:lineRule="auto"/>
        <w:ind w:right="259" w:firstLine="523"/>
        <w:jc w:val="both"/>
        <w:rPr>
          <w:rFonts w:ascii="Times New Roman" w:hAnsi="Times New Roman" w:cs="Times New Roman"/>
          <w:caps w:val="0"/>
          <w:smallCaps w:val="0"/>
          <w:u w:val="single"/>
        </w:rPr>
      </w:pPr>
      <w:r>
        <w:rPr>
          <w:rFonts w:ascii="Times New Roman" w:hAnsi="Times New Roman" w:cs="Times New Roman"/>
          <w:caps w:val="0"/>
          <w:smallCaps w:val="0"/>
          <w:u w:val="single"/>
        </w:rPr>
        <w:t>（</w:t>
      </w:r>
      <w:r>
        <w:rPr>
          <w:rFonts w:ascii="Times New Roman" w:hAnsi="Times New Roman" w:eastAsia="Times New Roman" w:cs="Times New Roman"/>
          <w:caps w:val="0"/>
          <w:smallCaps w:val="0"/>
          <w:spacing w:val="7"/>
          <w:u w:val="single"/>
        </w:rPr>
        <w:t>1</w:t>
      </w:r>
      <w:r>
        <w:rPr>
          <w:rFonts w:ascii="Times New Roman" w:hAnsi="Times New Roman" w:cs="Times New Roman"/>
          <w:caps w:val="0"/>
          <w:smallCaps w:val="0"/>
          <w:spacing w:val="7"/>
          <w:u w:val="single"/>
        </w:rPr>
        <w:t>）</w:t>
      </w:r>
      <w:r>
        <w:rPr>
          <w:rFonts w:ascii="Times New Roman" w:hAnsi="Times New Roman" w:cs="Times New Roman"/>
          <w:caps w:val="0"/>
          <w:smallCaps w:val="0"/>
          <w:u w:val="single"/>
        </w:rPr>
        <w:t>在保护区设置</w:t>
      </w:r>
      <w:r>
        <w:rPr>
          <w:rFonts w:ascii="Times New Roman" w:hAnsi="Times New Roman" w:eastAsia="Times New Roman" w:cs="Times New Roman"/>
          <w:caps w:val="0"/>
          <w:smallCaps w:val="0"/>
          <w:u w:val="single"/>
        </w:rPr>
        <w:t>4</w:t>
      </w:r>
      <w:r>
        <w:rPr>
          <w:rFonts w:ascii="Times New Roman" w:hAnsi="Times New Roman" w:cs="Times New Roman"/>
          <w:caps w:val="0"/>
          <w:smallCaps w:val="0"/>
          <w:u w:val="single"/>
        </w:rPr>
        <w:t>个采样点，采样点分别位于工程上游</w:t>
      </w:r>
      <w:r>
        <w:rPr>
          <w:rFonts w:ascii="Times New Roman" w:hAnsi="Times New Roman" w:eastAsia="Times New Roman" w:cs="Times New Roman"/>
          <w:caps w:val="0"/>
          <w:smallCaps w:val="0"/>
          <w:spacing w:val="9"/>
          <w:u w:val="single"/>
        </w:rPr>
        <w:t>1km</w:t>
      </w:r>
      <w:r>
        <w:rPr>
          <w:rFonts w:ascii="Times New Roman" w:hAnsi="Times New Roman" w:cs="Times New Roman"/>
          <w:caps w:val="0"/>
          <w:smallCaps w:val="0"/>
          <w:spacing w:val="9"/>
          <w:u w:val="single"/>
        </w:rPr>
        <w:t>、</w:t>
      </w:r>
      <w:r>
        <w:rPr>
          <w:rFonts w:ascii="Times New Roman" w:hAnsi="Times New Roman" w:cs="Times New Roman"/>
          <w:caps w:val="0"/>
          <w:smallCaps w:val="0"/>
          <w:u w:val="single"/>
        </w:rPr>
        <w:t>工程所在位置、工程下游</w:t>
      </w:r>
      <w:r>
        <w:rPr>
          <w:rFonts w:ascii="Times New Roman" w:hAnsi="Times New Roman" w:eastAsia="Times New Roman" w:cs="Times New Roman"/>
          <w:caps w:val="0"/>
          <w:smallCaps w:val="0"/>
          <w:spacing w:val="6"/>
          <w:u w:val="single"/>
        </w:rPr>
        <w:t>1km</w:t>
      </w:r>
      <w:r>
        <w:rPr>
          <w:rFonts w:ascii="Times New Roman" w:hAnsi="Times New Roman" w:cs="Times New Roman"/>
          <w:caps w:val="0"/>
          <w:smallCaps w:val="0"/>
          <w:u w:val="single"/>
        </w:rPr>
        <w:t>和工程横截面</w:t>
      </w:r>
      <w:r>
        <w:rPr>
          <w:rFonts w:ascii="Times New Roman" w:hAnsi="Times New Roman" w:eastAsia="Times New Roman" w:cs="Times New Roman"/>
          <w:caps w:val="0"/>
          <w:smallCaps w:val="0"/>
          <w:spacing w:val="6"/>
          <w:u w:val="single"/>
        </w:rPr>
        <w:t>1km</w:t>
      </w:r>
      <w:r>
        <w:rPr>
          <w:rFonts w:ascii="Times New Roman" w:hAnsi="Times New Roman" w:cs="Times New Roman"/>
          <w:caps w:val="0"/>
          <w:smallCaps w:val="0"/>
          <w:u w:val="single"/>
        </w:rPr>
        <w:t>处，分别开展水体理化性质、浮游植物、浮游动物、底栖动物和水生维管束植物调查。</w:t>
      </w:r>
    </w:p>
    <w:p>
      <w:pPr>
        <w:pStyle w:val="2"/>
        <w:spacing w:before="56" w:line="340" w:lineRule="auto"/>
        <w:ind w:right="261" w:firstLine="523"/>
        <w:jc w:val="both"/>
        <w:rPr>
          <w:rFonts w:ascii="Times New Roman" w:hAnsi="Times New Roman" w:cs="Times New Roman"/>
          <w:caps w:val="0"/>
          <w:smallCaps w:val="0"/>
          <w:u w:val="single"/>
        </w:rPr>
      </w:pPr>
      <w:r>
        <w:rPr>
          <w:rFonts w:ascii="Times New Roman" w:hAnsi="Times New Roman" w:cs="Times New Roman"/>
          <w:caps w:val="0"/>
          <w:smallCaps w:val="0"/>
          <w:u w:val="single"/>
        </w:rPr>
        <w:t>（</w:t>
      </w:r>
      <w:r>
        <w:rPr>
          <w:rFonts w:ascii="Times New Roman" w:hAnsi="Times New Roman" w:eastAsia="Times New Roman" w:cs="Times New Roman"/>
          <w:caps w:val="0"/>
          <w:smallCaps w:val="0"/>
          <w:spacing w:val="14"/>
          <w:u w:val="single"/>
        </w:rPr>
        <w:t>2</w:t>
      </w:r>
      <w:r>
        <w:rPr>
          <w:rFonts w:ascii="Times New Roman" w:hAnsi="Times New Roman" w:cs="Times New Roman"/>
          <w:caps w:val="0"/>
          <w:smallCaps w:val="0"/>
          <w:u w:val="single"/>
        </w:rPr>
        <w:t>）长江江豚考察分定点观察法和截线抽样调查法，定点观察为工程所在处</w:t>
      </w:r>
      <w:r>
        <w:rPr>
          <w:rFonts w:ascii="Times New Roman" w:hAnsi="Times New Roman" w:cs="Times New Roman"/>
          <w:caps w:val="0"/>
          <w:smallCaps w:val="0"/>
          <w:spacing w:val="7"/>
          <w:u w:val="single"/>
        </w:rPr>
        <w:t>，截</w:t>
      </w:r>
      <w:r>
        <w:rPr>
          <w:rFonts w:ascii="Times New Roman" w:hAnsi="Times New Roman" w:cs="Times New Roman"/>
          <w:caps w:val="0"/>
          <w:smallCaps w:val="0"/>
          <w:u w:val="single"/>
        </w:rPr>
        <w:t>线抽样调查法从工程上游</w:t>
      </w:r>
      <w:r>
        <w:rPr>
          <w:rFonts w:ascii="Times New Roman" w:hAnsi="Times New Roman" w:eastAsia="Times New Roman" w:cs="Times New Roman"/>
          <w:caps w:val="0"/>
          <w:smallCaps w:val="0"/>
          <w:spacing w:val="5"/>
          <w:u w:val="single"/>
        </w:rPr>
        <w:t>4km</w:t>
      </w:r>
      <w:r>
        <w:rPr>
          <w:rFonts w:ascii="Times New Roman" w:hAnsi="Times New Roman" w:cs="Times New Roman"/>
          <w:caps w:val="0"/>
          <w:smallCaps w:val="0"/>
          <w:u w:val="single"/>
        </w:rPr>
        <w:t>处的青山码头到工程下游</w:t>
      </w:r>
      <w:r>
        <w:rPr>
          <w:rFonts w:ascii="Times New Roman" w:hAnsi="Times New Roman" w:eastAsia="Times New Roman" w:cs="Times New Roman"/>
          <w:caps w:val="0"/>
          <w:smallCaps w:val="0"/>
          <w:spacing w:val="7"/>
          <w:u w:val="single"/>
        </w:rPr>
        <w:t>19km</w:t>
      </w:r>
      <w:r>
        <w:rPr>
          <w:rFonts w:ascii="Times New Roman" w:hAnsi="Times New Roman" w:cs="Times New Roman"/>
          <w:caps w:val="0"/>
          <w:smallCaps w:val="0"/>
          <w:u w:val="single"/>
        </w:rPr>
        <w:t>处的磊石村，长达</w:t>
      </w:r>
      <w:r>
        <w:rPr>
          <w:rFonts w:ascii="Times New Roman" w:hAnsi="Times New Roman" w:eastAsia="Times New Roman" w:cs="Times New Roman"/>
          <w:caps w:val="0"/>
          <w:smallCaps w:val="0"/>
          <w:spacing w:val="8"/>
          <w:u w:val="single"/>
        </w:rPr>
        <w:t>23km</w:t>
      </w:r>
      <w:r>
        <w:rPr>
          <w:rFonts w:ascii="Times New Roman" w:hAnsi="Times New Roman" w:cs="Times New Roman"/>
          <w:caps w:val="0"/>
          <w:smallCaps w:val="0"/>
          <w:spacing w:val="8"/>
          <w:u w:val="single"/>
        </w:rPr>
        <w:t>。</w:t>
      </w:r>
    </w:p>
    <w:p>
      <w:pPr>
        <w:pStyle w:val="7"/>
        <w:spacing w:before="19" w:line="240" w:lineRule="auto"/>
        <w:ind w:right="0"/>
        <w:jc w:val="left"/>
        <w:rPr>
          <w:rFonts w:ascii="Times New Roman" w:hAnsi="Times New Roman" w:cs="Times New Roman"/>
          <w:b w:val="0"/>
          <w:bCs w:val="0"/>
          <w:caps w:val="0"/>
          <w:smallCaps w:val="0"/>
          <w:u w:val="single"/>
        </w:rPr>
      </w:pPr>
      <w:r>
        <w:rPr>
          <w:rFonts w:ascii="Times New Roman" w:hAnsi="Times New Roman" w:cs="Times New Roman"/>
          <w:caps w:val="0"/>
          <w:smallCaps w:val="0"/>
          <w:spacing w:val="-1"/>
          <w:u w:val="single"/>
        </w:rPr>
        <w:t>调查内容</w:t>
      </w:r>
    </w:p>
    <w:p>
      <w:pPr>
        <w:pStyle w:val="2"/>
        <w:spacing w:before="56" w:line="340" w:lineRule="auto"/>
        <w:ind w:right="261" w:firstLine="523"/>
        <w:jc w:val="both"/>
        <w:rPr>
          <w:rFonts w:ascii="Times New Roman" w:hAnsi="Times New Roman" w:eastAsia="宋体" w:cs="Times New Roman"/>
          <w:caps w:val="0"/>
          <w:smallCaps w:val="0"/>
          <w:u w:val="single"/>
        </w:rPr>
      </w:pPr>
      <w:r>
        <w:rPr>
          <w:rFonts w:ascii="Times New Roman" w:hAnsi="Times New Roman" w:eastAsia="宋体" w:cs="Times New Roman"/>
          <w:caps w:val="0"/>
          <w:smallCaps w:val="0"/>
          <w:u w:val="single"/>
        </w:rPr>
        <w:t>（1）自然环境和社会经济状况自然环境：流域地形、地貌、水系、植被等地理环境，流域光照、气温等水文、气候条件和变化特点。社会经济状况：保护区社会、经济发展现状，特别是渔业发展现状等。</w:t>
      </w:r>
    </w:p>
    <w:p>
      <w:pPr>
        <w:pStyle w:val="2"/>
        <w:spacing w:before="56" w:line="340" w:lineRule="auto"/>
        <w:ind w:right="261" w:firstLine="523"/>
        <w:jc w:val="both"/>
        <w:rPr>
          <w:rFonts w:ascii="Times New Roman" w:hAnsi="Times New Roman" w:eastAsia="宋体" w:cs="Times New Roman"/>
          <w:caps w:val="0"/>
          <w:smallCaps w:val="0"/>
          <w:u w:val="single"/>
        </w:rPr>
      </w:pPr>
      <w:r>
        <w:rPr>
          <w:rFonts w:ascii="Times New Roman" w:hAnsi="Times New Roman" w:eastAsia="宋体" w:cs="Times New Roman"/>
          <w:caps w:val="0"/>
          <w:smallCaps w:val="0"/>
          <w:u w:val="single"/>
        </w:rPr>
        <w:t>（2）水体理化性质水温、透明度、水深、pH等。</w:t>
      </w:r>
    </w:p>
    <w:p>
      <w:pPr>
        <w:pStyle w:val="2"/>
        <w:spacing w:before="56" w:line="340" w:lineRule="auto"/>
        <w:ind w:right="261" w:firstLine="523"/>
        <w:jc w:val="both"/>
        <w:rPr>
          <w:rFonts w:ascii="Times New Roman" w:hAnsi="Times New Roman" w:eastAsia="宋体" w:cs="Times New Roman"/>
          <w:caps w:val="0"/>
          <w:smallCaps w:val="0"/>
          <w:u w:val="single"/>
        </w:rPr>
      </w:pPr>
      <w:r>
        <w:rPr>
          <w:rFonts w:ascii="Times New Roman" w:hAnsi="Times New Roman" w:eastAsia="宋体" w:cs="Times New Roman"/>
          <w:caps w:val="0"/>
          <w:smallCaps w:val="0"/>
          <w:u w:val="single"/>
        </w:rPr>
        <w:t>（3）鱼类资源调查内容包括：渔业资源区系组成、种群结构与资源量；重点保护水生生物；鱼类等水生生物生态功能区（包括产卵场、索饵场、越冬场、洄游通道）。</w:t>
      </w:r>
    </w:p>
    <w:p>
      <w:pPr>
        <w:pStyle w:val="2"/>
        <w:spacing w:before="56" w:line="340" w:lineRule="auto"/>
        <w:ind w:right="261" w:firstLine="523"/>
        <w:jc w:val="both"/>
        <w:rPr>
          <w:rFonts w:ascii="Times New Roman" w:hAnsi="Times New Roman" w:eastAsia="宋体" w:cs="Times New Roman"/>
          <w:caps w:val="0"/>
          <w:smallCaps w:val="0"/>
          <w:u w:val="single"/>
        </w:rPr>
      </w:pPr>
      <w:r>
        <w:rPr>
          <w:rFonts w:ascii="Times New Roman" w:hAnsi="Times New Roman" w:eastAsia="宋体" w:cs="Times New Roman"/>
          <w:caps w:val="0"/>
          <w:smallCaps w:val="0"/>
          <w:u w:val="single"/>
        </w:rPr>
        <w:t>（4）其它水生生物浮游植物、浮游动物、底栖生物、水生维管束植物植物的种类、数量、分布等。其中重点调查内容为：渔业资源区系组成、种群结构与资源量；珍稀、特有和濒危水生生物；鱼类等水生生物生态功能区（包括产卵场、索饵场、越冬场、洄游通道）；底栖生物种类和密度；保护区的生态结构和功能等。</w:t>
      </w:r>
    </w:p>
    <w:p>
      <w:pPr>
        <w:pStyle w:val="7"/>
        <w:spacing w:before="150" w:line="240" w:lineRule="auto"/>
        <w:ind w:right="0"/>
        <w:jc w:val="left"/>
        <w:rPr>
          <w:rFonts w:ascii="Times New Roman" w:hAnsi="Times New Roman" w:cs="Times New Roman"/>
          <w:b w:val="0"/>
          <w:bCs w:val="0"/>
          <w:caps w:val="0"/>
          <w:smallCaps w:val="0"/>
          <w:u w:val="single"/>
        </w:rPr>
      </w:pPr>
      <w:r>
        <w:rPr>
          <w:rFonts w:ascii="Times New Roman" w:hAnsi="Times New Roman" w:cs="Times New Roman"/>
          <w:caps w:val="0"/>
          <w:smallCaps w:val="0"/>
          <w:spacing w:val="-1"/>
          <w:u w:val="single"/>
        </w:rPr>
        <w:t>调查方法</w:t>
      </w:r>
    </w:p>
    <w:p>
      <w:pPr>
        <w:pStyle w:val="9"/>
        <w:numPr>
          <w:ilvl w:val="5"/>
          <w:numId w:val="0"/>
        </w:numPr>
        <w:spacing w:before="167" w:line="240" w:lineRule="auto"/>
        <w:ind w:leftChars="200" w:right="0" w:rightChars="0"/>
        <w:jc w:val="left"/>
        <w:rPr>
          <w:rFonts w:ascii="Times New Roman" w:hAnsi="Times New Roman" w:cs="Times New Roman"/>
          <w:b w:val="0"/>
          <w:bCs w:val="0"/>
          <w:caps w:val="0"/>
          <w:smallCaps w:val="0"/>
          <w:u w:val="single"/>
        </w:rPr>
      </w:pPr>
      <w:r>
        <w:rPr>
          <w:rFonts w:ascii="Times New Roman" w:hAnsi="Times New Roman" w:cs="Times New Roman"/>
          <w:caps w:val="0"/>
          <w:smallCaps w:val="0"/>
          <w:u w:val="single"/>
        </w:rPr>
        <w:t>（</w:t>
      </w:r>
      <w:r>
        <w:rPr>
          <w:rFonts w:ascii="Times New Roman" w:hAnsi="Times New Roman" w:eastAsia="Times New Roman" w:cs="Times New Roman"/>
          <w:caps w:val="0"/>
          <w:smallCaps w:val="0"/>
          <w:u w:val="single"/>
        </w:rPr>
        <w:t>1</w:t>
      </w:r>
      <w:r>
        <w:rPr>
          <w:rFonts w:ascii="Times New Roman" w:hAnsi="Times New Roman" w:cs="Times New Roman"/>
          <w:caps w:val="0"/>
          <w:smallCaps w:val="0"/>
          <w:u w:val="single"/>
        </w:rPr>
        <w:t>）长江江豚及水生态专项调查</w:t>
      </w:r>
    </w:p>
    <w:p>
      <w:pPr>
        <w:spacing w:before="139"/>
        <w:ind w:right="0"/>
        <w:jc w:val="left"/>
        <w:rPr>
          <w:rFonts w:ascii="Times New Roman" w:hAnsi="Times New Roman" w:eastAsia="宋体" w:cs="Times New Roman"/>
          <w:caps w:val="0"/>
          <w:smallCaps w:val="0"/>
          <w:sz w:val="24"/>
          <w:szCs w:val="24"/>
          <w:u w:val="single"/>
        </w:rPr>
      </w:pPr>
      <w:r>
        <w:rPr>
          <w:rFonts w:ascii="Times New Roman" w:hAnsi="Times New Roman" w:eastAsia="Times New Roman" w:cs="Times New Roman"/>
          <w:b/>
          <w:bCs/>
          <w:caps w:val="0"/>
          <w:smallCaps w:val="0"/>
          <w:sz w:val="24"/>
          <w:szCs w:val="24"/>
          <w:u w:val="single"/>
        </w:rPr>
        <w:t>1</w:t>
      </w:r>
      <w:r>
        <w:rPr>
          <w:rFonts w:ascii="Times New Roman" w:hAnsi="Times New Roman" w:eastAsia="宋体" w:cs="Times New Roman"/>
          <w:b/>
          <w:bCs/>
          <w:caps w:val="0"/>
          <w:smallCaps w:val="0"/>
          <w:sz w:val="24"/>
          <w:szCs w:val="24"/>
          <w:u w:val="single"/>
        </w:rPr>
        <w:t>）考察区域</w:t>
      </w:r>
    </w:p>
    <w:p>
      <w:pPr>
        <w:pStyle w:val="2"/>
        <w:spacing w:line="340" w:lineRule="auto"/>
        <w:ind w:right="119" w:firstLine="480"/>
        <w:jc w:val="left"/>
        <w:rPr>
          <w:rFonts w:ascii="Times New Roman" w:hAnsi="Times New Roman" w:cs="Times New Roman"/>
          <w:caps w:val="0"/>
          <w:smallCaps w:val="0"/>
          <w:u w:val="single"/>
        </w:rPr>
      </w:pPr>
      <w:r>
        <w:rPr>
          <w:rFonts w:ascii="Times New Roman" w:hAnsi="Times New Roman" w:cs="Times New Roman"/>
          <w:caps w:val="0"/>
          <w:smallCaps w:val="0"/>
          <w:u w:val="single"/>
        </w:rPr>
        <w:t>工程区附近为主要考察区域，以码头所在水域上游</w:t>
      </w:r>
      <w:r>
        <w:rPr>
          <w:rFonts w:ascii="Times New Roman" w:hAnsi="Times New Roman" w:eastAsia="Times New Roman" w:cs="Times New Roman"/>
          <w:caps w:val="0"/>
          <w:smallCaps w:val="0"/>
          <w:u w:val="single"/>
        </w:rPr>
        <w:t>4km</w:t>
      </w:r>
      <w:r>
        <w:rPr>
          <w:rFonts w:ascii="Times New Roman" w:hAnsi="Times New Roman" w:cs="Times New Roman"/>
          <w:caps w:val="0"/>
          <w:smallCaps w:val="0"/>
          <w:u w:val="single"/>
        </w:rPr>
        <w:t>处的青山码头为起点，</w:t>
      </w:r>
      <w:r>
        <w:rPr>
          <w:rFonts w:ascii="Times New Roman" w:hAnsi="Times New Roman" w:cs="Times New Roman"/>
          <w:caps w:val="0"/>
          <w:smallCaps w:val="0"/>
          <w:spacing w:val="-1"/>
          <w:u w:val="single"/>
        </w:rPr>
        <w:t>磊石村为终点，全长约</w:t>
      </w:r>
      <w:r>
        <w:rPr>
          <w:rFonts w:ascii="Times New Roman" w:hAnsi="Times New Roman" w:eastAsia="Times New Roman" w:cs="Times New Roman"/>
          <w:caps w:val="0"/>
          <w:smallCaps w:val="0"/>
          <w:spacing w:val="-1"/>
          <w:u w:val="single"/>
        </w:rPr>
        <w:t>23km</w:t>
      </w:r>
      <w:r>
        <w:rPr>
          <w:rFonts w:ascii="Times New Roman" w:hAnsi="Times New Roman" w:cs="Times New Roman"/>
          <w:caps w:val="0"/>
          <w:smallCaps w:val="0"/>
          <w:spacing w:val="-1"/>
          <w:u w:val="single"/>
        </w:rPr>
        <w:t>，以掌握码头附近水域长江江豚活动规律及分布特征。</w:t>
      </w:r>
    </w:p>
    <w:p>
      <w:pPr>
        <w:pStyle w:val="9"/>
        <w:numPr>
          <w:ilvl w:val="5"/>
          <w:numId w:val="0"/>
        </w:numPr>
        <w:spacing w:before="28" w:line="240" w:lineRule="auto"/>
        <w:ind w:leftChars="200" w:right="0" w:rightChars="0"/>
        <w:jc w:val="left"/>
        <w:rPr>
          <w:rFonts w:ascii="Times New Roman" w:hAnsi="Times New Roman" w:cs="Times New Roman"/>
          <w:b w:val="0"/>
          <w:bCs w:val="0"/>
          <w:caps w:val="0"/>
          <w:smallCaps w:val="0"/>
          <w:u w:val="single"/>
        </w:rPr>
      </w:pPr>
      <w:r>
        <w:rPr>
          <w:rFonts w:ascii="Times New Roman" w:hAnsi="Times New Roman" w:eastAsia="Times New Roman" w:cs="Times New Roman"/>
          <w:caps w:val="0"/>
          <w:smallCaps w:val="0"/>
          <w:u w:val="single"/>
        </w:rPr>
        <w:t>2</w:t>
      </w:r>
      <w:r>
        <w:rPr>
          <w:rFonts w:ascii="Times New Roman" w:hAnsi="Times New Roman" w:cs="Times New Roman"/>
          <w:caps w:val="0"/>
          <w:smallCaps w:val="0"/>
          <w:u w:val="single"/>
        </w:rPr>
        <w:t>）考察时间</w:t>
      </w:r>
    </w:p>
    <w:p>
      <w:pPr>
        <w:pStyle w:val="2"/>
        <w:spacing w:line="340" w:lineRule="auto"/>
        <w:ind w:right="119" w:firstLine="480"/>
        <w:jc w:val="left"/>
        <w:rPr>
          <w:rFonts w:ascii="Times New Roman" w:hAnsi="Times New Roman" w:eastAsia="宋体" w:cs="Times New Roman"/>
          <w:caps w:val="0"/>
          <w:smallCaps w:val="0"/>
          <w:u w:val="single"/>
        </w:rPr>
      </w:pPr>
      <w:r>
        <w:rPr>
          <w:rFonts w:ascii="Times New Roman" w:hAnsi="Times New Roman" w:eastAsia="宋体" w:cs="Times New Roman"/>
          <w:caps w:val="0"/>
          <w:smallCaps w:val="0"/>
          <w:u w:val="single"/>
        </w:rPr>
        <w:t>本单位于2021年对评价区长江江豚进行了考察，考察时间为2021年9月17日-2021年9月19日。</w:t>
      </w:r>
    </w:p>
    <w:p>
      <w:pPr>
        <w:pStyle w:val="9"/>
        <w:numPr>
          <w:ilvl w:val="5"/>
          <w:numId w:val="0"/>
        </w:numPr>
        <w:spacing w:before="137" w:line="240" w:lineRule="auto"/>
        <w:ind w:leftChars="200" w:right="0" w:rightChars="0"/>
        <w:jc w:val="left"/>
        <w:rPr>
          <w:rFonts w:ascii="Times New Roman" w:hAnsi="Times New Roman" w:cs="Times New Roman"/>
          <w:b w:val="0"/>
          <w:bCs w:val="0"/>
          <w:caps w:val="0"/>
          <w:smallCaps w:val="0"/>
          <w:u w:val="single"/>
        </w:rPr>
      </w:pPr>
      <w:r>
        <w:rPr>
          <w:rFonts w:ascii="Times New Roman" w:hAnsi="Times New Roman" w:eastAsia="Times New Roman" w:cs="Times New Roman"/>
          <w:caps w:val="0"/>
          <w:smallCaps w:val="0"/>
          <w:u w:val="single"/>
        </w:rPr>
        <w:t>3</w:t>
      </w:r>
      <w:r>
        <w:rPr>
          <w:rFonts w:ascii="Times New Roman" w:hAnsi="Times New Roman" w:cs="Times New Roman"/>
          <w:caps w:val="0"/>
          <w:smallCaps w:val="0"/>
          <w:u w:val="single"/>
        </w:rPr>
        <w:t>）考察方法</w:t>
      </w:r>
    </w:p>
    <w:p>
      <w:pPr>
        <w:pStyle w:val="2"/>
        <w:spacing w:line="240" w:lineRule="auto"/>
        <w:ind w:right="0"/>
        <w:jc w:val="left"/>
        <w:rPr>
          <w:rFonts w:ascii="Times New Roman" w:hAnsi="Times New Roman" w:cs="Times New Roman"/>
          <w:caps w:val="0"/>
          <w:smallCaps w:val="0"/>
          <w:u w:val="single"/>
        </w:rPr>
      </w:pPr>
      <w:r>
        <w:rPr>
          <w:rFonts w:ascii="Times New Roman" w:hAnsi="Times New Roman" w:cs="Times New Roman"/>
          <w:caps w:val="0"/>
          <w:smallCaps w:val="0"/>
          <w:u w:val="single"/>
        </w:rPr>
        <w:t>①定点观测法</w:t>
      </w:r>
    </w:p>
    <w:p>
      <w:pPr>
        <w:pStyle w:val="2"/>
        <w:spacing w:before="29" w:line="357" w:lineRule="auto"/>
        <w:ind w:right="119"/>
        <w:jc w:val="left"/>
        <w:rPr>
          <w:rFonts w:ascii="Times New Roman" w:hAnsi="Times New Roman" w:cs="Times New Roman"/>
          <w:caps w:val="0"/>
          <w:smallCaps w:val="0"/>
          <w:u w:val="single"/>
        </w:rPr>
      </w:pPr>
      <w:r>
        <w:rPr>
          <w:rFonts w:ascii="Times New Roman" w:hAnsi="Times New Roman" w:cs="Times New Roman"/>
          <w:caps w:val="0"/>
          <w:smallCaps w:val="0"/>
          <w:u w:val="single"/>
        </w:rPr>
        <w:t>在工程区以定点观测的方式对长江江豚的活动情况进行记录，观测区设有</w:t>
      </w:r>
      <w:r>
        <w:rPr>
          <w:rFonts w:ascii="Times New Roman" w:hAnsi="Times New Roman" w:eastAsia="Times New Roman" w:cs="Times New Roman"/>
          <w:caps w:val="0"/>
          <w:smallCaps w:val="0"/>
          <w:u w:val="single"/>
        </w:rPr>
        <w:t>1</w:t>
      </w:r>
      <w:r>
        <w:rPr>
          <w:rFonts w:ascii="Times New Roman" w:hAnsi="Times New Roman" w:cs="Times New Roman"/>
          <w:caps w:val="0"/>
          <w:smallCaps w:val="0"/>
          <w:u w:val="single"/>
        </w:rPr>
        <w:t>位经过严格培训的观测者负责记录观测结果。观察员主要以肉眼进行观测，并辅助以望远镜进行观测</w:t>
      </w:r>
      <w:r>
        <w:rPr>
          <w:rFonts w:ascii="Times New Roman" w:hAnsi="Times New Roman" w:cs="Times New Roman"/>
          <w:caps w:val="0"/>
          <w:smallCaps w:val="0"/>
          <w:spacing w:val="-60"/>
          <w:u w:val="single"/>
        </w:rPr>
        <w:t>，</w:t>
      </w:r>
      <w:r>
        <w:rPr>
          <w:rFonts w:ascii="Times New Roman" w:hAnsi="Times New Roman" w:cs="Times New Roman"/>
          <w:caps w:val="0"/>
          <w:smallCaps w:val="0"/>
          <w:u w:val="single"/>
        </w:rPr>
        <w:t>观测方法为焦点动物采样法和连续采样法</w:t>
      </w:r>
      <w:r>
        <w:rPr>
          <w:rFonts w:ascii="Times New Roman" w:hAnsi="Times New Roman" w:cs="Times New Roman"/>
          <w:caps w:val="0"/>
          <w:smallCaps w:val="0"/>
          <w:spacing w:val="-60"/>
          <w:u w:val="single"/>
        </w:rPr>
        <w:t>，</w:t>
      </w:r>
      <w:r>
        <w:rPr>
          <w:rFonts w:ascii="Times New Roman" w:hAnsi="Times New Roman" w:cs="Times New Roman"/>
          <w:caps w:val="0"/>
          <w:smallCaps w:val="0"/>
          <w:u w:val="single"/>
        </w:rPr>
        <w:t>记录方法为连续记录，</w:t>
      </w:r>
      <w:r>
        <w:rPr>
          <w:rFonts w:ascii="Times New Roman" w:hAnsi="Times New Roman" w:cs="Times New Roman"/>
          <w:caps w:val="0"/>
          <w:smallCaps w:val="0"/>
          <w:spacing w:val="2"/>
          <w:u w:val="single"/>
        </w:rPr>
        <w:t>其中根据文献设定计当前群体消失</w:t>
      </w:r>
      <w:r>
        <w:rPr>
          <w:rFonts w:ascii="Times New Roman" w:hAnsi="Times New Roman" w:eastAsia="Times New Roman" w:cs="Times New Roman"/>
          <w:caps w:val="0"/>
          <w:smallCaps w:val="0"/>
          <w:u w:val="single"/>
        </w:rPr>
        <w:t>10</w:t>
      </w:r>
      <w:r>
        <w:rPr>
          <w:rFonts w:ascii="Times New Roman" w:hAnsi="Times New Roman" w:cs="Times New Roman"/>
          <w:caps w:val="0"/>
          <w:smallCaps w:val="0"/>
          <w:spacing w:val="2"/>
          <w:u w:val="single"/>
        </w:rPr>
        <w:t>分钟后再次出现的另一群体为新的长江江豚</w:t>
      </w:r>
      <w:r>
        <w:rPr>
          <w:rFonts w:ascii="Times New Roman" w:hAnsi="Times New Roman" w:cs="Times New Roman"/>
          <w:caps w:val="0"/>
          <w:smallCaps w:val="0"/>
          <w:u w:val="single"/>
        </w:rPr>
        <w:t>群体。定点观测位置选择在江边近岸，记录内容包括天气、温度、长江江豚头次、种群结构、出水时间、出水次数、消失时间等。定点观测一般记录时会发生个体重复，而个体重复出现的频率与其对生境偏好呈正相关，因此此种方法常用来研究长江江豚对生境的偏好选择性。</w:t>
      </w:r>
    </w:p>
    <w:p>
      <w:pPr>
        <w:pStyle w:val="2"/>
        <w:spacing w:before="38" w:line="361" w:lineRule="auto"/>
        <w:ind w:right="63"/>
        <w:jc w:val="left"/>
        <w:rPr>
          <w:rFonts w:ascii="Times New Roman" w:hAnsi="Times New Roman" w:cs="Times New Roman"/>
          <w:caps w:val="0"/>
          <w:smallCaps w:val="0"/>
          <w:u w:val="single"/>
        </w:rPr>
      </w:pPr>
      <w:r>
        <w:rPr>
          <w:rFonts w:ascii="Times New Roman" w:hAnsi="Times New Roman" w:cs="Times New Roman"/>
          <w:caps w:val="0"/>
          <w:smallCaps w:val="0"/>
          <w:u w:val="single"/>
        </w:rPr>
        <w:t>②截线抽样调查法长江江豚考察采用</w:t>
      </w:r>
      <w:r>
        <w:rPr>
          <w:rFonts w:ascii="Times New Roman" w:hAnsi="Times New Roman" w:eastAsia="Times New Roman" w:cs="Times New Roman"/>
          <w:caps w:val="0"/>
          <w:smallCaps w:val="0"/>
          <w:u w:val="single"/>
        </w:rPr>
        <w:t>“</w:t>
      </w:r>
      <w:r>
        <w:rPr>
          <w:rFonts w:ascii="Times New Roman" w:hAnsi="Times New Roman" w:cs="Times New Roman"/>
          <w:caps w:val="0"/>
          <w:smallCaps w:val="0"/>
          <w:u w:val="single"/>
        </w:rPr>
        <w:t>截线抽样调查法</w:t>
      </w:r>
      <w:r>
        <w:rPr>
          <w:rFonts w:ascii="Times New Roman" w:hAnsi="Times New Roman" w:eastAsia="Times New Roman" w:cs="Times New Roman"/>
          <w:caps w:val="0"/>
          <w:smallCaps w:val="0"/>
          <w:u w:val="single"/>
        </w:rPr>
        <w:t>”</w:t>
      </w:r>
      <w:r>
        <w:rPr>
          <w:rFonts w:ascii="Times New Roman" w:hAnsi="Times New Roman" w:cs="Times New Roman"/>
          <w:caps w:val="0"/>
          <w:smallCaps w:val="0"/>
          <w:u w:val="single"/>
        </w:rPr>
        <w:t>，考察起点为青山码头，终点为汨罗磊石村，往返全程约</w:t>
      </w:r>
      <w:r>
        <w:rPr>
          <w:rFonts w:ascii="Times New Roman" w:hAnsi="Times New Roman" w:eastAsia="Times New Roman" w:cs="Times New Roman"/>
          <w:caps w:val="0"/>
          <w:smallCaps w:val="0"/>
          <w:u w:val="single"/>
        </w:rPr>
        <w:t>46km</w:t>
      </w:r>
      <w:r>
        <w:rPr>
          <w:rFonts w:ascii="Times New Roman" w:hAnsi="Times New Roman" w:cs="Times New Roman"/>
          <w:caps w:val="0"/>
          <w:smallCaps w:val="0"/>
          <w:u w:val="single"/>
        </w:rPr>
        <w:t>，航速保持在</w:t>
      </w:r>
      <w:r>
        <w:rPr>
          <w:rFonts w:ascii="Times New Roman" w:hAnsi="Times New Roman" w:eastAsia="Times New Roman" w:cs="Times New Roman"/>
          <w:caps w:val="0"/>
          <w:smallCaps w:val="0"/>
          <w:u w:val="single"/>
        </w:rPr>
        <w:t>10</w:t>
      </w:r>
      <w:r>
        <w:rPr>
          <w:rFonts w:ascii="Times New Roman" w:hAnsi="Times New Roman" w:cs="Times New Roman"/>
          <w:caps w:val="0"/>
          <w:smallCaps w:val="0"/>
          <w:u w:val="single"/>
        </w:rPr>
        <w:t>～</w:t>
      </w:r>
      <w:r>
        <w:rPr>
          <w:rFonts w:ascii="Times New Roman" w:hAnsi="Times New Roman" w:eastAsia="Times New Roman" w:cs="Times New Roman"/>
          <w:caps w:val="0"/>
          <w:smallCaps w:val="0"/>
          <w:u w:val="single"/>
        </w:rPr>
        <w:t>15km/h</w:t>
      </w:r>
      <w:r>
        <w:rPr>
          <w:rFonts w:ascii="Times New Roman" w:hAnsi="Times New Roman" w:cs="Times New Roman"/>
          <w:caps w:val="0"/>
          <w:smallCaps w:val="0"/>
          <w:u w:val="single"/>
        </w:rPr>
        <w:t>，沿着主航道进行长江江豚的数量调查。调查时，由</w:t>
      </w:r>
      <w:r>
        <w:rPr>
          <w:rFonts w:ascii="Times New Roman" w:hAnsi="Times New Roman" w:eastAsia="Times New Roman" w:cs="Times New Roman"/>
          <w:caps w:val="0"/>
          <w:smallCaps w:val="0"/>
          <w:u w:val="single"/>
        </w:rPr>
        <w:t>4</w:t>
      </w:r>
      <w:r>
        <w:rPr>
          <w:rFonts w:ascii="Times New Roman" w:hAnsi="Times New Roman" w:cs="Times New Roman"/>
          <w:caps w:val="0"/>
          <w:smallCaps w:val="0"/>
          <w:u w:val="single"/>
        </w:rPr>
        <w:t>名观察员负责观察和记录。船的前部为观察点，船左右两侧各</w:t>
      </w:r>
      <w:r>
        <w:rPr>
          <w:rFonts w:ascii="Times New Roman" w:hAnsi="Times New Roman" w:cs="Times New Roman"/>
          <w:caps w:val="0"/>
          <w:smallCaps w:val="0"/>
          <w:spacing w:val="-1"/>
          <w:u w:val="single"/>
        </w:rPr>
        <w:t>有一名经过严格训练的观察员，主要观察前方</w:t>
      </w:r>
      <w:r>
        <w:rPr>
          <w:rFonts w:ascii="Times New Roman" w:hAnsi="Times New Roman" w:eastAsia="Times New Roman" w:cs="Times New Roman"/>
          <w:caps w:val="0"/>
          <w:smallCaps w:val="0"/>
          <w:spacing w:val="-1"/>
          <w:u w:val="single"/>
        </w:rPr>
        <w:t>180°</w:t>
      </w:r>
      <w:r>
        <w:rPr>
          <w:rFonts w:ascii="Times New Roman" w:hAnsi="Times New Roman" w:cs="Times New Roman"/>
          <w:caps w:val="0"/>
          <w:smallCaps w:val="0"/>
          <w:spacing w:val="-1"/>
          <w:u w:val="single"/>
        </w:rPr>
        <w:t>的区域，中间是一名以记录为主</w:t>
      </w:r>
      <w:r>
        <w:rPr>
          <w:rFonts w:ascii="Times New Roman" w:hAnsi="Times New Roman" w:cs="Times New Roman"/>
          <w:caps w:val="0"/>
          <w:smallCaps w:val="0"/>
          <w:spacing w:val="2"/>
          <w:u w:val="single"/>
        </w:rPr>
        <w:t>的观察员，主要负责船正前方和左右各</w:t>
      </w:r>
      <w:r>
        <w:rPr>
          <w:rFonts w:ascii="Times New Roman" w:hAnsi="Times New Roman" w:eastAsia="Times New Roman" w:cs="Times New Roman"/>
          <w:caps w:val="0"/>
          <w:smallCaps w:val="0"/>
          <w:spacing w:val="1"/>
          <w:u w:val="single"/>
        </w:rPr>
        <w:t>45°</w:t>
      </w:r>
      <w:r>
        <w:rPr>
          <w:rFonts w:ascii="Times New Roman" w:hAnsi="Times New Roman" w:cs="Times New Roman"/>
          <w:caps w:val="0"/>
          <w:smallCaps w:val="0"/>
          <w:spacing w:val="1"/>
          <w:u w:val="single"/>
        </w:rPr>
        <w:t>的范围的观察，第</w:t>
      </w:r>
      <w:r>
        <w:rPr>
          <w:rFonts w:ascii="Times New Roman" w:hAnsi="Times New Roman" w:eastAsia="Times New Roman" w:cs="Times New Roman"/>
          <w:caps w:val="0"/>
          <w:smallCaps w:val="0"/>
          <w:u w:val="single"/>
        </w:rPr>
        <w:t>4</w:t>
      </w:r>
      <w:r>
        <w:rPr>
          <w:rFonts w:ascii="Times New Roman" w:hAnsi="Times New Roman" w:cs="Times New Roman"/>
          <w:caps w:val="0"/>
          <w:smallCaps w:val="0"/>
          <w:spacing w:val="1"/>
          <w:u w:val="single"/>
        </w:rPr>
        <w:t>人位于前</w:t>
      </w:r>
      <w:r>
        <w:rPr>
          <w:rFonts w:ascii="Times New Roman" w:hAnsi="Times New Roman" w:eastAsia="Times New Roman" w:cs="Times New Roman"/>
          <w:caps w:val="0"/>
          <w:smallCaps w:val="0"/>
          <w:u w:val="single"/>
        </w:rPr>
        <w:t>3</w:t>
      </w:r>
      <w:r>
        <w:rPr>
          <w:rFonts w:ascii="Times New Roman" w:hAnsi="Times New Roman" w:cs="Times New Roman"/>
          <w:caps w:val="0"/>
          <w:smallCaps w:val="0"/>
          <w:spacing w:val="1"/>
          <w:u w:val="single"/>
        </w:rPr>
        <w:t>名观察</w:t>
      </w:r>
      <w:r>
        <w:rPr>
          <w:rFonts w:ascii="Times New Roman" w:hAnsi="Times New Roman" w:cs="Times New Roman"/>
          <w:caps w:val="0"/>
          <w:smallCaps w:val="0"/>
          <w:spacing w:val="-2"/>
          <w:u w:val="single"/>
        </w:rPr>
        <w:t>员身后，计数未被前面</w:t>
      </w:r>
      <w:r>
        <w:rPr>
          <w:rFonts w:ascii="Times New Roman" w:hAnsi="Times New Roman" w:eastAsia="Times New Roman" w:cs="Times New Roman"/>
          <w:caps w:val="0"/>
          <w:smallCaps w:val="0"/>
          <w:u w:val="single"/>
        </w:rPr>
        <w:t>3</w:t>
      </w:r>
      <w:r>
        <w:rPr>
          <w:rFonts w:ascii="Times New Roman" w:hAnsi="Times New Roman" w:cs="Times New Roman"/>
          <w:caps w:val="0"/>
          <w:smallCaps w:val="0"/>
          <w:spacing w:val="-1"/>
          <w:u w:val="single"/>
        </w:rPr>
        <w:t>人观察到的长江江豚数量，作为</w:t>
      </w:r>
      <w:r>
        <w:rPr>
          <w:rFonts w:ascii="Times New Roman" w:hAnsi="Times New Roman" w:eastAsia="Times New Roman" w:cs="Times New Roman"/>
          <w:caps w:val="0"/>
          <w:smallCaps w:val="0"/>
          <w:spacing w:val="-1"/>
          <w:u w:val="single"/>
        </w:rPr>
        <w:t>G(0)</w:t>
      </w:r>
      <w:r>
        <w:rPr>
          <w:rFonts w:ascii="Times New Roman" w:hAnsi="Times New Roman" w:cs="Times New Roman"/>
          <w:caps w:val="0"/>
          <w:smallCaps w:val="0"/>
          <w:spacing w:val="-1"/>
          <w:u w:val="single"/>
        </w:rPr>
        <w:t>估计使用（考察的假</w:t>
      </w:r>
      <w:r>
        <w:rPr>
          <w:rFonts w:ascii="Times New Roman" w:hAnsi="Times New Roman" w:cs="Times New Roman"/>
          <w:caps w:val="0"/>
          <w:smallCaps w:val="0"/>
          <w:u w:val="single"/>
        </w:rPr>
        <w:t>设之一就是在截线上的所有动物都被观察者发现，事实上这个不可能，因此我们引入</w:t>
      </w:r>
      <w:r>
        <w:rPr>
          <w:rFonts w:ascii="Times New Roman" w:hAnsi="Times New Roman" w:eastAsia="Times New Roman" w:cs="Times New Roman"/>
          <w:caps w:val="0"/>
          <w:smallCaps w:val="0"/>
          <w:spacing w:val="-1"/>
          <w:u w:val="single"/>
        </w:rPr>
        <w:t>G(</w:t>
      </w:r>
      <w:r>
        <w:rPr>
          <w:rFonts w:ascii="Times New Roman" w:hAnsi="Times New Roman" w:eastAsia="Times New Roman" w:cs="Times New Roman"/>
          <w:caps w:val="0"/>
          <w:smallCaps w:val="0"/>
          <w:u w:val="single"/>
        </w:rPr>
        <w:t>0</w:t>
      </w:r>
      <w:r>
        <w:rPr>
          <w:rFonts w:ascii="Times New Roman" w:hAnsi="Times New Roman" w:eastAsia="Times New Roman" w:cs="Times New Roman"/>
          <w:caps w:val="0"/>
          <w:smallCaps w:val="0"/>
          <w:spacing w:val="1"/>
          <w:u w:val="single"/>
        </w:rPr>
        <w:t>)</w:t>
      </w:r>
      <w:r>
        <w:rPr>
          <w:rFonts w:ascii="Times New Roman" w:hAnsi="Times New Roman" w:cs="Times New Roman"/>
          <w:caps w:val="0"/>
          <w:smallCaps w:val="0"/>
          <w:u w:val="single"/>
        </w:rPr>
        <w:t>值对观察的结</w:t>
      </w:r>
      <w:r>
        <w:rPr>
          <w:rFonts w:ascii="Times New Roman" w:hAnsi="Times New Roman" w:cs="Times New Roman"/>
          <w:caps w:val="0"/>
          <w:smallCaps w:val="0"/>
          <w:spacing w:val="2"/>
          <w:u w:val="single"/>
        </w:rPr>
        <w:t>果</w:t>
      </w:r>
      <w:r>
        <w:rPr>
          <w:rFonts w:ascii="Times New Roman" w:hAnsi="Times New Roman" w:cs="Times New Roman"/>
          <w:caps w:val="0"/>
          <w:smallCaps w:val="0"/>
          <w:u w:val="single"/>
        </w:rPr>
        <w:t>进行校正</w:t>
      </w:r>
      <w:r>
        <w:rPr>
          <w:rFonts w:ascii="Times New Roman" w:hAnsi="Times New Roman" w:cs="Times New Roman"/>
          <w:caps w:val="0"/>
          <w:smallCaps w:val="0"/>
          <w:spacing w:val="-44"/>
          <w:u w:val="single"/>
        </w:rPr>
        <w:t>）。</w:t>
      </w:r>
      <w:r>
        <w:rPr>
          <w:rFonts w:ascii="Times New Roman" w:hAnsi="Times New Roman" w:cs="Times New Roman"/>
          <w:caps w:val="0"/>
          <w:smallCaps w:val="0"/>
          <w:u w:val="single"/>
        </w:rPr>
        <w:t>当发现长江江豚时</w:t>
      </w:r>
      <w:r>
        <w:rPr>
          <w:rFonts w:ascii="Times New Roman" w:hAnsi="Times New Roman" w:cs="Times New Roman"/>
          <w:caps w:val="0"/>
          <w:smallCaps w:val="0"/>
          <w:spacing w:val="-44"/>
          <w:u w:val="single"/>
        </w:rPr>
        <w:t>，</w:t>
      </w:r>
      <w:r>
        <w:rPr>
          <w:rFonts w:ascii="Times New Roman" w:hAnsi="Times New Roman" w:cs="Times New Roman"/>
          <w:caps w:val="0"/>
          <w:smallCaps w:val="0"/>
          <w:u w:val="single"/>
        </w:rPr>
        <w:t>记录发现时</w:t>
      </w:r>
      <w:r>
        <w:rPr>
          <w:rFonts w:ascii="Times New Roman" w:hAnsi="Times New Roman" w:cs="Times New Roman"/>
          <w:caps w:val="0"/>
          <w:smallCaps w:val="0"/>
          <w:spacing w:val="2"/>
          <w:u w:val="single"/>
        </w:rPr>
        <w:t>间</w:t>
      </w:r>
      <w:r>
        <w:rPr>
          <w:rFonts w:ascii="Times New Roman" w:hAnsi="Times New Roman" w:cs="Times New Roman"/>
          <w:caps w:val="0"/>
          <w:smallCaps w:val="0"/>
          <w:spacing w:val="-44"/>
          <w:u w:val="single"/>
        </w:rPr>
        <w:t>、</w:t>
      </w:r>
      <w:r>
        <w:rPr>
          <w:rFonts w:ascii="Times New Roman" w:hAnsi="Times New Roman" w:eastAsia="Times New Roman" w:cs="Times New Roman"/>
          <w:caps w:val="0"/>
          <w:smallCaps w:val="0"/>
          <w:spacing w:val="-1"/>
          <w:u w:val="single"/>
        </w:rPr>
        <w:t>G</w:t>
      </w:r>
      <w:r>
        <w:rPr>
          <w:rFonts w:ascii="Times New Roman" w:hAnsi="Times New Roman" w:eastAsia="Times New Roman" w:cs="Times New Roman"/>
          <w:caps w:val="0"/>
          <w:smallCaps w:val="0"/>
          <w:u w:val="single"/>
        </w:rPr>
        <w:t>PS</w:t>
      </w:r>
      <w:r>
        <w:rPr>
          <w:rFonts w:ascii="Times New Roman" w:hAnsi="Times New Roman" w:cs="Times New Roman"/>
          <w:caps w:val="0"/>
          <w:smallCaps w:val="0"/>
          <w:u w:val="single"/>
        </w:rPr>
        <w:t>位置、群体大小</w:t>
      </w:r>
      <w:r>
        <w:rPr>
          <w:rFonts w:ascii="Times New Roman" w:hAnsi="Times New Roman" w:cs="Times New Roman"/>
          <w:caps w:val="0"/>
          <w:smallCaps w:val="0"/>
          <w:spacing w:val="-80"/>
          <w:u w:val="single"/>
        </w:rPr>
        <w:t>、</w:t>
      </w:r>
      <w:r>
        <w:rPr>
          <w:rFonts w:ascii="Times New Roman" w:hAnsi="Times New Roman" w:cs="Times New Roman"/>
          <w:caps w:val="0"/>
          <w:smallCaps w:val="0"/>
          <w:u w:val="single"/>
        </w:rPr>
        <w:t>长江江豚距观察者距离</w:t>
      </w:r>
      <w:r>
        <w:rPr>
          <w:rFonts w:ascii="Times New Roman" w:hAnsi="Times New Roman" w:cs="Times New Roman"/>
          <w:caps w:val="0"/>
          <w:smallCaps w:val="0"/>
          <w:spacing w:val="-82"/>
          <w:u w:val="single"/>
        </w:rPr>
        <w:t>、</w:t>
      </w:r>
      <w:r>
        <w:rPr>
          <w:rFonts w:ascii="Times New Roman" w:hAnsi="Times New Roman" w:cs="Times New Roman"/>
          <w:caps w:val="0"/>
          <w:smallCaps w:val="0"/>
          <w:u w:val="single"/>
        </w:rPr>
        <w:t>动物与观察者之间的连线与船行方向的夹</w:t>
      </w:r>
      <w:r>
        <w:rPr>
          <w:rFonts w:ascii="Times New Roman" w:hAnsi="Times New Roman" w:cs="Times New Roman"/>
          <w:caps w:val="0"/>
          <w:smallCaps w:val="0"/>
          <w:spacing w:val="-80"/>
          <w:u w:val="single"/>
        </w:rPr>
        <w:t>角</w:t>
      </w:r>
      <w:r>
        <w:rPr>
          <w:rFonts w:ascii="Times New Roman" w:hAnsi="Times New Roman" w:cs="Times New Roman"/>
          <w:caps w:val="0"/>
          <w:smallCaps w:val="0"/>
          <w:u w:val="single"/>
        </w:rPr>
        <w:t>（左为负角，右为正角）、船岸之间距离、动物到岸距离。</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同时</w:t>
      </w:r>
      <w:r>
        <w:rPr>
          <w:rFonts w:ascii="Times New Roman" w:hAnsi="Times New Roman" w:cs="Times New Roman"/>
          <w:caps w:val="0"/>
          <w:smallCaps w:val="0"/>
          <w:spacing w:val="-24"/>
          <w:u w:val="single"/>
        </w:rPr>
        <w:t>，</w:t>
      </w:r>
      <w:r>
        <w:rPr>
          <w:rFonts w:ascii="Times New Roman" w:hAnsi="Times New Roman" w:cs="Times New Roman"/>
          <w:caps w:val="0"/>
          <w:smallCaps w:val="0"/>
          <w:u w:val="single"/>
        </w:rPr>
        <w:t>每</w:t>
      </w:r>
      <w:r>
        <w:rPr>
          <w:rFonts w:ascii="Times New Roman" w:hAnsi="Times New Roman" w:eastAsia="Times New Roman" w:cs="Times New Roman"/>
          <w:caps w:val="0"/>
          <w:smallCaps w:val="0"/>
          <w:u w:val="single"/>
        </w:rPr>
        <w:t>10</w:t>
      </w:r>
      <w:r>
        <w:rPr>
          <w:rFonts w:ascii="Times New Roman" w:hAnsi="Times New Roman" w:eastAsia="Times New Roman" w:cs="Times New Roman"/>
          <w:caps w:val="0"/>
          <w:smallCaps w:val="0"/>
          <w:spacing w:val="-1"/>
          <w:u w:val="single"/>
        </w:rPr>
        <w:t xml:space="preserve"> </w:t>
      </w:r>
      <w:r>
        <w:rPr>
          <w:rFonts w:ascii="Times New Roman" w:hAnsi="Times New Roman" w:eastAsia="Times New Roman" w:cs="Times New Roman"/>
          <w:caps w:val="0"/>
          <w:smallCaps w:val="0"/>
          <w:u w:val="single"/>
        </w:rPr>
        <w:t>min</w:t>
      </w:r>
      <w:r>
        <w:rPr>
          <w:rFonts w:ascii="Times New Roman" w:hAnsi="Times New Roman" w:cs="Times New Roman"/>
          <w:caps w:val="0"/>
          <w:smallCaps w:val="0"/>
          <w:u w:val="single"/>
        </w:rPr>
        <w:t>或船行路线变化时需要记录</w:t>
      </w:r>
      <w:r>
        <w:rPr>
          <w:rFonts w:ascii="Times New Roman" w:hAnsi="Times New Roman" w:cs="Times New Roman"/>
          <w:caps w:val="0"/>
          <w:smallCaps w:val="0"/>
          <w:spacing w:val="2"/>
          <w:u w:val="single"/>
        </w:rPr>
        <w:t>以</w:t>
      </w:r>
      <w:r>
        <w:rPr>
          <w:rFonts w:ascii="Times New Roman" w:hAnsi="Times New Roman" w:cs="Times New Roman"/>
          <w:caps w:val="0"/>
          <w:smallCaps w:val="0"/>
          <w:u w:val="single"/>
        </w:rPr>
        <w:t>下数据</w:t>
      </w:r>
      <w:r>
        <w:rPr>
          <w:rFonts w:ascii="Times New Roman" w:hAnsi="Times New Roman" w:cs="Times New Roman"/>
          <w:caps w:val="0"/>
          <w:smallCaps w:val="0"/>
          <w:spacing w:val="-24"/>
          <w:u w:val="single"/>
        </w:rPr>
        <w:t>：</w:t>
      </w:r>
      <w:r>
        <w:rPr>
          <w:rFonts w:ascii="Times New Roman" w:hAnsi="Times New Roman" w:cs="Times New Roman"/>
          <w:caps w:val="0"/>
          <w:smallCaps w:val="0"/>
          <w:u w:val="single"/>
        </w:rPr>
        <w:t>船距最近岸的距</w:t>
      </w:r>
      <w:r>
        <w:rPr>
          <w:rFonts w:ascii="Times New Roman" w:hAnsi="Times New Roman" w:cs="Times New Roman"/>
          <w:caps w:val="0"/>
          <w:smallCaps w:val="0"/>
          <w:spacing w:val="-1"/>
          <w:u w:val="single"/>
        </w:rPr>
        <w:t>离</w:t>
      </w:r>
      <w:r>
        <w:rPr>
          <w:rFonts w:ascii="Times New Roman" w:hAnsi="Times New Roman" w:cs="Times New Roman"/>
          <w:caps w:val="0"/>
          <w:smallCaps w:val="0"/>
          <w:spacing w:val="-24"/>
          <w:u w:val="single"/>
        </w:rPr>
        <w:t>、</w:t>
      </w:r>
      <w:r>
        <w:rPr>
          <w:rFonts w:ascii="Times New Roman" w:hAnsi="Times New Roman" w:cs="Times New Roman"/>
          <w:caps w:val="0"/>
          <w:smallCaps w:val="0"/>
          <w:u w:val="single"/>
        </w:rPr>
        <w:t>船</w:t>
      </w:r>
      <w:r>
        <w:rPr>
          <w:rFonts w:ascii="Times New Roman" w:hAnsi="Times New Roman" w:cs="Times New Roman"/>
          <w:caps w:val="0"/>
          <w:smallCaps w:val="0"/>
          <w:spacing w:val="-2"/>
          <w:u w:val="single"/>
        </w:rPr>
        <w:t>距哪边岸更近（左</w:t>
      </w:r>
      <w:r>
        <w:rPr>
          <w:rFonts w:ascii="Times New Roman" w:hAnsi="Times New Roman" w:eastAsia="Times New Roman" w:cs="Times New Roman"/>
          <w:caps w:val="0"/>
          <w:smallCaps w:val="0"/>
          <w:spacing w:val="-2"/>
          <w:u w:val="single"/>
        </w:rPr>
        <w:t>/</w:t>
      </w:r>
      <w:r>
        <w:rPr>
          <w:rFonts w:ascii="Times New Roman" w:hAnsi="Times New Roman" w:cs="Times New Roman"/>
          <w:caps w:val="0"/>
          <w:smallCaps w:val="0"/>
          <w:spacing w:val="-2"/>
          <w:u w:val="single"/>
        </w:rPr>
        <w:t>右）、船行方向、船行速度等。当天气变化时，需要记录变化当</w:t>
      </w:r>
      <w:r>
        <w:rPr>
          <w:rFonts w:ascii="Times New Roman" w:hAnsi="Times New Roman" w:cs="Times New Roman"/>
          <w:caps w:val="0"/>
          <w:smallCaps w:val="0"/>
          <w:spacing w:val="-1"/>
          <w:u w:val="single"/>
        </w:rPr>
        <w:t>时的时间和地点以及变化情况（雨、雾、风、能见度变化等）。</w:t>
      </w:r>
      <w:r>
        <w:rPr>
          <w:rFonts w:ascii="Times New Roman" w:hAnsi="Times New Roman" w:eastAsia="Times New Roman" w:cs="Times New Roman"/>
          <w:caps w:val="0"/>
          <w:smallCaps w:val="0"/>
          <w:spacing w:val="-1"/>
          <w:u w:val="single"/>
        </w:rPr>
        <w:t>GPS</w:t>
      </w:r>
      <w:r>
        <w:rPr>
          <w:rFonts w:ascii="Times New Roman" w:hAnsi="Times New Roman" w:cs="Times New Roman"/>
          <w:caps w:val="0"/>
          <w:smallCaps w:val="0"/>
          <w:u w:val="single"/>
        </w:rPr>
        <w:t>接收机实时记录船的航迹，在考察结束下载到电脑中。</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drawing>
          <wp:inline distT="0" distB="0" distL="114300" distR="114300">
            <wp:extent cx="4892675" cy="2786380"/>
            <wp:effectExtent l="0" t="0" r="3175" b="1397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52"/>
                    <a:stretch>
                      <a:fillRect/>
                    </a:stretch>
                  </pic:blipFill>
                  <pic:spPr>
                    <a:xfrm>
                      <a:off x="0" y="0"/>
                      <a:ext cx="4892675" cy="2786380"/>
                    </a:xfrm>
                    <a:prstGeom prst="rect">
                      <a:avLst/>
                    </a:prstGeom>
                    <a:noFill/>
                    <a:ln>
                      <a:noFill/>
                    </a:ln>
                  </pic:spPr>
                </pic:pic>
              </a:graphicData>
            </a:graphic>
          </wp:inline>
        </w:drawing>
      </w:r>
    </w:p>
    <w:p>
      <w:pPr>
        <w:pStyle w:val="60"/>
        <w:rPr>
          <w:rFonts w:ascii="Times New Roman" w:hAnsi="Times New Roman" w:cs="Times New Roman"/>
          <w:caps w:val="0"/>
          <w:smallCaps w:val="0"/>
          <w:spacing w:val="1"/>
          <w:w w:val="95"/>
          <w:u w:val="single"/>
        </w:rPr>
      </w:pPr>
    </w:p>
    <w:p>
      <w:pPr>
        <w:pStyle w:val="9"/>
        <w:numPr>
          <w:ilvl w:val="5"/>
          <w:numId w:val="0"/>
        </w:numPr>
        <w:spacing w:before="29" w:line="240" w:lineRule="auto"/>
        <w:ind w:leftChars="200" w:right="0" w:rightChars="0"/>
        <w:jc w:val="center"/>
        <w:rPr>
          <w:rFonts w:ascii="Times New Roman" w:hAnsi="Times New Roman" w:cs="Times New Roman"/>
          <w:b w:val="0"/>
          <w:bCs w:val="0"/>
          <w:caps w:val="0"/>
          <w:smallCaps w:val="0"/>
          <w:u w:val="single"/>
        </w:rPr>
      </w:pPr>
      <w:r>
        <w:rPr>
          <w:rFonts w:ascii="Times New Roman" w:hAnsi="Times New Roman" w:eastAsia="Times New Roman" w:cs="Times New Roman"/>
          <w:caps w:val="0"/>
          <w:smallCaps w:val="0"/>
          <w:spacing w:val="-1"/>
          <w:u w:val="single"/>
        </w:rPr>
        <w:t>4-</w:t>
      </w:r>
      <w:r>
        <w:rPr>
          <w:rFonts w:hint="eastAsia" w:ascii="Times New Roman" w:hAnsi="Times New Roman" w:eastAsia="宋体" w:cs="Times New Roman"/>
          <w:caps w:val="0"/>
          <w:smallCaps w:val="0"/>
          <w:spacing w:val="-1"/>
          <w:u w:val="single"/>
          <w:lang w:val="en-US" w:eastAsia="zh-CN"/>
        </w:rPr>
        <w:t>7</w:t>
      </w:r>
      <w:r>
        <w:rPr>
          <w:rFonts w:ascii="Times New Roman" w:hAnsi="Times New Roman" w:cs="Times New Roman"/>
          <w:caps w:val="0"/>
          <w:smallCaps w:val="0"/>
          <w:u w:val="single"/>
        </w:rPr>
        <w:t>截线抽样法考察中主要观察者负责观察的水域</w:t>
      </w:r>
    </w:p>
    <w:p>
      <w:pPr>
        <w:pStyle w:val="60"/>
        <w:rPr>
          <w:rFonts w:ascii="Times New Roman" w:hAnsi="Times New Roman" w:cs="Times New Roman"/>
          <w:caps w:val="0"/>
          <w:smallCaps w:val="0"/>
          <w:spacing w:val="1"/>
          <w:w w:val="95"/>
          <w:u w:val="single"/>
        </w:rPr>
      </w:pPr>
    </w:p>
    <w:p>
      <w:pPr>
        <w:spacing w:before="139"/>
        <w:ind w:right="0"/>
        <w:jc w:val="left"/>
        <w:rPr>
          <w:rFonts w:ascii="Times New Roman" w:hAnsi="Times New Roman" w:eastAsia="宋体" w:cs="Times New Roman"/>
          <w:caps w:val="0"/>
          <w:smallCaps w:val="0"/>
          <w:sz w:val="24"/>
          <w:szCs w:val="24"/>
          <w:u w:val="single"/>
        </w:rPr>
      </w:pPr>
      <w:r>
        <w:rPr>
          <w:rFonts w:ascii="Times New Roman" w:hAnsi="Times New Roman" w:eastAsia="宋体" w:cs="Times New Roman"/>
          <w:b/>
          <w:bCs/>
          <w:caps w:val="0"/>
          <w:smallCaps w:val="0"/>
          <w:sz w:val="24"/>
          <w:szCs w:val="24"/>
          <w:u w:val="single"/>
        </w:rPr>
        <w:t>（</w:t>
      </w:r>
      <w:r>
        <w:rPr>
          <w:rFonts w:ascii="Times New Roman" w:hAnsi="Times New Roman" w:eastAsia="Times New Roman" w:cs="Times New Roman"/>
          <w:b/>
          <w:bCs/>
          <w:caps w:val="0"/>
          <w:smallCaps w:val="0"/>
          <w:sz w:val="24"/>
          <w:szCs w:val="24"/>
          <w:u w:val="single"/>
        </w:rPr>
        <w:t>2</w:t>
      </w:r>
      <w:r>
        <w:rPr>
          <w:rFonts w:ascii="Times New Roman" w:hAnsi="Times New Roman" w:eastAsia="宋体" w:cs="Times New Roman"/>
          <w:b/>
          <w:bCs/>
          <w:caps w:val="0"/>
          <w:smallCaps w:val="0"/>
          <w:sz w:val="24"/>
          <w:szCs w:val="24"/>
          <w:u w:val="single"/>
        </w:rPr>
        <w:t>）浮游植物</w:t>
      </w:r>
    </w:p>
    <w:p>
      <w:pPr>
        <w:pStyle w:val="2"/>
        <w:spacing w:line="347" w:lineRule="auto"/>
        <w:ind w:right="119" w:firstLine="480"/>
        <w:jc w:val="left"/>
        <w:rPr>
          <w:rFonts w:ascii="Times New Roman" w:hAnsi="Times New Roman" w:cs="Times New Roman"/>
          <w:caps w:val="0"/>
          <w:smallCaps w:val="0"/>
          <w:u w:val="single"/>
        </w:rPr>
      </w:pPr>
      <w:r>
        <w:rPr>
          <w:rFonts w:ascii="Times New Roman" w:hAnsi="Times New Roman" w:cs="Times New Roman"/>
          <w:caps w:val="0"/>
          <w:smallCaps w:val="0"/>
          <w:u w:val="single"/>
        </w:rPr>
        <w:t>浮游植物的采集包括定性采集和定量采集</w:t>
      </w:r>
      <w:r>
        <w:rPr>
          <w:rFonts w:ascii="Times New Roman" w:hAnsi="Times New Roman" w:cs="Times New Roman"/>
          <w:caps w:val="0"/>
          <w:smallCaps w:val="0"/>
          <w:spacing w:val="-120"/>
          <w:u w:val="single"/>
        </w:rPr>
        <w:t>。</w:t>
      </w:r>
      <w:r>
        <w:rPr>
          <w:rFonts w:ascii="Times New Roman" w:hAnsi="Times New Roman" w:cs="Times New Roman"/>
          <w:caps w:val="0"/>
          <w:smallCaps w:val="0"/>
          <w:u w:val="single"/>
        </w:rPr>
        <w:t>定性采集采用</w:t>
      </w:r>
      <w:r>
        <w:rPr>
          <w:rFonts w:ascii="Times New Roman" w:hAnsi="Times New Roman" w:eastAsia="Times New Roman" w:cs="Times New Roman"/>
          <w:caps w:val="0"/>
          <w:smallCaps w:val="0"/>
          <w:u w:val="single"/>
        </w:rPr>
        <w:t>25</w:t>
      </w:r>
      <w:r>
        <w:rPr>
          <w:rFonts w:ascii="Times New Roman" w:hAnsi="Times New Roman" w:cs="Times New Roman"/>
          <w:caps w:val="0"/>
          <w:smallCaps w:val="0"/>
          <w:u w:val="single"/>
        </w:rPr>
        <w:t>号筛绢制成的浮游生物网在水中拖曳采集</w:t>
      </w:r>
      <w:r>
        <w:rPr>
          <w:rFonts w:ascii="Times New Roman" w:hAnsi="Times New Roman" w:cs="Times New Roman"/>
          <w:caps w:val="0"/>
          <w:smallCaps w:val="0"/>
          <w:spacing w:val="-60"/>
          <w:u w:val="single"/>
        </w:rPr>
        <w:t>。</w:t>
      </w:r>
      <w:r>
        <w:rPr>
          <w:rFonts w:ascii="Times New Roman" w:hAnsi="Times New Roman" w:cs="Times New Roman"/>
          <w:caps w:val="0"/>
          <w:smallCaps w:val="0"/>
          <w:u w:val="single"/>
        </w:rPr>
        <w:t>根据江水泥沙含量</w:t>
      </w:r>
      <w:r>
        <w:rPr>
          <w:rFonts w:ascii="Times New Roman" w:hAnsi="Times New Roman" w:cs="Times New Roman"/>
          <w:caps w:val="0"/>
          <w:smallCaps w:val="0"/>
          <w:spacing w:val="-60"/>
          <w:u w:val="single"/>
        </w:rPr>
        <w:t>、</w:t>
      </w:r>
      <w:r>
        <w:rPr>
          <w:rFonts w:ascii="Times New Roman" w:hAnsi="Times New Roman" w:cs="Times New Roman"/>
          <w:caps w:val="0"/>
          <w:smallCaps w:val="0"/>
          <w:u w:val="single"/>
        </w:rPr>
        <w:t>浮游植物数量等实际情况决定取样量，并采用泥沙分离的方法，加入鲁哥氏液固定，经过</w:t>
      </w:r>
      <w:r>
        <w:rPr>
          <w:rFonts w:ascii="Times New Roman" w:hAnsi="Times New Roman" w:eastAsia="Times New Roman" w:cs="Times New Roman"/>
          <w:caps w:val="0"/>
          <w:smallCaps w:val="0"/>
          <w:u w:val="single"/>
        </w:rPr>
        <w:t>48h</w:t>
      </w:r>
      <w:r>
        <w:rPr>
          <w:rFonts w:ascii="Times New Roman" w:hAnsi="Times New Roman" w:cs="Times New Roman"/>
          <w:caps w:val="0"/>
          <w:smallCaps w:val="0"/>
          <w:u w:val="single"/>
        </w:rPr>
        <w:t>静置沉淀，浓缩至约</w:t>
      </w:r>
      <w:r>
        <w:rPr>
          <w:rFonts w:ascii="Times New Roman" w:hAnsi="Times New Roman" w:eastAsia="Times New Roman" w:cs="Times New Roman"/>
          <w:caps w:val="0"/>
          <w:smallCaps w:val="0"/>
          <w:u w:val="single"/>
        </w:rPr>
        <w:t>30ml</w:t>
      </w:r>
      <w:r>
        <w:rPr>
          <w:rFonts w:ascii="Times New Roman" w:hAnsi="Times New Roman" w:cs="Times New Roman"/>
          <w:caps w:val="0"/>
          <w:smallCaps w:val="0"/>
          <w:u w:val="single"/>
        </w:rPr>
        <w:t>，保存待检。</w:t>
      </w:r>
    </w:p>
    <w:p>
      <w:pPr>
        <w:pStyle w:val="2"/>
        <w:spacing w:before="50" w:line="342" w:lineRule="auto"/>
        <w:ind w:right="239"/>
        <w:jc w:val="left"/>
        <w:rPr>
          <w:rFonts w:ascii="Times New Roman" w:hAnsi="Times New Roman" w:cs="Times New Roman"/>
          <w:caps w:val="0"/>
          <w:smallCaps w:val="0"/>
          <w:u w:val="single"/>
        </w:rPr>
      </w:pPr>
      <w:r>
        <w:rPr>
          <w:rFonts w:ascii="Times New Roman" w:hAnsi="Times New Roman" w:eastAsia="宋体" w:cs="Times New Roman"/>
          <w:b/>
          <w:bCs/>
          <w:caps w:val="0"/>
          <w:smallCaps w:val="0"/>
          <w:u w:val="single"/>
        </w:rPr>
        <w:t>（</w:t>
      </w:r>
      <w:r>
        <w:rPr>
          <w:rFonts w:ascii="Times New Roman" w:hAnsi="Times New Roman" w:eastAsia="Times New Roman" w:cs="Times New Roman"/>
          <w:b/>
          <w:bCs/>
          <w:caps w:val="0"/>
          <w:smallCaps w:val="0"/>
          <w:u w:val="single"/>
        </w:rPr>
        <w:t>3</w:t>
      </w:r>
      <w:r>
        <w:rPr>
          <w:rFonts w:ascii="Times New Roman" w:hAnsi="Times New Roman" w:eastAsia="宋体" w:cs="Times New Roman"/>
          <w:b/>
          <w:bCs/>
          <w:caps w:val="0"/>
          <w:smallCaps w:val="0"/>
          <w:u w:val="single"/>
        </w:rPr>
        <w:t>）浮游动物</w:t>
      </w:r>
      <w:r>
        <w:rPr>
          <w:rFonts w:ascii="Times New Roman" w:hAnsi="Times New Roman" w:cs="Times New Roman"/>
          <w:caps w:val="0"/>
          <w:smallCaps w:val="0"/>
          <w:spacing w:val="4"/>
          <w:u w:val="single"/>
        </w:rPr>
        <w:t>原生动物和轮虫的样品采集同浮游植物。枝角类和桡足类，定性采集采用</w:t>
      </w:r>
      <w:r>
        <w:rPr>
          <w:rFonts w:ascii="Times New Roman" w:hAnsi="Times New Roman" w:eastAsia="Times New Roman" w:cs="Times New Roman"/>
          <w:caps w:val="0"/>
          <w:smallCaps w:val="0"/>
          <w:u w:val="single"/>
        </w:rPr>
        <w:t>13</w:t>
      </w:r>
      <w:r>
        <w:rPr>
          <w:rFonts w:ascii="Times New Roman" w:hAnsi="Times New Roman" w:cs="Times New Roman"/>
          <w:caps w:val="0"/>
          <w:smallCaps w:val="0"/>
          <w:spacing w:val="2"/>
          <w:u w:val="single"/>
        </w:rPr>
        <w:t>号筛绢制成的浮游生物网在水中拖曳采集，将网头中的样品放入</w:t>
      </w:r>
      <w:r>
        <w:rPr>
          <w:rFonts w:ascii="Times New Roman" w:hAnsi="Times New Roman" w:eastAsia="Times New Roman" w:cs="Times New Roman"/>
          <w:caps w:val="0"/>
          <w:smallCaps w:val="0"/>
          <w:u w:val="single"/>
        </w:rPr>
        <w:t>50ml</w:t>
      </w:r>
      <w:r>
        <w:rPr>
          <w:rFonts w:ascii="Times New Roman" w:hAnsi="Times New Roman" w:cs="Times New Roman"/>
          <w:caps w:val="0"/>
          <w:smallCaps w:val="0"/>
          <w:spacing w:val="2"/>
          <w:u w:val="single"/>
        </w:rPr>
        <w:t>样品瓶中，</w:t>
      </w:r>
      <w:r>
        <w:rPr>
          <w:rFonts w:ascii="Times New Roman" w:hAnsi="Times New Roman" w:cs="Times New Roman"/>
          <w:caps w:val="0"/>
          <w:smallCaps w:val="0"/>
          <w:u w:val="single"/>
        </w:rPr>
        <w:t>加福尔马林液</w:t>
      </w:r>
      <w:r>
        <w:rPr>
          <w:rFonts w:ascii="Times New Roman" w:hAnsi="Times New Roman" w:eastAsia="Times New Roman" w:cs="Times New Roman"/>
          <w:caps w:val="0"/>
          <w:smallCaps w:val="0"/>
          <w:u w:val="single"/>
        </w:rPr>
        <w:t>2.5ml</w:t>
      </w:r>
      <w:r>
        <w:rPr>
          <w:rFonts w:ascii="Times New Roman" w:hAnsi="Times New Roman" w:cs="Times New Roman"/>
          <w:caps w:val="0"/>
          <w:smallCaps w:val="0"/>
          <w:u w:val="single"/>
        </w:rPr>
        <w:t>进行固定</w:t>
      </w:r>
      <w:r>
        <w:rPr>
          <w:rFonts w:ascii="Times New Roman" w:hAnsi="Times New Roman" w:cs="Times New Roman"/>
          <w:caps w:val="0"/>
          <w:smallCaps w:val="0"/>
          <w:spacing w:val="-87"/>
          <w:u w:val="single"/>
        </w:rPr>
        <w:t>。</w:t>
      </w:r>
      <w:r>
        <w:rPr>
          <w:rFonts w:ascii="Times New Roman" w:hAnsi="Times New Roman" w:cs="Times New Roman"/>
          <w:caps w:val="0"/>
          <w:smallCaps w:val="0"/>
          <w:u w:val="single"/>
        </w:rPr>
        <w:t>定量采集则采用</w:t>
      </w:r>
      <w:r>
        <w:rPr>
          <w:rFonts w:ascii="Times New Roman" w:hAnsi="Times New Roman" w:eastAsia="Times New Roman" w:cs="Times New Roman"/>
          <w:caps w:val="0"/>
          <w:smallCaps w:val="0"/>
          <w:u w:val="single"/>
        </w:rPr>
        <w:t>1000ml</w:t>
      </w:r>
      <w:r>
        <w:rPr>
          <w:rFonts w:ascii="Times New Roman" w:hAnsi="Times New Roman" w:cs="Times New Roman"/>
          <w:caps w:val="0"/>
          <w:smallCaps w:val="0"/>
          <w:u w:val="single"/>
        </w:rPr>
        <w:t>采水器不同水层中采集一定</w:t>
      </w:r>
      <w:r>
        <w:rPr>
          <w:rFonts w:ascii="Times New Roman" w:hAnsi="Times New Roman" w:cs="Times New Roman"/>
          <w:caps w:val="0"/>
          <w:smallCaps w:val="0"/>
          <w:spacing w:val="-2"/>
          <w:u w:val="single"/>
        </w:rPr>
        <w:t>量的水样，经充分混合后，取</w:t>
      </w:r>
      <w:r>
        <w:rPr>
          <w:rFonts w:ascii="Times New Roman" w:hAnsi="Times New Roman" w:eastAsia="Times New Roman" w:cs="Times New Roman"/>
          <w:caps w:val="0"/>
          <w:smallCaps w:val="0"/>
          <w:u w:val="single"/>
        </w:rPr>
        <w:t>5L</w:t>
      </w:r>
      <w:r>
        <w:rPr>
          <w:rFonts w:ascii="Times New Roman" w:hAnsi="Times New Roman" w:cs="Times New Roman"/>
          <w:caps w:val="0"/>
          <w:smallCaps w:val="0"/>
          <w:u w:val="single"/>
        </w:rPr>
        <w:t>的水样用</w:t>
      </w:r>
      <w:r>
        <w:rPr>
          <w:rFonts w:ascii="Times New Roman" w:hAnsi="Times New Roman" w:eastAsia="Times New Roman" w:cs="Times New Roman"/>
          <w:caps w:val="0"/>
          <w:smallCaps w:val="0"/>
          <w:u w:val="single"/>
        </w:rPr>
        <w:t>25</w:t>
      </w:r>
      <w:r>
        <w:rPr>
          <w:rFonts w:ascii="Times New Roman" w:hAnsi="Times New Roman" w:cs="Times New Roman"/>
          <w:caps w:val="0"/>
          <w:smallCaps w:val="0"/>
          <w:spacing w:val="-1"/>
          <w:u w:val="single"/>
        </w:rPr>
        <w:t>号筛绢制成的浮游生物网过滤后，将</w:t>
      </w:r>
      <w:r>
        <w:rPr>
          <w:rFonts w:ascii="Times New Roman" w:hAnsi="Times New Roman" w:cs="Times New Roman"/>
          <w:caps w:val="0"/>
          <w:smallCaps w:val="0"/>
          <w:u w:val="single"/>
        </w:rPr>
        <w:t>网头中的样品放入</w:t>
      </w:r>
      <w:r>
        <w:rPr>
          <w:rFonts w:ascii="Times New Roman" w:hAnsi="Times New Roman" w:eastAsia="Times New Roman" w:cs="Times New Roman"/>
          <w:caps w:val="0"/>
          <w:smallCaps w:val="0"/>
          <w:u w:val="single"/>
        </w:rPr>
        <w:t>50ml</w:t>
      </w:r>
      <w:r>
        <w:rPr>
          <w:rFonts w:ascii="Times New Roman" w:hAnsi="Times New Roman" w:cs="Times New Roman"/>
          <w:caps w:val="0"/>
          <w:smallCaps w:val="0"/>
          <w:u w:val="single"/>
        </w:rPr>
        <w:t>样品瓶中，加福尔马林液</w:t>
      </w:r>
      <w:r>
        <w:rPr>
          <w:rFonts w:ascii="Times New Roman" w:hAnsi="Times New Roman" w:eastAsia="Times New Roman" w:cs="Times New Roman"/>
          <w:caps w:val="0"/>
          <w:smallCaps w:val="0"/>
          <w:u w:val="single"/>
        </w:rPr>
        <w:t>2.5ml</w:t>
      </w:r>
      <w:r>
        <w:rPr>
          <w:rFonts w:ascii="Times New Roman" w:hAnsi="Times New Roman" w:cs="Times New Roman"/>
          <w:caps w:val="0"/>
          <w:smallCaps w:val="0"/>
          <w:u w:val="single"/>
        </w:rPr>
        <w:t>进行固定。</w:t>
      </w:r>
    </w:p>
    <w:p>
      <w:pPr>
        <w:pStyle w:val="2"/>
        <w:spacing w:before="28" w:line="342" w:lineRule="auto"/>
        <w:ind w:right="239"/>
        <w:jc w:val="left"/>
        <w:rPr>
          <w:rFonts w:ascii="Times New Roman" w:hAnsi="Times New Roman" w:cs="Times New Roman"/>
          <w:caps w:val="0"/>
          <w:smallCaps w:val="0"/>
          <w:u w:val="single"/>
        </w:rPr>
      </w:pPr>
      <w:r>
        <w:rPr>
          <w:rFonts w:ascii="Times New Roman" w:hAnsi="Times New Roman" w:eastAsia="宋体" w:cs="Times New Roman"/>
          <w:b/>
          <w:bCs/>
          <w:caps w:val="0"/>
          <w:smallCaps w:val="0"/>
          <w:u w:val="single"/>
        </w:rPr>
        <w:t>（</w:t>
      </w:r>
      <w:r>
        <w:rPr>
          <w:rFonts w:ascii="Times New Roman" w:hAnsi="Times New Roman" w:eastAsia="Times New Roman" w:cs="Times New Roman"/>
          <w:b/>
          <w:bCs/>
          <w:caps w:val="0"/>
          <w:smallCaps w:val="0"/>
          <w:u w:val="single"/>
        </w:rPr>
        <w:t>4</w:t>
      </w:r>
      <w:r>
        <w:rPr>
          <w:rFonts w:ascii="Times New Roman" w:hAnsi="Times New Roman" w:eastAsia="宋体" w:cs="Times New Roman"/>
          <w:b/>
          <w:bCs/>
          <w:caps w:val="0"/>
          <w:smallCaps w:val="0"/>
          <w:u w:val="single"/>
        </w:rPr>
        <w:t>）底栖动物</w:t>
      </w:r>
      <w:r>
        <w:rPr>
          <w:rFonts w:ascii="Times New Roman" w:hAnsi="Times New Roman" w:cs="Times New Roman"/>
          <w:caps w:val="0"/>
          <w:smallCaps w:val="0"/>
          <w:u w:val="single"/>
        </w:rPr>
        <w:t>底栖动物分三大类水生昆虫、寡毛类、软体动物。软体动物定性样品用彼德式采泥器进行采集</w:t>
      </w:r>
      <w:r>
        <w:rPr>
          <w:rFonts w:ascii="Times New Roman" w:hAnsi="Times New Roman" w:cs="Times New Roman"/>
          <w:caps w:val="0"/>
          <w:smallCaps w:val="0"/>
          <w:spacing w:val="-41"/>
          <w:u w:val="single"/>
        </w:rPr>
        <w:t>，</w:t>
      </w:r>
      <w:r>
        <w:rPr>
          <w:rFonts w:ascii="Times New Roman" w:hAnsi="Times New Roman" w:cs="Times New Roman"/>
          <w:caps w:val="0"/>
          <w:smallCaps w:val="0"/>
          <w:u w:val="single"/>
        </w:rPr>
        <w:t>水生昆虫</w:t>
      </w:r>
      <w:r>
        <w:rPr>
          <w:rFonts w:ascii="Times New Roman" w:hAnsi="Times New Roman" w:cs="Times New Roman"/>
          <w:caps w:val="0"/>
          <w:smallCaps w:val="0"/>
          <w:spacing w:val="-39"/>
          <w:u w:val="single"/>
        </w:rPr>
        <w:t>、</w:t>
      </w:r>
      <w:r>
        <w:rPr>
          <w:rFonts w:ascii="Times New Roman" w:hAnsi="Times New Roman" w:cs="Times New Roman"/>
          <w:caps w:val="0"/>
          <w:smallCaps w:val="0"/>
          <w:u w:val="single"/>
        </w:rPr>
        <w:t>寡毛类定性样品采集同定量样品</w:t>
      </w:r>
      <w:r>
        <w:rPr>
          <w:rFonts w:ascii="Times New Roman" w:hAnsi="Times New Roman" w:cs="Times New Roman"/>
          <w:caps w:val="0"/>
          <w:smallCaps w:val="0"/>
          <w:spacing w:val="-41"/>
          <w:u w:val="single"/>
        </w:rPr>
        <w:t>，</w:t>
      </w:r>
      <w:r>
        <w:rPr>
          <w:rFonts w:ascii="Times New Roman" w:hAnsi="Times New Roman" w:cs="Times New Roman"/>
          <w:caps w:val="0"/>
          <w:smallCaps w:val="0"/>
          <w:u w:val="single"/>
        </w:rPr>
        <w:t>捞取砾石用</w:t>
      </w:r>
      <w:r>
        <w:rPr>
          <w:rFonts w:ascii="Times New Roman" w:hAnsi="Times New Roman" w:eastAsia="Times New Roman" w:cs="Times New Roman"/>
          <w:caps w:val="0"/>
          <w:smallCaps w:val="0"/>
          <w:u w:val="single"/>
        </w:rPr>
        <w:t>60</w:t>
      </w:r>
      <w:r>
        <w:rPr>
          <w:rFonts w:ascii="Times New Roman" w:hAnsi="Times New Roman" w:cs="Times New Roman"/>
          <w:caps w:val="0"/>
          <w:smallCaps w:val="0"/>
          <w:u w:val="single"/>
        </w:rPr>
        <w:t>目筛绢网筛洗或直接翻起石块在水流下方用筛绢网捞取。</w:t>
      </w:r>
    </w:p>
    <w:p>
      <w:pPr>
        <w:pStyle w:val="9"/>
        <w:numPr>
          <w:ilvl w:val="5"/>
          <w:numId w:val="0"/>
        </w:numPr>
        <w:spacing w:before="53" w:line="240" w:lineRule="auto"/>
        <w:ind w:leftChars="200" w:right="0" w:rightChars="0"/>
        <w:jc w:val="left"/>
        <w:rPr>
          <w:rFonts w:ascii="Times New Roman" w:hAnsi="Times New Roman" w:cs="Times New Roman"/>
          <w:b w:val="0"/>
          <w:bCs w:val="0"/>
          <w:caps w:val="0"/>
          <w:smallCaps w:val="0"/>
          <w:u w:val="single"/>
        </w:rPr>
      </w:pPr>
      <w:r>
        <w:rPr>
          <w:rFonts w:ascii="Times New Roman" w:hAnsi="Times New Roman" w:cs="Times New Roman"/>
          <w:caps w:val="0"/>
          <w:smallCaps w:val="0"/>
          <w:u w:val="single"/>
        </w:rPr>
        <w:t>（</w:t>
      </w:r>
      <w:r>
        <w:rPr>
          <w:rFonts w:ascii="Times New Roman" w:hAnsi="Times New Roman" w:eastAsia="Times New Roman" w:cs="Times New Roman"/>
          <w:caps w:val="0"/>
          <w:smallCaps w:val="0"/>
          <w:spacing w:val="12"/>
          <w:u w:val="single"/>
        </w:rPr>
        <w:t>5</w:t>
      </w:r>
      <w:r>
        <w:rPr>
          <w:rFonts w:ascii="Times New Roman" w:hAnsi="Times New Roman" w:cs="Times New Roman"/>
          <w:caps w:val="0"/>
          <w:smallCaps w:val="0"/>
          <w:u w:val="single"/>
        </w:rPr>
        <w:t>）水生维管束植物</w:t>
      </w:r>
    </w:p>
    <w:p>
      <w:pPr>
        <w:pStyle w:val="2"/>
        <w:spacing w:before="29" w:line="351" w:lineRule="auto"/>
        <w:ind w:right="119" w:firstLine="480"/>
        <w:jc w:val="both"/>
        <w:rPr>
          <w:rFonts w:ascii="Times New Roman" w:hAnsi="Times New Roman" w:cs="Times New Roman"/>
          <w:caps w:val="0"/>
          <w:smallCaps w:val="0"/>
          <w:u w:val="single"/>
        </w:rPr>
      </w:pPr>
      <w:r>
        <w:rPr>
          <w:rFonts w:ascii="Times New Roman" w:hAnsi="Times New Roman" w:cs="Times New Roman"/>
          <w:caps w:val="0"/>
          <w:smallCaps w:val="0"/>
          <w:spacing w:val="1"/>
          <w:u w:val="single"/>
        </w:rPr>
        <w:t>采集水深</w:t>
      </w:r>
      <w:r>
        <w:rPr>
          <w:rFonts w:ascii="Times New Roman" w:hAnsi="Times New Roman" w:eastAsia="Times New Roman" w:cs="Times New Roman"/>
          <w:caps w:val="0"/>
          <w:smallCaps w:val="0"/>
          <w:u w:val="single"/>
        </w:rPr>
        <w:t>2m</w:t>
      </w:r>
      <w:r>
        <w:rPr>
          <w:rFonts w:ascii="Times New Roman" w:hAnsi="Times New Roman" w:cs="Times New Roman"/>
          <w:caps w:val="0"/>
          <w:smallCaps w:val="0"/>
          <w:spacing w:val="1"/>
          <w:u w:val="single"/>
        </w:rPr>
        <w:t>以内的种类，生长在岸边的挺水植物和漂浮植物直接用手采集。</w:t>
      </w:r>
      <w:r>
        <w:rPr>
          <w:rFonts w:ascii="Times New Roman" w:hAnsi="Times New Roman" w:cs="Times New Roman"/>
          <w:caps w:val="0"/>
          <w:smallCaps w:val="0"/>
          <w:u w:val="single"/>
        </w:rPr>
        <w:t>浮叶植物和沉水植物则用钉耙采集，选择完整植株，吸去表面水分，夹入植物标本夹内压干，制成腊叶标本，带回实验室鉴定保存。</w:t>
      </w:r>
    </w:p>
    <w:p>
      <w:pPr>
        <w:pStyle w:val="9"/>
        <w:numPr>
          <w:ilvl w:val="5"/>
          <w:numId w:val="0"/>
        </w:numPr>
        <w:spacing w:before="46" w:line="240" w:lineRule="auto"/>
        <w:ind w:leftChars="200" w:right="0" w:rightChars="0"/>
        <w:jc w:val="left"/>
        <w:rPr>
          <w:rFonts w:ascii="Times New Roman" w:hAnsi="Times New Roman" w:cs="Times New Roman"/>
          <w:b w:val="0"/>
          <w:bCs w:val="0"/>
          <w:caps w:val="0"/>
          <w:smallCaps w:val="0"/>
          <w:u w:val="single"/>
        </w:rPr>
      </w:pPr>
      <w:r>
        <w:rPr>
          <w:rFonts w:hint="eastAsia" w:ascii="Times New Roman" w:hAnsi="Times New Roman" w:eastAsia="宋体" w:cs="Times New Roman"/>
          <w:caps w:val="0"/>
          <w:smallCaps w:val="0"/>
          <w:u w:val="single"/>
          <w:lang w:eastAsia="zh-CN"/>
        </w:rPr>
        <w:t>（</w:t>
      </w:r>
      <w:r>
        <w:rPr>
          <w:rFonts w:ascii="Times New Roman" w:hAnsi="Times New Roman" w:eastAsia="Times New Roman" w:cs="Times New Roman"/>
          <w:caps w:val="0"/>
          <w:smallCaps w:val="0"/>
          <w:u w:val="single"/>
        </w:rPr>
        <w:t>6</w:t>
      </w:r>
      <w:r>
        <w:rPr>
          <w:rFonts w:ascii="Times New Roman" w:hAnsi="Times New Roman" w:cs="Times New Roman"/>
          <w:caps w:val="0"/>
          <w:smallCaps w:val="0"/>
          <w:u w:val="single"/>
        </w:rPr>
        <w:t>）鱼类</w:t>
      </w:r>
    </w:p>
    <w:p>
      <w:pPr>
        <w:spacing w:before="137" w:line="342" w:lineRule="auto"/>
        <w:ind w:right="119"/>
        <w:jc w:val="left"/>
        <w:rPr>
          <w:rFonts w:ascii="Times New Roman" w:hAnsi="Times New Roman" w:cs="Times New Roman"/>
          <w:caps w:val="0"/>
          <w:smallCaps w:val="0"/>
          <w:u w:val="single"/>
        </w:rPr>
      </w:pPr>
      <w:r>
        <w:rPr>
          <w:rFonts w:ascii="Times New Roman" w:hAnsi="Times New Roman" w:eastAsia="Times New Roman" w:cs="Times New Roman"/>
          <w:b/>
          <w:bCs/>
          <w:caps w:val="0"/>
          <w:smallCaps w:val="0"/>
          <w:sz w:val="24"/>
          <w:szCs w:val="24"/>
          <w:u w:val="single"/>
        </w:rPr>
        <w:t>1</w:t>
      </w:r>
      <w:r>
        <w:rPr>
          <w:rFonts w:ascii="Times New Roman" w:hAnsi="Times New Roman" w:eastAsia="宋体" w:cs="Times New Roman"/>
          <w:b/>
          <w:bCs/>
          <w:caps w:val="0"/>
          <w:smallCaps w:val="0"/>
          <w:sz w:val="24"/>
          <w:szCs w:val="24"/>
          <w:u w:val="single"/>
        </w:rPr>
        <w:t>）鱼类资源现状</w:t>
      </w:r>
      <w:r>
        <w:rPr>
          <w:rFonts w:hint="eastAsia" w:cs="Times New Roman"/>
          <w:b/>
          <w:bCs/>
          <w:caps w:val="0"/>
          <w:smallCaps w:val="0"/>
          <w:sz w:val="24"/>
          <w:szCs w:val="24"/>
          <w:u w:val="single"/>
          <w:lang w:eastAsia="zh-CN"/>
        </w:rPr>
        <w:t>：</w:t>
      </w:r>
      <w:r>
        <w:rPr>
          <w:rFonts w:ascii="Times New Roman" w:hAnsi="Times New Roman" w:eastAsia="宋体" w:cs="Times New Roman"/>
          <w:caps w:val="0"/>
          <w:smallCaps w:val="0"/>
          <w:sz w:val="24"/>
          <w:szCs w:val="24"/>
          <w:u w:val="single"/>
        </w:rPr>
        <w:t>鱼类资源量的调查采取收集近三年相关文献和资料进行。采用访问调查和文献</w:t>
      </w:r>
      <w:r>
        <w:rPr>
          <w:rFonts w:ascii="Times New Roman" w:hAnsi="Times New Roman" w:cs="Times New Roman"/>
          <w:caps w:val="0"/>
          <w:smallCaps w:val="0"/>
          <w:u w:val="single"/>
        </w:rPr>
        <w:t>调查方法，调查资源量和渔获量。向沿江各市县渔业主管部门和渔政管理部门及渔民调查了解渔业资源现状以及鱼类资源管理中存在的问题。对渔获物资料进行整理分析，得出各工作站点主要捕捞对象及其在渔获物中所占比重，不同捕捞渔具渔获物的长度和重量组成，以判断鱼类资源状况。</w:t>
      </w:r>
    </w:p>
    <w:p>
      <w:pPr>
        <w:spacing w:before="34" w:line="342" w:lineRule="auto"/>
        <w:ind w:right="119"/>
        <w:jc w:val="left"/>
        <w:rPr>
          <w:rFonts w:ascii="Times New Roman" w:hAnsi="Times New Roman" w:cs="Times New Roman"/>
          <w:caps w:val="0"/>
          <w:smallCaps w:val="0"/>
          <w:u w:val="single"/>
        </w:rPr>
      </w:pPr>
      <w:r>
        <w:rPr>
          <w:rFonts w:ascii="Times New Roman" w:hAnsi="Times New Roman" w:eastAsia="Times New Roman" w:cs="Times New Roman"/>
          <w:b/>
          <w:bCs/>
          <w:caps w:val="0"/>
          <w:smallCaps w:val="0"/>
          <w:sz w:val="24"/>
          <w:szCs w:val="24"/>
          <w:u w:val="single"/>
        </w:rPr>
        <w:t>2</w:t>
      </w:r>
      <w:r>
        <w:rPr>
          <w:rFonts w:ascii="Times New Roman" w:hAnsi="Times New Roman" w:eastAsia="宋体" w:cs="Times New Roman"/>
          <w:b/>
          <w:bCs/>
          <w:caps w:val="0"/>
          <w:smallCaps w:val="0"/>
          <w:sz w:val="24"/>
          <w:szCs w:val="24"/>
          <w:u w:val="single"/>
        </w:rPr>
        <w:t>）鱼类重要栖息地</w:t>
      </w:r>
      <w:r>
        <w:rPr>
          <w:rFonts w:hint="eastAsia" w:cs="Times New Roman"/>
          <w:b/>
          <w:bCs/>
          <w:caps w:val="0"/>
          <w:smallCaps w:val="0"/>
          <w:sz w:val="24"/>
          <w:szCs w:val="24"/>
          <w:u w:val="single"/>
          <w:lang w:eastAsia="zh-CN"/>
        </w:rPr>
        <w:t>：</w:t>
      </w:r>
      <w:r>
        <w:rPr>
          <w:rFonts w:ascii="Times New Roman" w:hAnsi="Times New Roman" w:eastAsia="宋体" w:cs="Times New Roman"/>
          <w:caps w:val="0"/>
          <w:smallCaps w:val="0"/>
          <w:sz w:val="24"/>
          <w:szCs w:val="24"/>
          <w:u w:val="single"/>
        </w:rPr>
        <w:t>鱼类重要栖息地包括鱼类产卵场、索饵场、越冬场和重要鱼类洄游通道。鱼类</w:t>
      </w:r>
      <w:r>
        <w:rPr>
          <w:rFonts w:ascii="Times New Roman" w:hAnsi="Times New Roman" w:cs="Times New Roman"/>
          <w:caps w:val="0"/>
          <w:smallCaps w:val="0"/>
          <w:u w:val="single"/>
        </w:rPr>
        <w:t>重要栖息地调查采取资料搜集、走访渔民和渔政人员相结合，了解不同季节鱼类主要集中地和鱼类种群组成，结合鱼类生物学特征、水文学特征和历史</w:t>
      </w:r>
      <w:r>
        <w:rPr>
          <w:rFonts w:ascii="Times New Roman" w:hAnsi="Times New Roman" w:eastAsia="Times New Roman" w:cs="Times New Roman"/>
          <w:caps w:val="0"/>
          <w:smallCaps w:val="0"/>
          <w:u w:val="single"/>
        </w:rPr>
        <w:t>“</w:t>
      </w:r>
      <w:r>
        <w:rPr>
          <w:rFonts w:ascii="Times New Roman" w:hAnsi="Times New Roman" w:cs="Times New Roman"/>
          <w:caps w:val="0"/>
          <w:smallCaps w:val="0"/>
          <w:u w:val="single"/>
        </w:rPr>
        <w:t>三场</w:t>
      </w:r>
      <w:r>
        <w:rPr>
          <w:rFonts w:ascii="Times New Roman" w:hAnsi="Times New Roman" w:eastAsia="Times New Roman" w:cs="Times New Roman"/>
          <w:caps w:val="0"/>
          <w:smallCaps w:val="0"/>
          <w:u w:val="single"/>
        </w:rPr>
        <w:t>”</w:t>
      </w:r>
      <w:r>
        <w:rPr>
          <w:rFonts w:ascii="Times New Roman" w:hAnsi="Times New Roman" w:cs="Times New Roman"/>
          <w:caps w:val="0"/>
          <w:smallCaps w:val="0"/>
          <w:u w:val="single"/>
        </w:rPr>
        <w:t>分布情况，并通过现场生境调查进行验证。</w:t>
      </w:r>
    </w:p>
    <w:p>
      <w:pPr>
        <w:pStyle w:val="60"/>
        <w:rPr>
          <w:rFonts w:ascii="Times New Roman" w:hAnsi="Times New Roman" w:cs="Times New Roman"/>
          <w:caps w:val="0"/>
          <w:smallCaps w:val="0"/>
        </w:rPr>
      </w:pPr>
    </w:p>
    <w:p>
      <w:pPr>
        <w:pStyle w:val="7"/>
        <w:bidi w:val="0"/>
        <w:rPr>
          <w:rFonts w:ascii="Times New Roman" w:hAnsi="Times New Roman" w:cs="Times New Roman"/>
          <w:caps w:val="0"/>
          <w:smallCaps w:val="0"/>
          <w:u w:val="single"/>
        </w:rPr>
      </w:pPr>
      <w:r>
        <w:rPr>
          <w:rFonts w:ascii="Times New Roman" w:hAnsi="Times New Roman" w:cs="Times New Roman"/>
          <w:caps w:val="0"/>
          <w:smallCaps w:val="0"/>
          <w:u w:val="single"/>
        </w:rPr>
        <w:t>长江江豚资源现状分布及变化</w:t>
      </w:r>
    </w:p>
    <w:p>
      <w:pPr>
        <w:pStyle w:val="7"/>
        <w:numPr>
          <w:ilvl w:val="3"/>
          <w:numId w:val="0"/>
        </w:numPr>
        <w:spacing w:line="240" w:lineRule="auto"/>
        <w:ind w:leftChars="200" w:right="6935" w:rightChars="0"/>
        <w:jc w:val="both"/>
        <w:rPr>
          <w:rFonts w:ascii="Times New Roman" w:hAnsi="Times New Roman" w:cs="Times New Roman"/>
          <w:b w:val="0"/>
          <w:bCs w:val="0"/>
          <w:caps w:val="0"/>
          <w:smallCaps w:val="0"/>
          <w:u w:val="single"/>
        </w:rPr>
      </w:pPr>
      <w:bookmarkStart w:id="81" w:name="_bookmark54"/>
      <w:bookmarkEnd w:id="81"/>
      <w:bookmarkStart w:id="82" w:name="4.2.1 历史资料"/>
      <w:bookmarkEnd w:id="82"/>
      <w:r>
        <w:rPr>
          <w:rFonts w:hint="eastAsia" w:ascii="Times New Roman" w:hAnsi="Times New Roman" w:cs="Times New Roman"/>
          <w:caps w:val="0"/>
          <w:smallCaps w:val="0"/>
          <w:spacing w:val="-1"/>
          <w:u w:val="single"/>
          <w:lang w:eastAsia="zh-CN"/>
        </w:rPr>
        <w:t>（</w:t>
      </w:r>
      <w:r>
        <w:rPr>
          <w:rFonts w:hint="eastAsia" w:ascii="Times New Roman" w:hAnsi="Times New Roman" w:cs="Times New Roman"/>
          <w:caps w:val="0"/>
          <w:smallCaps w:val="0"/>
          <w:spacing w:val="-1"/>
          <w:u w:val="single"/>
          <w:lang w:val="en-US" w:eastAsia="zh-CN"/>
        </w:rPr>
        <w:t>1</w:t>
      </w:r>
      <w:r>
        <w:rPr>
          <w:rFonts w:hint="eastAsia" w:ascii="Times New Roman" w:hAnsi="Times New Roman" w:cs="Times New Roman"/>
          <w:caps w:val="0"/>
          <w:smallCaps w:val="0"/>
          <w:spacing w:val="-1"/>
          <w:u w:val="single"/>
          <w:lang w:eastAsia="zh-CN"/>
        </w:rPr>
        <w:t>）</w:t>
      </w:r>
      <w:r>
        <w:rPr>
          <w:rFonts w:ascii="Times New Roman" w:hAnsi="Times New Roman" w:cs="Times New Roman"/>
          <w:caps w:val="0"/>
          <w:smallCaps w:val="0"/>
          <w:spacing w:val="-1"/>
          <w:u w:val="single"/>
        </w:rPr>
        <w:t>历史资料</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张先锋等于1984年-1991年间进行了11次生态考察，其范围覆盖了长江干流自宜昌至长江口江段及洞庭湖和鄱阳湖湖区，经过估算，推测当时长江江豚的种群数量约为2700头，其后的考察也都表明长江江豚种群数量在长江各江段均呈现下降趋势。2006年，中科院水生生物研究所组织了长江豚类7国联合考察，采用截线抽样法和声学考察相结合的考察方法，估计长江干流长江江豚的种群数量为1000-1200头，再结合洞庭湖和鄱阳湖的考察数据，估计当时长江江豚约为1800头左右；2006年9月-2012年12月间中科院水生生物研究所调查报告显示洞庭湖长江江豚数量由230头减少到仅有92头。</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湖南东洞庭湖国家级自然保护区管理局开展了“湖南东洞庭湖国家级自然保护区江豚资源专项调查（2014-2016年）”，调查结果显示：2014年度长江江豚调查，1月份监测到30群次共59头次，6月份监测到21群次34头次，12月份监测到40群次共100头次（10头大群较多），根据截线法分析，三次监测的种群数量分别为122头、104头和260头，根据2014年度调查分析，东洞庭湖长江江豚数量为104-260头；2015年度长江江豚监测中，2月份监测到58群次共109头次，5月份监测到20群次40头次，12月份监测到39群次共72头次，根据截线法分析，三次监测的种群数量分别为106、127和127头，根据2015年度调查分析，东洞庭湖长江江豚数量为106-127头，洞庭湖的长江江豚种群较为稳定在110-130头；2016年度长江江豚监测中，1月份监测到14个群次共49头次长江江豚，5月份监测到9群次19头次长江江豚，11月份监测到19个群次36头次长江江豚，根据截线法分析，三次监测的种群数量分别为217头、108头、121头，洞庭湖长江江豚种群呈现稳定状态，为110-220头。《湖南东洞庭湖国家级自然保护区江豚资源专项调查报告》（2014-2016年）表明东洞庭湖长江江豚数量稳定在100-120头。</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2018年7月24日，国家农业农村部正式公布2017年农业农村部正式公布长江江豚考察结果显示东洞庭湖长江江豚种群数量为110头。</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2019年王崇瑞发表的《东洞庭湖长江江豚及其与鱼类资源相关性》包含2012-2017年54次监测到的长江江豚分布点位图，如图4.</w:t>
      </w:r>
      <w:r>
        <w:rPr>
          <w:rFonts w:hint="eastAsia" w:ascii="Times New Roman" w:hAnsi="Times New Roman" w:cs="Times New Roman"/>
          <w:caps w:val="0"/>
          <w:smallCaps w:val="0"/>
          <w:u w:val="single"/>
          <w:lang w:val="en-US" w:eastAsia="zh-CN"/>
        </w:rPr>
        <w:t>8</w:t>
      </w:r>
      <w:r>
        <w:rPr>
          <w:rFonts w:ascii="Times New Roman" w:hAnsi="Times New Roman" w:cs="Times New Roman"/>
          <w:caps w:val="0"/>
          <w:smallCaps w:val="0"/>
          <w:u w:val="single"/>
        </w:rPr>
        <w:t>所示。</w:t>
      </w:r>
    </w:p>
    <w:p>
      <w:pPr>
        <w:pStyle w:val="2"/>
        <w:bidi w:val="0"/>
        <w:rPr>
          <w:rFonts w:ascii="Times New Roman" w:hAnsi="Times New Roman" w:cs="Times New Roman"/>
          <w:caps w:val="0"/>
          <w:smallCaps w:val="0"/>
          <w:u w:val="single"/>
        </w:rPr>
      </w:pPr>
    </w:p>
    <w:p>
      <w:pPr>
        <w:pStyle w:val="3"/>
        <w:tabs>
          <w:tab w:val="center" w:pos="4740"/>
          <w:tab w:val="right" w:pos="8520"/>
        </w:tabs>
        <w:jc w:val="center"/>
        <w:rPr>
          <w:rFonts w:hint="eastAsia" w:ascii="Times New Roman" w:hAnsi="Times New Roman" w:cs="Times New Roman"/>
          <w:caps w:val="0"/>
          <w:smallCaps w:val="0"/>
          <w:u w:val="single"/>
          <w:lang w:eastAsia="zh-CN"/>
        </w:rPr>
        <w:sectPr>
          <w:pgSz w:w="12240" w:h="15840"/>
          <w:pgMar w:top="980" w:right="1560" w:bottom="1460" w:left="1680" w:header="746" w:footer="1275" w:gutter="0"/>
          <w:pgNumType w:fmt="decimal"/>
          <w:cols w:space="720" w:num="1"/>
        </w:sectPr>
      </w:pPr>
      <w:r>
        <w:rPr>
          <w:rFonts w:ascii="Times New Roman" w:hAnsi="Times New Roman" w:cs="Times New Roman"/>
          <w:caps w:val="0"/>
          <w:smallCaps w:val="0"/>
          <w:u w:val="single"/>
        </w:rPr>
        <w:t>图</w:t>
      </w:r>
      <w:r>
        <w:rPr>
          <w:rFonts w:ascii="Times New Roman" w:hAnsi="Times New Roman" w:eastAsia="Times New Roman" w:cs="Times New Roman"/>
          <w:caps w:val="0"/>
          <w:smallCaps w:val="0"/>
          <w:spacing w:val="-1"/>
          <w:u w:val="single"/>
        </w:rPr>
        <w:t>4-</w:t>
      </w:r>
      <w:r>
        <w:rPr>
          <w:rFonts w:hint="eastAsia" w:ascii="Times New Roman" w:hAnsi="Times New Roman" w:cs="Times New Roman"/>
          <w:caps w:val="0"/>
          <w:smallCaps w:val="0"/>
          <w:spacing w:val="-1"/>
          <w:u w:val="single"/>
          <w:lang w:val="en-US" w:eastAsia="zh-CN"/>
        </w:rPr>
        <w:t>8</w:t>
      </w:r>
      <w:r>
        <w:rPr>
          <w:rFonts w:ascii="Times New Roman" w:hAnsi="Times New Roman" w:eastAsia="Times New Roman" w:cs="Times New Roman"/>
          <w:caps w:val="0"/>
          <w:smallCaps w:val="0"/>
          <w:spacing w:val="-15"/>
          <w:u w:val="single"/>
        </w:rPr>
        <w:t xml:space="preserve"> </w:t>
      </w:r>
      <w:r>
        <w:rPr>
          <w:rFonts w:ascii="Times New Roman" w:hAnsi="Times New Roman" w:eastAsia="Times New Roman" w:cs="Times New Roman"/>
          <w:caps w:val="0"/>
          <w:smallCaps w:val="0"/>
          <w:u w:val="single"/>
        </w:rPr>
        <w:t>2019</w:t>
      </w:r>
      <w:r>
        <w:rPr>
          <w:rFonts w:ascii="Times New Roman" w:hAnsi="Times New Roman" w:cs="Times New Roman"/>
          <w:caps w:val="0"/>
          <w:smallCaps w:val="0"/>
          <w:u w:val="single"/>
        </w:rPr>
        <w:t>年王崇瑞等发表的东洞庭湖长江江豚分布图图</w:t>
      </w:r>
      <w:r>
        <w:rPr>
          <w:rFonts w:ascii="Times New Roman" w:hAnsi="Times New Roman" w:cs="Times New Roman"/>
          <w:caps w:val="0"/>
          <w:smallCaps w:val="0"/>
          <w:u w:val="single"/>
        </w:rPr>
        <w:drawing>
          <wp:inline distT="0" distB="0" distL="114300" distR="114300">
            <wp:extent cx="4885690" cy="6210300"/>
            <wp:effectExtent l="0" t="0" r="10160"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53"/>
                    <a:stretch>
                      <a:fillRect/>
                    </a:stretch>
                  </pic:blipFill>
                  <pic:spPr>
                    <a:xfrm>
                      <a:off x="0" y="0"/>
                      <a:ext cx="4885690" cy="6210300"/>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after="0"/>
        <w:ind w:firstLine="480"/>
        <w:textAlignment w:val="auto"/>
        <w:rPr>
          <w:rFonts w:hint="eastAsia" w:ascii="Times New Roman" w:hAnsi="Times New Roman" w:eastAsia="宋体" w:cs="Times New Roman"/>
          <w:b/>
          <w:bCs/>
          <w:caps w:val="0"/>
          <w:smallCaps w:val="0"/>
          <w:u w:val="single"/>
          <w:lang w:eastAsia="zh-CN"/>
        </w:rPr>
      </w:pPr>
      <w:r>
        <w:rPr>
          <w:rFonts w:hint="eastAsia" w:ascii="Times New Roman" w:hAnsi="Times New Roman" w:eastAsia="宋体" w:cs="Times New Roman"/>
          <w:b/>
          <w:bCs/>
          <w:caps w:val="0"/>
          <w:smallCaps w:val="0"/>
          <w:u w:val="single"/>
          <w:lang w:eastAsia="zh-CN"/>
        </w:rPr>
        <w:t>（</w:t>
      </w:r>
      <w:r>
        <w:rPr>
          <w:rFonts w:hint="eastAsia" w:ascii="Times New Roman" w:hAnsi="Times New Roman" w:eastAsia="宋体" w:cs="Times New Roman"/>
          <w:b/>
          <w:bCs/>
          <w:caps w:val="0"/>
          <w:smallCaps w:val="0"/>
          <w:u w:val="single"/>
          <w:lang w:val="en-US" w:eastAsia="zh-CN"/>
        </w:rPr>
        <w:t>2</w:t>
      </w:r>
      <w:r>
        <w:rPr>
          <w:rFonts w:hint="eastAsia" w:ascii="Times New Roman" w:hAnsi="Times New Roman" w:eastAsia="宋体" w:cs="Times New Roman"/>
          <w:b/>
          <w:bCs/>
          <w:caps w:val="0"/>
          <w:smallCaps w:val="0"/>
          <w:u w:val="single"/>
          <w:lang w:eastAsia="zh-CN"/>
        </w:rPr>
        <w:t>）重点评价区现场调查情况</w:t>
      </w:r>
    </w:p>
    <w:p>
      <w:pPr>
        <w:pStyle w:val="2"/>
        <w:keepNext w:val="0"/>
        <w:keepLines w:val="0"/>
        <w:pageBreakBefore w:val="0"/>
        <w:widowControl w:val="0"/>
        <w:kinsoku/>
        <w:wordWrap/>
        <w:overflowPunct/>
        <w:topLinePunct w:val="0"/>
        <w:autoSpaceDE/>
        <w:autoSpaceDN/>
        <w:bidi w:val="0"/>
        <w:adjustRightInd/>
        <w:snapToGrid/>
        <w:spacing w:after="0"/>
        <w:ind w:firstLine="480"/>
        <w:textAlignment w:val="auto"/>
        <w:rPr>
          <w:rFonts w:ascii="Times New Roman" w:hAnsi="Times New Roman" w:eastAsia="宋体" w:cs="Times New Roman"/>
          <w:caps w:val="0"/>
          <w:smallCaps w:val="0"/>
          <w:u w:val="single"/>
        </w:rPr>
      </w:pPr>
      <w:r>
        <w:rPr>
          <w:rFonts w:ascii="Times New Roman" w:hAnsi="Times New Roman" w:eastAsia="宋体" w:cs="Times New Roman"/>
          <w:b/>
          <w:bCs/>
          <w:caps w:val="0"/>
          <w:smallCaps w:val="0"/>
          <w:u w:val="single"/>
        </w:rPr>
        <w:t>1）岳阳市洞庭湖江豚保护中心提供资料情况</w:t>
      </w:r>
      <w:r>
        <w:rPr>
          <w:rFonts w:hint="eastAsia" w:ascii="Times New Roman" w:hAnsi="Times New Roman" w:eastAsia="宋体" w:cs="Times New Roman"/>
          <w:b/>
          <w:bCs/>
          <w:caps w:val="0"/>
          <w:smallCaps w:val="0"/>
          <w:u w:val="single"/>
          <w:lang w:eastAsia="zh-CN"/>
        </w:rPr>
        <w:t>。</w:t>
      </w:r>
      <w:r>
        <w:rPr>
          <w:rFonts w:ascii="Times New Roman" w:hAnsi="Times New Roman" w:eastAsia="宋体" w:cs="Times New Roman"/>
          <w:caps w:val="0"/>
          <w:smallCaps w:val="0"/>
          <w:u w:val="single"/>
        </w:rPr>
        <w:t>根据岳阳市洞庭湖江豚保护中心提供的相关资料，工程所在区域不为长江江豚主要栖息地，根据保护区2019-2021年三年长江江豚监测记录表，在磊石观察站（横岭湖--岳汨界，本工程位于该监测江段）年观测头次分别为101次，95次和158次。</w:t>
      </w:r>
    </w:p>
    <w:p>
      <w:pPr>
        <w:pStyle w:val="2"/>
        <w:keepNext w:val="0"/>
        <w:keepLines w:val="0"/>
        <w:pageBreakBefore w:val="0"/>
        <w:widowControl w:val="0"/>
        <w:kinsoku/>
        <w:wordWrap/>
        <w:overflowPunct/>
        <w:topLinePunct w:val="0"/>
        <w:autoSpaceDE/>
        <w:autoSpaceDN/>
        <w:bidi w:val="0"/>
        <w:adjustRightInd/>
        <w:snapToGrid/>
        <w:spacing w:before="29" w:after="0" w:line="341" w:lineRule="auto"/>
        <w:ind w:left="140" w:right="117" w:firstLine="480"/>
        <w:jc w:val="left"/>
        <w:textAlignment w:val="auto"/>
        <w:rPr>
          <w:rFonts w:ascii="Times New Roman" w:hAnsi="Times New Roman" w:cs="Times New Roman"/>
          <w:caps w:val="0"/>
          <w:smallCaps w:val="0"/>
          <w:u w:val="single"/>
        </w:rPr>
      </w:pPr>
      <w:r>
        <w:rPr>
          <w:rFonts w:ascii="Times New Roman" w:hAnsi="Times New Roman" w:cs="Times New Roman"/>
          <w:caps w:val="0"/>
          <w:smallCaps w:val="0"/>
          <w:spacing w:val="1"/>
          <w:u w:val="single"/>
        </w:rPr>
        <w:t>从观测几率来看，</w:t>
      </w:r>
      <w:r>
        <w:rPr>
          <w:rFonts w:ascii="Times New Roman" w:hAnsi="Times New Roman" w:eastAsia="Times New Roman" w:cs="Times New Roman"/>
          <w:caps w:val="0"/>
          <w:smallCaps w:val="0"/>
          <w:spacing w:val="1"/>
          <w:u w:val="single"/>
        </w:rPr>
        <w:t>2019</w:t>
      </w:r>
      <w:r>
        <w:rPr>
          <w:rFonts w:ascii="Times New Roman" w:hAnsi="Times New Roman" w:cs="Times New Roman"/>
          <w:caps w:val="0"/>
          <w:smallCaps w:val="0"/>
          <w:spacing w:val="2"/>
          <w:u w:val="single"/>
        </w:rPr>
        <w:t>年磊石站各个月份能观测到江豚的天数在</w:t>
      </w:r>
      <w:r>
        <w:rPr>
          <w:rFonts w:ascii="Times New Roman" w:hAnsi="Times New Roman" w:eastAsia="Times New Roman" w:cs="Times New Roman"/>
          <w:caps w:val="0"/>
          <w:smallCaps w:val="0"/>
          <w:spacing w:val="-1"/>
          <w:u w:val="single"/>
        </w:rPr>
        <w:t>2-13</w:t>
      </w:r>
      <w:r>
        <w:rPr>
          <w:rFonts w:ascii="Times New Roman" w:hAnsi="Times New Roman" w:cs="Times New Roman"/>
          <w:caps w:val="0"/>
          <w:smallCaps w:val="0"/>
          <w:spacing w:val="2"/>
          <w:u w:val="single"/>
        </w:rPr>
        <w:t>天范围</w:t>
      </w:r>
      <w:r>
        <w:rPr>
          <w:rFonts w:ascii="Times New Roman" w:hAnsi="Times New Roman" w:cs="Times New Roman"/>
          <w:caps w:val="0"/>
          <w:smallCaps w:val="0"/>
          <w:u w:val="single"/>
        </w:rPr>
        <w:t>内</w:t>
      </w:r>
      <w:r>
        <w:rPr>
          <w:rFonts w:ascii="Times New Roman" w:hAnsi="Times New Roman" w:cs="Times New Roman"/>
          <w:caps w:val="0"/>
          <w:smallCaps w:val="0"/>
          <w:spacing w:val="-56"/>
          <w:u w:val="single"/>
        </w:rPr>
        <w:t>，</w:t>
      </w:r>
      <w:r>
        <w:rPr>
          <w:rFonts w:ascii="Times New Roman" w:hAnsi="Times New Roman" w:cs="Times New Roman"/>
          <w:caps w:val="0"/>
          <w:smallCaps w:val="0"/>
          <w:u w:val="single"/>
        </w:rPr>
        <w:t>其中</w:t>
      </w:r>
      <w:r>
        <w:rPr>
          <w:rFonts w:ascii="Times New Roman" w:hAnsi="Times New Roman" w:eastAsia="Times New Roman" w:cs="Times New Roman"/>
          <w:caps w:val="0"/>
          <w:smallCaps w:val="0"/>
          <w:u w:val="single"/>
        </w:rPr>
        <w:t>5</w:t>
      </w:r>
      <w:r>
        <w:rPr>
          <w:rFonts w:ascii="Times New Roman" w:hAnsi="Times New Roman" w:cs="Times New Roman"/>
          <w:caps w:val="0"/>
          <w:smallCaps w:val="0"/>
          <w:u w:val="single"/>
        </w:rPr>
        <w:t>月</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u w:val="single"/>
        </w:rPr>
        <w:t>7</w:t>
      </w:r>
      <w:r>
        <w:rPr>
          <w:rFonts w:ascii="Times New Roman" w:hAnsi="Times New Roman" w:cs="Times New Roman"/>
          <w:caps w:val="0"/>
          <w:smallCaps w:val="0"/>
          <w:u w:val="single"/>
        </w:rPr>
        <w:t>月能观测到的长江江</w:t>
      </w:r>
      <w:r>
        <w:rPr>
          <w:rFonts w:ascii="Times New Roman" w:hAnsi="Times New Roman" w:cs="Times New Roman"/>
          <w:caps w:val="0"/>
          <w:smallCaps w:val="0"/>
          <w:spacing w:val="2"/>
          <w:u w:val="single"/>
        </w:rPr>
        <w:t>豚</w:t>
      </w:r>
      <w:r>
        <w:rPr>
          <w:rFonts w:ascii="Times New Roman" w:hAnsi="Times New Roman" w:cs="Times New Roman"/>
          <w:caps w:val="0"/>
          <w:smallCaps w:val="0"/>
          <w:u w:val="single"/>
        </w:rPr>
        <w:t>的天数较多</w:t>
      </w:r>
      <w:r>
        <w:rPr>
          <w:rFonts w:ascii="Times New Roman" w:hAnsi="Times New Roman" w:cs="Times New Roman"/>
          <w:caps w:val="0"/>
          <w:smallCaps w:val="0"/>
          <w:spacing w:val="-56"/>
          <w:u w:val="single"/>
        </w:rPr>
        <w:t>，</w:t>
      </w:r>
      <w:r>
        <w:rPr>
          <w:rFonts w:ascii="Times New Roman" w:hAnsi="Times New Roman" w:eastAsia="Times New Roman" w:cs="Times New Roman"/>
          <w:caps w:val="0"/>
          <w:smallCaps w:val="0"/>
          <w:u w:val="single"/>
        </w:rPr>
        <w:t>1</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u w:val="single"/>
        </w:rPr>
        <w:t>3</w:t>
      </w:r>
      <w:r>
        <w:rPr>
          <w:rFonts w:ascii="Times New Roman" w:hAnsi="Times New Roman" w:cs="Times New Roman"/>
          <w:caps w:val="0"/>
          <w:smallCaps w:val="0"/>
          <w:u w:val="single"/>
        </w:rPr>
        <w:t>月和</w:t>
      </w:r>
      <w:r>
        <w:rPr>
          <w:rFonts w:ascii="Times New Roman" w:hAnsi="Times New Roman" w:eastAsia="Times New Roman" w:cs="Times New Roman"/>
          <w:caps w:val="0"/>
          <w:smallCaps w:val="0"/>
          <w:u w:val="single"/>
        </w:rPr>
        <w:t>10</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spacing w:val="-5"/>
          <w:u w:val="single"/>
        </w:rPr>
        <w:t>1</w:t>
      </w:r>
      <w:r>
        <w:rPr>
          <w:rFonts w:ascii="Times New Roman" w:hAnsi="Times New Roman" w:eastAsia="Times New Roman" w:cs="Times New Roman"/>
          <w:caps w:val="0"/>
          <w:smallCaps w:val="0"/>
          <w:u w:val="single"/>
        </w:rPr>
        <w:t>1</w:t>
      </w:r>
      <w:r>
        <w:rPr>
          <w:rFonts w:ascii="Times New Roman" w:hAnsi="Times New Roman" w:cs="Times New Roman"/>
          <w:caps w:val="0"/>
          <w:smallCaps w:val="0"/>
          <w:u w:val="single"/>
        </w:rPr>
        <w:t>月能观测到江豚的天数较少</w:t>
      </w:r>
      <w:r>
        <w:rPr>
          <w:rFonts w:ascii="Times New Roman" w:hAnsi="Times New Roman" w:cs="Times New Roman"/>
          <w:caps w:val="0"/>
          <w:smallCaps w:val="0"/>
          <w:spacing w:val="-41"/>
          <w:u w:val="single"/>
        </w:rPr>
        <w:t>；</w:t>
      </w:r>
      <w:r>
        <w:rPr>
          <w:rFonts w:ascii="Times New Roman" w:hAnsi="Times New Roman" w:eastAsia="Times New Roman" w:cs="Times New Roman"/>
          <w:caps w:val="0"/>
          <w:smallCaps w:val="0"/>
          <w:u w:val="single"/>
        </w:rPr>
        <w:t>2020</w:t>
      </w:r>
      <w:r>
        <w:rPr>
          <w:rFonts w:ascii="Times New Roman" w:hAnsi="Times New Roman" w:cs="Times New Roman"/>
          <w:caps w:val="0"/>
          <w:smallCaps w:val="0"/>
          <w:u w:val="single"/>
        </w:rPr>
        <w:t>年磊石站各个月份能观测到江豚的天数在</w:t>
      </w:r>
      <w:r>
        <w:rPr>
          <w:rFonts w:ascii="Times New Roman" w:hAnsi="Times New Roman" w:eastAsia="Times New Roman" w:cs="Times New Roman"/>
          <w:caps w:val="0"/>
          <w:smallCaps w:val="0"/>
          <w:u w:val="single"/>
        </w:rPr>
        <w:t>2</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u w:val="single"/>
        </w:rPr>
        <w:t>12</w:t>
      </w:r>
      <w:r>
        <w:rPr>
          <w:rFonts w:ascii="Times New Roman" w:hAnsi="Times New Roman" w:cs="Times New Roman"/>
          <w:caps w:val="0"/>
          <w:smallCaps w:val="0"/>
          <w:u w:val="single"/>
        </w:rPr>
        <w:t>天范围内</w:t>
      </w:r>
      <w:r>
        <w:rPr>
          <w:rFonts w:ascii="Times New Roman" w:hAnsi="Times New Roman" w:cs="Times New Roman"/>
          <w:caps w:val="0"/>
          <w:smallCaps w:val="0"/>
          <w:spacing w:val="-41"/>
          <w:u w:val="single"/>
        </w:rPr>
        <w:t>，</w:t>
      </w:r>
      <w:r>
        <w:rPr>
          <w:rFonts w:ascii="Times New Roman" w:hAnsi="Times New Roman" w:cs="Times New Roman"/>
          <w:caps w:val="0"/>
          <w:smallCaps w:val="0"/>
          <w:u w:val="single"/>
        </w:rPr>
        <w:t>其中</w:t>
      </w:r>
      <w:r>
        <w:rPr>
          <w:rFonts w:ascii="Times New Roman" w:hAnsi="Times New Roman" w:eastAsia="Times New Roman" w:cs="Times New Roman"/>
          <w:caps w:val="0"/>
          <w:smallCaps w:val="0"/>
          <w:u w:val="single"/>
        </w:rPr>
        <w:t>6</w:t>
      </w:r>
      <w:r>
        <w:rPr>
          <w:rFonts w:ascii="Times New Roman" w:hAnsi="Times New Roman" w:cs="Times New Roman"/>
          <w:caps w:val="0"/>
          <w:smallCaps w:val="0"/>
          <w:u w:val="single"/>
        </w:rPr>
        <w:t>月</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u w:val="single"/>
        </w:rPr>
        <w:t>7</w:t>
      </w:r>
      <w:r>
        <w:rPr>
          <w:rFonts w:ascii="Times New Roman" w:hAnsi="Times New Roman" w:cs="Times New Roman"/>
          <w:caps w:val="0"/>
          <w:smallCaps w:val="0"/>
          <w:u w:val="single"/>
        </w:rPr>
        <w:t>月能观测到的长江江豚的天数</w:t>
      </w:r>
      <w:r>
        <w:rPr>
          <w:rFonts w:ascii="Times New Roman" w:hAnsi="Times New Roman" w:cs="Times New Roman"/>
          <w:caps w:val="0"/>
          <w:smallCaps w:val="0"/>
          <w:spacing w:val="2"/>
          <w:u w:val="single"/>
        </w:rPr>
        <w:t>较</w:t>
      </w:r>
      <w:r>
        <w:rPr>
          <w:rFonts w:ascii="Times New Roman" w:hAnsi="Times New Roman" w:cs="Times New Roman"/>
          <w:caps w:val="0"/>
          <w:smallCaps w:val="0"/>
          <w:u w:val="single"/>
        </w:rPr>
        <w:t>多</w:t>
      </w:r>
      <w:r>
        <w:rPr>
          <w:rFonts w:ascii="Times New Roman" w:hAnsi="Times New Roman" w:cs="Times New Roman"/>
          <w:caps w:val="0"/>
          <w:smallCaps w:val="0"/>
          <w:spacing w:val="-120"/>
          <w:u w:val="single"/>
        </w:rPr>
        <w:t>，</w:t>
      </w:r>
      <w:r>
        <w:rPr>
          <w:rFonts w:ascii="Times New Roman" w:hAnsi="Times New Roman" w:eastAsia="Times New Roman" w:cs="Times New Roman"/>
          <w:caps w:val="0"/>
          <w:smallCaps w:val="0"/>
          <w:u w:val="single"/>
        </w:rPr>
        <w:t>1</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u w:val="single"/>
        </w:rPr>
        <w:t>5</w:t>
      </w:r>
      <w:r>
        <w:rPr>
          <w:rFonts w:ascii="Times New Roman" w:hAnsi="Times New Roman" w:cs="Times New Roman"/>
          <w:caps w:val="0"/>
          <w:smallCaps w:val="0"/>
          <w:u w:val="single"/>
        </w:rPr>
        <w:t>月和</w:t>
      </w:r>
      <w:r>
        <w:rPr>
          <w:rFonts w:ascii="Times New Roman" w:hAnsi="Times New Roman" w:eastAsia="Times New Roman" w:cs="Times New Roman"/>
          <w:caps w:val="0"/>
          <w:smallCaps w:val="0"/>
          <w:u w:val="single"/>
        </w:rPr>
        <w:t>8</w:t>
      </w:r>
      <w:r>
        <w:rPr>
          <w:rFonts w:ascii="Times New Roman" w:hAnsi="Times New Roman" w:eastAsia="Times New Roman" w:cs="Times New Roman"/>
          <w:caps w:val="0"/>
          <w:smallCaps w:val="0"/>
          <w:spacing w:val="-1"/>
          <w:u w:val="single"/>
        </w:rPr>
        <w:t>-</w:t>
      </w:r>
      <w:r>
        <w:rPr>
          <w:rFonts w:ascii="Times New Roman" w:hAnsi="Times New Roman" w:eastAsia="Times New Roman" w:cs="Times New Roman"/>
          <w:caps w:val="0"/>
          <w:smallCaps w:val="0"/>
          <w:u w:val="single"/>
        </w:rPr>
        <w:t>12</w:t>
      </w:r>
      <w:r>
        <w:rPr>
          <w:rFonts w:ascii="Times New Roman" w:hAnsi="Times New Roman" w:cs="Times New Roman"/>
          <w:caps w:val="0"/>
          <w:smallCaps w:val="0"/>
          <w:u w:val="single"/>
        </w:rPr>
        <w:t>月能观测到江豚的天数较</w:t>
      </w:r>
      <w:r>
        <w:rPr>
          <w:rFonts w:ascii="Times New Roman" w:hAnsi="Times New Roman" w:cs="Times New Roman"/>
          <w:caps w:val="0"/>
          <w:smallCaps w:val="0"/>
          <w:spacing w:val="2"/>
          <w:u w:val="single"/>
        </w:rPr>
        <w:t>少</w:t>
      </w:r>
      <w:r>
        <w:rPr>
          <w:rFonts w:ascii="Times New Roman" w:hAnsi="Times New Roman" w:cs="Times New Roman"/>
          <w:caps w:val="0"/>
          <w:smallCaps w:val="0"/>
          <w:u w:val="single"/>
        </w:rPr>
        <w:t>；</w:t>
      </w:r>
      <w:r>
        <w:rPr>
          <w:rFonts w:ascii="Times New Roman" w:hAnsi="Times New Roman" w:eastAsia="Times New Roman" w:cs="Times New Roman"/>
          <w:caps w:val="0"/>
          <w:smallCaps w:val="0"/>
          <w:u w:val="single"/>
        </w:rPr>
        <w:t>2021</w:t>
      </w:r>
      <w:r>
        <w:rPr>
          <w:rFonts w:ascii="Times New Roman" w:hAnsi="Times New Roman" w:cs="Times New Roman"/>
          <w:caps w:val="0"/>
          <w:smallCaps w:val="0"/>
          <w:u w:val="single"/>
        </w:rPr>
        <w:t>年磊石站各个月份能观测到江豚的天数在</w:t>
      </w:r>
      <w:r>
        <w:rPr>
          <w:rFonts w:ascii="Times New Roman" w:hAnsi="Times New Roman" w:eastAsia="Times New Roman" w:cs="Times New Roman"/>
          <w:caps w:val="0"/>
          <w:smallCaps w:val="0"/>
          <w:spacing w:val="-1"/>
          <w:u w:val="single"/>
        </w:rPr>
        <w:t>2-15</w:t>
      </w:r>
      <w:r>
        <w:rPr>
          <w:rFonts w:ascii="Times New Roman" w:hAnsi="Times New Roman" w:cs="Times New Roman"/>
          <w:caps w:val="0"/>
          <w:smallCaps w:val="0"/>
          <w:spacing w:val="-2"/>
          <w:u w:val="single"/>
        </w:rPr>
        <w:t>天范围内，</w:t>
      </w:r>
      <w:r>
        <w:rPr>
          <w:rFonts w:ascii="Times New Roman" w:hAnsi="Times New Roman" w:eastAsia="Times New Roman" w:cs="Times New Roman"/>
          <w:caps w:val="0"/>
          <w:smallCaps w:val="0"/>
          <w:spacing w:val="-2"/>
          <w:u w:val="single"/>
        </w:rPr>
        <w:t>4</w:t>
      </w:r>
      <w:r>
        <w:rPr>
          <w:rFonts w:ascii="Times New Roman" w:hAnsi="Times New Roman" w:cs="Times New Roman"/>
          <w:caps w:val="0"/>
          <w:smallCaps w:val="0"/>
          <w:spacing w:val="-3"/>
          <w:u w:val="single"/>
        </w:rPr>
        <w:t>月，</w:t>
      </w:r>
      <w:r>
        <w:rPr>
          <w:rFonts w:ascii="Times New Roman" w:hAnsi="Times New Roman" w:eastAsia="Times New Roman" w:cs="Times New Roman"/>
          <w:caps w:val="0"/>
          <w:smallCaps w:val="0"/>
          <w:spacing w:val="-3"/>
          <w:u w:val="single"/>
        </w:rPr>
        <w:t>7-9</w:t>
      </w:r>
      <w:r>
        <w:rPr>
          <w:rFonts w:ascii="Times New Roman" w:hAnsi="Times New Roman" w:cs="Times New Roman"/>
          <w:caps w:val="0"/>
          <w:smallCaps w:val="0"/>
          <w:spacing w:val="-4"/>
          <w:u w:val="single"/>
        </w:rPr>
        <w:t>月，</w:t>
      </w:r>
      <w:r>
        <w:rPr>
          <w:rFonts w:ascii="Times New Roman" w:hAnsi="Times New Roman" w:eastAsia="Times New Roman" w:cs="Times New Roman"/>
          <w:caps w:val="0"/>
          <w:smallCaps w:val="0"/>
          <w:spacing w:val="-4"/>
          <w:u w:val="single"/>
        </w:rPr>
        <w:t>11</w:t>
      </w:r>
      <w:r>
        <w:rPr>
          <w:rFonts w:ascii="Times New Roman" w:hAnsi="Times New Roman" w:cs="Times New Roman"/>
          <w:caps w:val="0"/>
          <w:smallCaps w:val="0"/>
          <w:u w:val="single"/>
        </w:rPr>
        <w:t>月能观测到的长江江豚的天数较多，其余月份较少。</w:t>
      </w:r>
    </w:p>
    <w:p>
      <w:pPr>
        <w:pStyle w:val="2"/>
        <w:keepNext w:val="0"/>
        <w:keepLines w:val="0"/>
        <w:pageBreakBefore w:val="0"/>
        <w:widowControl w:val="0"/>
        <w:kinsoku/>
        <w:wordWrap/>
        <w:overflowPunct/>
        <w:topLinePunct w:val="0"/>
        <w:autoSpaceDE/>
        <w:autoSpaceDN/>
        <w:bidi w:val="0"/>
        <w:adjustRightInd/>
        <w:snapToGrid/>
        <w:spacing w:before="54" w:after="0" w:line="342" w:lineRule="auto"/>
        <w:ind w:left="140" w:right="59" w:firstLine="480"/>
        <w:jc w:val="left"/>
        <w:textAlignment w:val="auto"/>
        <w:rPr>
          <w:rFonts w:ascii="Times New Roman" w:hAnsi="Times New Roman" w:cs="Times New Roman"/>
          <w:caps w:val="0"/>
          <w:smallCaps w:val="0"/>
          <w:u w:val="single"/>
        </w:rPr>
      </w:pPr>
      <w:r>
        <w:rPr>
          <w:rFonts w:ascii="Times New Roman" w:hAnsi="Times New Roman" w:cs="Times New Roman"/>
          <w:caps w:val="0"/>
          <w:smallCaps w:val="0"/>
          <w:spacing w:val="1"/>
          <w:u w:val="single"/>
        </w:rPr>
        <w:t>从观测头次来看，</w:t>
      </w:r>
      <w:r>
        <w:rPr>
          <w:rFonts w:ascii="Times New Roman" w:hAnsi="Times New Roman" w:eastAsia="Times New Roman" w:cs="Times New Roman"/>
          <w:caps w:val="0"/>
          <w:smallCaps w:val="0"/>
          <w:spacing w:val="1"/>
          <w:u w:val="single"/>
        </w:rPr>
        <w:t>2019</w:t>
      </w:r>
      <w:r>
        <w:rPr>
          <w:rFonts w:ascii="Times New Roman" w:hAnsi="Times New Roman" w:cs="Times New Roman"/>
          <w:caps w:val="0"/>
          <w:smallCaps w:val="0"/>
          <w:spacing w:val="2"/>
          <w:u w:val="single"/>
        </w:rPr>
        <w:t>年磊石站各个月份观测到江豚的头次在</w:t>
      </w:r>
      <w:r>
        <w:rPr>
          <w:rFonts w:ascii="Times New Roman" w:hAnsi="Times New Roman" w:eastAsia="Times New Roman" w:cs="Times New Roman"/>
          <w:caps w:val="0"/>
          <w:smallCaps w:val="0"/>
          <w:spacing w:val="-1"/>
          <w:u w:val="single"/>
        </w:rPr>
        <w:t>3-15</w:t>
      </w:r>
      <w:r>
        <w:rPr>
          <w:rFonts w:ascii="Times New Roman" w:hAnsi="Times New Roman" w:cs="Times New Roman"/>
          <w:caps w:val="0"/>
          <w:smallCaps w:val="0"/>
          <w:spacing w:val="2"/>
          <w:u w:val="single"/>
        </w:rPr>
        <w:t>头次，其</w:t>
      </w:r>
      <w:r>
        <w:rPr>
          <w:rFonts w:ascii="Times New Roman" w:hAnsi="Times New Roman" w:cs="Times New Roman"/>
          <w:caps w:val="0"/>
          <w:smallCaps w:val="0"/>
          <w:u w:val="single"/>
        </w:rPr>
        <w:t>中</w:t>
      </w:r>
      <w:r>
        <w:rPr>
          <w:rFonts w:ascii="Times New Roman" w:hAnsi="Times New Roman" w:eastAsia="Times New Roman" w:cs="Times New Roman"/>
          <w:caps w:val="0"/>
          <w:smallCaps w:val="0"/>
          <w:spacing w:val="-1"/>
          <w:u w:val="single"/>
        </w:rPr>
        <w:t>5-7</w:t>
      </w:r>
      <w:r>
        <w:rPr>
          <w:rFonts w:ascii="Times New Roman" w:hAnsi="Times New Roman" w:cs="Times New Roman"/>
          <w:caps w:val="0"/>
          <w:smallCaps w:val="0"/>
          <w:u w:val="single"/>
        </w:rPr>
        <w:t>月观测到的头次较多，为</w:t>
      </w:r>
      <w:r>
        <w:rPr>
          <w:rFonts w:ascii="Times New Roman" w:hAnsi="Times New Roman" w:eastAsia="Times New Roman" w:cs="Times New Roman"/>
          <w:caps w:val="0"/>
          <w:smallCaps w:val="0"/>
          <w:spacing w:val="-1"/>
          <w:u w:val="single"/>
        </w:rPr>
        <w:t>13-18</w:t>
      </w:r>
      <w:r>
        <w:rPr>
          <w:rFonts w:ascii="Times New Roman" w:hAnsi="Times New Roman" w:cs="Times New Roman"/>
          <w:caps w:val="0"/>
          <w:smallCaps w:val="0"/>
          <w:u w:val="single"/>
        </w:rPr>
        <w:t>头次，其余月份观测到的头次较少；</w:t>
      </w:r>
      <w:r>
        <w:rPr>
          <w:rFonts w:ascii="Times New Roman" w:hAnsi="Times New Roman" w:eastAsia="Times New Roman" w:cs="Times New Roman"/>
          <w:caps w:val="0"/>
          <w:smallCaps w:val="0"/>
          <w:u w:val="single"/>
        </w:rPr>
        <w:t>2020</w:t>
      </w:r>
      <w:r>
        <w:rPr>
          <w:rFonts w:ascii="Times New Roman" w:hAnsi="Times New Roman" w:cs="Times New Roman"/>
          <w:caps w:val="0"/>
          <w:smallCaps w:val="0"/>
          <w:u w:val="single"/>
        </w:rPr>
        <w:t>年磊石站各个月份观测到江豚的头次在</w:t>
      </w:r>
      <w:r>
        <w:rPr>
          <w:rFonts w:ascii="Times New Roman" w:hAnsi="Times New Roman" w:eastAsia="Times New Roman" w:cs="Times New Roman"/>
          <w:caps w:val="0"/>
          <w:smallCaps w:val="0"/>
          <w:spacing w:val="-1"/>
          <w:u w:val="single"/>
        </w:rPr>
        <w:t>2-18</w:t>
      </w:r>
      <w:r>
        <w:rPr>
          <w:rFonts w:ascii="Times New Roman" w:hAnsi="Times New Roman" w:cs="Times New Roman"/>
          <w:caps w:val="0"/>
          <w:smallCaps w:val="0"/>
          <w:u w:val="single"/>
        </w:rPr>
        <w:t>头次，其中</w:t>
      </w:r>
      <w:r>
        <w:rPr>
          <w:rFonts w:ascii="Times New Roman" w:hAnsi="Times New Roman" w:eastAsia="Times New Roman" w:cs="Times New Roman"/>
          <w:caps w:val="0"/>
          <w:smallCaps w:val="0"/>
          <w:u w:val="single"/>
        </w:rPr>
        <w:t>2</w:t>
      </w:r>
      <w:r>
        <w:rPr>
          <w:rFonts w:ascii="Times New Roman" w:hAnsi="Times New Roman" w:cs="Times New Roman"/>
          <w:caps w:val="0"/>
          <w:smallCaps w:val="0"/>
          <w:spacing w:val="-1"/>
          <w:u w:val="single"/>
        </w:rPr>
        <w:t>月，</w:t>
      </w:r>
      <w:r>
        <w:rPr>
          <w:rFonts w:ascii="Times New Roman" w:hAnsi="Times New Roman" w:eastAsia="Times New Roman" w:cs="Times New Roman"/>
          <w:caps w:val="0"/>
          <w:smallCaps w:val="0"/>
          <w:spacing w:val="-1"/>
          <w:u w:val="single"/>
        </w:rPr>
        <w:t>6-7</w:t>
      </w:r>
      <w:r>
        <w:rPr>
          <w:rFonts w:ascii="Times New Roman" w:hAnsi="Times New Roman" w:cs="Times New Roman"/>
          <w:caps w:val="0"/>
          <w:smallCaps w:val="0"/>
          <w:u w:val="single"/>
        </w:rPr>
        <w:t>月观测到的头次较</w:t>
      </w:r>
      <w:r>
        <w:rPr>
          <w:rFonts w:ascii="Times New Roman" w:hAnsi="Times New Roman" w:cs="Times New Roman"/>
          <w:caps w:val="0"/>
          <w:smallCaps w:val="0"/>
          <w:spacing w:val="-2"/>
          <w:u w:val="single"/>
        </w:rPr>
        <w:t>多，为</w:t>
      </w:r>
      <w:r>
        <w:rPr>
          <w:rFonts w:ascii="Times New Roman" w:hAnsi="Times New Roman" w:eastAsia="Times New Roman" w:cs="Times New Roman"/>
          <w:caps w:val="0"/>
          <w:smallCaps w:val="0"/>
          <w:spacing w:val="-2"/>
          <w:u w:val="single"/>
        </w:rPr>
        <w:t>11-18</w:t>
      </w:r>
      <w:r>
        <w:rPr>
          <w:rFonts w:ascii="Times New Roman" w:hAnsi="Times New Roman" w:cs="Times New Roman"/>
          <w:caps w:val="0"/>
          <w:smallCaps w:val="0"/>
          <w:spacing w:val="-1"/>
          <w:u w:val="single"/>
        </w:rPr>
        <w:t>头次，其余月份观测到的头次较少；</w:t>
      </w:r>
      <w:r>
        <w:rPr>
          <w:rFonts w:ascii="Times New Roman" w:hAnsi="Times New Roman" w:eastAsia="Times New Roman" w:cs="Times New Roman"/>
          <w:caps w:val="0"/>
          <w:smallCaps w:val="0"/>
          <w:spacing w:val="-1"/>
          <w:u w:val="single"/>
        </w:rPr>
        <w:t>2021</w:t>
      </w:r>
      <w:r>
        <w:rPr>
          <w:rFonts w:ascii="Times New Roman" w:hAnsi="Times New Roman" w:cs="Times New Roman"/>
          <w:caps w:val="0"/>
          <w:smallCaps w:val="0"/>
          <w:u w:val="single"/>
        </w:rPr>
        <w:t>年磊石站各个月份观测到江豚的头次在</w:t>
      </w:r>
      <w:r>
        <w:rPr>
          <w:rFonts w:ascii="Times New Roman" w:hAnsi="Times New Roman" w:eastAsia="Times New Roman" w:cs="Times New Roman"/>
          <w:caps w:val="0"/>
          <w:smallCaps w:val="0"/>
          <w:spacing w:val="-1"/>
          <w:u w:val="single"/>
        </w:rPr>
        <w:t>4-24</w:t>
      </w:r>
      <w:r>
        <w:rPr>
          <w:rFonts w:ascii="Times New Roman" w:hAnsi="Times New Roman" w:cs="Times New Roman"/>
          <w:caps w:val="0"/>
          <w:smallCaps w:val="0"/>
          <w:spacing w:val="-1"/>
          <w:u w:val="single"/>
        </w:rPr>
        <w:t>头次，其中</w:t>
      </w:r>
      <w:r>
        <w:rPr>
          <w:rFonts w:ascii="Times New Roman" w:hAnsi="Times New Roman" w:eastAsia="Times New Roman" w:cs="Times New Roman"/>
          <w:caps w:val="0"/>
          <w:smallCaps w:val="0"/>
          <w:spacing w:val="-1"/>
          <w:u w:val="single"/>
        </w:rPr>
        <w:t>3-4</w:t>
      </w:r>
      <w:r>
        <w:rPr>
          <w:rFonts w:ascii="Times New Roman" w:hAnsi="Times New Roman" w:cs="Times New Roman"/>
          <w:caps w:val="0"/>
          <w:smallCaps w:val="0"/>
          <w:spacing w:val="-2"/>
          <w:u w:val="single"/>
        </w:rPr>
        <w:t>月，</w:t>
      </w:r>
      <w:r>
        <w:rPr>
          <w:rFonts w:ascii="Times New Roman" w:hAnsi="Times New Roman" w:eastAsia="Times New Roman" w:cs="Times New Roman"/>
          <w:caps w:val="0"/>
          <w:smallCaps w:val="0"/>
          <w:spacing w:val="-2"/>
          <w:u w:val="single"/>
        </w:rPr>
        <w:t>7-11</w:t>
      </w:r>
      <w:r>
        <w:rPr>
          <w:rFonts w:ascii="Times New Roman" w:hAnsi="Times New Roman" w:cs="Times New Roman"/>
          <w:caps w:val="0"/>
          <w:smallCaps w:val="0"/>
          <w:spacing w:val="-1"/>
          <w:u w:val="single"/>
        </w:rPr>
        <w:t>月观测到的头次较多，为</w:t>
      </w:r>
      <w:r>
        <w:rPr>
          <w:rFonts w:ascii="Times New Roman" w:hAnsi="Times New Roman" w:eastAsia="Times New Roman" w:cs="Times New Roman"/>
          <w:caps w:val="0"/>
          <w:smallCaps w:val="0"/>
          <w:spacing w:val="-1"/>
          <w:u w:val="single"/>
        </w:rPr>
        <w:t>10-24</w:t>
      </w:r>
      <w:r>
        <w:rPr>
          <w:rFonts w:ascii="Times New Roman" w:hAnsi="Times New Roman" w:cs="Times New Roman"/>
          <w:caps w:val="0"/>
          <w:smallCaps w:val="0"/>
          <w:spacing w:val="-1"/>
          <w:u w:val="single"/>
        </w:rPr>
        <w:t>头次，其</w:t>
      </w:r>
      <w:r>
        <w:rPr>
          <w:rFonts w:ascii="Times New Roman" w:hAnsi="Times New Roman" w:cs="Times New Roman"/>
          <w:caps w:val="0"/>
          <w:smallCaps w:val="0"/>
          <w:u w:val="single"/>
        </w:rPr>
        <w:t>余月份观测到的头次较少为</w:t>
      </w:r>
      <w:r>
        <w:rPr>
          <w:rFonts w:ascii="Times New Roman" w:hAnsi="Times New Roman" w:eastAsia="Times New Roman" w:cs="Times New Roman"/>
          <w:caps w:val="0"/>
          <w:smallCaps w:val="0"/>
          <w:spacing w:val="-1"/>
          <w:u w:val="single"/>
        </w:rPr>
        <w:t>4-9</w:t>
      </w:r>
      <w:r>
        <w:rPr>
          <w:rFonts w:ascii="Times New Roman" w:hAnsi="Times New Roman" w:cs="Times New Roman"/>
          <w:caps w:val="0"/>
          <w:smallCaps w:val="0"/>
          <w:u w:val="single"/>
        </w:rPr>
        <w:t>次。</w:t>
      </w:r>
    </w:p>
    <w:p>
      <w:pPr>
        <w:pStyle w:val="60"/>
        <w:rPr>
          <w:rFonts w:ascii="Times New Roman" w:hAnsi="Times New Roman" w:cs="Times New Roman"/>
          <w:caps w:val="0"/>
          <w:smallCaps w:val="0"/>
          <w:u w:val="single"/>
        </w:rPr>
      </w:pPr>
      <w:r>
        <w:rPr>
          <w:rFonts w:ascii="Times New Roman" w:hAnsi="Times New Roman" w:cs="Times New Roman"/>
          <w:caps w:val="0"/>
          <w:smallCaps w:val="0"/>
          <w:u w:val="single"/>
        </w:rPr>
        <w:drawing>
          <wp:anchor distT="0" distB="0" distL="114935" distR="114935" simplePos="0" relativeHeight="251659264" behindDoc="0" locked="0" layoutInCell="1" allowOverlap="1">
            <wp:simplePos x="0" y="0"/>
            <wp:positionH relativeFrom="column">
              <wp:posOffset>114300</wp:posOffset>
            </wp:positionH>
            <wp:positionV relativeFrom="paragraph">
              <wp:posOffset>45085</wp:posOffset>
            </wp:positionV>
            <wp:extent cx="5454015" cy="2988945"/>
            <wp:effectExtent l="0" t="0" r="13335" b="1905"/>
            <wp:wrapSquare wrapText="bothSides"/>
            <wp:docPr id="2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1"/>
                    <pic:cNvPicPr>
                      <a:picLocks noChangeAspect="1"/>
                    </pic:cNvPicPr>
                  </pic:nvPicPr>
                  <pic:blipFill>
                    <a:blip r:embed="rId54"/>
                    <a:stretch>
                      <a:fillRect/>
                    </a:stretch>
                  </pic:blipFill>
                  <pic:spPr>
                    <a:xfrm>
                      <a:off x="0" y="0"/>
                      <a:ext cx="5454015" cy="2988945"/>
                    </a:xfrm>
                    <a:prstGeom prst="rect">
                      <a:avLst/>
                    </a:prstGeom>
                    <a:noFill/>
                    <a:ln>
                      <a:noFill/>
                    </a:ln>
                  </pic:spPr>
                </pic:pic>
              </a:graphicData>
            </a:graphic>
          </wp:anchor>
        </w:drawing>
      </w:r>
    </w:p>
    <w:p>
      <w:pPr>
        <w:pStyle w:val="2"/>
        <w:keepNext w:val="0"/>
        <w:keepLines w:val="0"/>
        <w:pageBreakBefore w:val="0"/>
        <w:widowControl w:val="0"/>
        <w:kinsoku/>
        <w:wordWrap/>
        <w:overflowPunct/>
        <w:topLinePunct w:val="0"/>
        <w:autoSpaceDE/>
        <w:autoSpaceDN/>
        <w:bidi w:val="0"/>
        <w:adjustRightInd/>
        <w:snapToGrid/>
        <w:spacing w:before="54" w:after="0" w:line="342" w:lineRule="auto"/>
        <w:ind w:left="0" w:leftChars="0" w:right="59" w:firstLine="0" w:firstLineChars="0"/>
        <w:jc w:val="center"/>
        <w:textAlignment w:val="auto"/>
        <w:rPr>
          <w:rFonts w:ascii="Times New Roman" w:hAnsi="Times New Roman" w:eastAsia="宋体" w:cs="Times New Roman"/>
          <w:b/>
          <w:bCs/>
          <w:caps w:val="0"/>
          <w:smallCaps w:val="0"/>
          <w:spacing w:val="1"/>
          <w:u w:val="single"/>
        </w:rPr>
      </w:pPr>
      <w:r>
        <w:rPr>
          <w:rFonts w:ascii="Times New Roman" w:hAnsi="Times New Roman" w:eastAsia="宋体" w:cs="Times New Roman"/>
          <w:b/>
          <w:bCs/>
          <w:caps w:val="0"/>
          <w:smallCaps w:val="0"/>
          <w:spacing w:val="-17"/>
          <w:sz w:val="24"/>
          <w:u w:val="single"/>
        </w:rPr>
        <w:t>图4-</w:t>
      </w:r>
      <w:r>
        <w:rPr>
          <w:rFonts w:hint="eastAsia" w:ascii="Times New Roman" w:hAnsi="Times New Roman" w:eastAsia="宋体" w:cs="Times New Roman"/>
          <w:b/>
          <w:bCs/>
          <w:caps w:val="0"/>
          <w:smallCaps w:val="0"/>
          <w:spacing w:val="-17"/>
          <w:sz w:val="24"/>
          <w:u w:val="single"/>
          <w:lang w:val="en-US" w:eastAsia="zh-CN"/>
        </w:rPr>
        <w:t>9</w:t>
      </w:r>
      <w:r>
        <w:rPr>
          <w:rFonts w:ascii="Times New Roman" w:hAnsi="Times New Roman" w:eastAsia="宋体" w:cs="Times New Roman"/>
          <w:b/>
          <w:bCs/>
          <w:caps w:val="0"/>
          <w:smallCaps w:val="0"/>
          <w:spacing w:val="-17"/>
          <w:sz w:val="24"/>
          <w:u w:val="single"/>
        </w:rPr>
        <w:t xml:space="preserve"> 2019-2021年岳阳东洞庭湖江豚市级自然保护区磊石观测站长江江豚监测统计（天数）</w:t>
      </w:r>
    </w:p>
    <w:p>
      <w:pPr>
        <w:pStyle w:val="2"/>
        <w:bidi w:val="0"/>
        <w:ind w:left="0" w:leftChars="0" w:firstLine="0" w:firstLineChars="0"/>
        <w:rPr>
          <w:rFonts w:ascii="Times New Roman" w:hAnsi="Times New Roman" w:cs="Times New Roman"/>
          <w:caps w:val="0"/>
          <w:smallCaps w:val="0"/>
          <w:u w:val="single"/>
        </w:rPr>
      </w:pPr>
      <w:r>
        <w:rPr>
          <w:rFonts w:ascii="Times New Roman" w:hAnsi="Times New Roman" w:cs="Times New Roman"/>
          <w:caps w:val="0"/>
          <w:smallCaps w:val="0"/>
          <w:u w:val="single"/>
        </w:rPr>
        <w:drawing>
          <wp:inline distT="0" distB="0" distL="114300" distR="114300">
            <wp:extent cx="5454015" cy="3005455"/>
            <wp:effectExtent l="0" t="0" r="13335" b="4445"/>
            <wp:docPr id="2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9"/>
                    <pic:cNvPicPr>
                      <a:picLocks noChangeAspect="1"/>
                    </pic:cNvPicPr>
                  </pic:nvPicPr>
                  <pic:blipFill>
                    <a:blip r:embed="rId55"/>
                    <a:stretch>
                      <a:fillRect/>
                    </a:stretch>
                  </pic:blipFill>
                  <pic:spPr>
                    <a:xfrm>
                      <a:off x="0" y="0"/>
                      <a:ext cx="5454015" cy="3005455"/>
                    </a:xfrm>
                    <a:prstGeom prst="rect">
                      <a:avLst/>
                    </a:prstGeom>
                    <a:noFill/>
                    <a:ln>
                      <a:noFill/>
                    </a:ln>
                  </pic:spPr>
                </pic:pic>
              </a:graphicData>
            </a:graphic>
          </wp:inline>
        </w:drawing>
      </w:r>
    </w:p>
    <w:p>
      <w:pPr>
        <w:pStyle w:val="2"/>
        <w:keepNext w:val="0"/>
        <w:keepLines w:val="0"/>
        <w:pageBreakBefore w:val="0"/>
        <w:widowControl w:val="0"/>
        <w:kinsoku/>
        <w:wordWrap/>
        <w:overflowPunct/>
        <w:topLinePunct w:val="0"/>
        <w:autoSpaceDE/>
        <w:autoSpaceDN/>
        <w:bidi w:val="0"/>
        <w:adjustRightInd/>
        <w:snapToGrid/>
        <w:spacing w:before="54" w:after="0" w:line="342" w:lineRule="auto"/>
        <w:ind w:left="0" w:leftChars="0" w:right="59" w:firstLine="0" w:firstLineChars="0"/>
        <w:jc w:val="center"/>
        <w:textAlignment w:val="auto"/>
        <w:rPr>
          <w:rFonts w:ascii="Times New Roman" w:hAnsi="Times New Roman" w:eastAsia="宋体" w:cs="Times New Roman"/>
          <w:b/>
          <w:bCs/>
          <w:caps w:val="0"/>
          <w:smallCaps w:val="0"/>
          <w:spacing w:val="-17"/>
          <w:sz w:val="24"/>
          <w:u w:val="single"/>
        </w:rPr>
      </w:pPr>
      <w:r>
        <w:rPr>
          <w:rFonts w:ascii="Times New Roman" w:hAnsi="Times New Roman" w:eastAsia="宋体" w:cs="Times New Roman"/>
          <w:b/>
          <w:bCs/>
          <w:caps w:val="0"/>
          <w:smallCaps w:val="0"/>
          <w:spacing w:val="-17"/>
          <w:sz w:val="24"/>
          <w:u w:val="single"/>
        </w:rPr>
        <w:t>图4-</w:t>
      </w:r>
      <w:r>
        <w:rPr>
          <w:rFonts w:hint="eastAsia" w:ascii="Times New Roman" w:hAnsi="Times New Roman" w:eastAsia="宋体" w:cs="Times New Roman"/>
          <w:b/>
          <w:bCs/>
          <w:caps w:val="0"/>
          <w:smallCaps w:val="0"/>
          <w:spacing w:val="-17"/>
          <w:sz w:val="24"/>
          <w:u w:val="single"/>
          <w:lang w:val="en-US" w:eastAsia="zh-CN"/>
        </w:rPr>
        <w:t>10</w:t>
      </w:r>
      <w:r>
        <w:rPr>
          <w:rFonts w:ascii="Times New Roman" w:hAnsi="Times New Roman" w:eastAsia="宋体" w:cs="Times New Roman"/>
          <w:b/>
          <w:bCs/>
          <w:caps w:val="0"/>
          <w:smallCaps w:val="0"/>
          <w:spacing w:val="-17"/>
          <w:sz w:val="24"/>
          <w:u w:val="single"/>
        </w:rPr>
        <w:t xml:space="preserve"> 2019-2021年岳阳东洞庭湖江豚市级自然保护区磊石观测站长江江豚监测统计（头次）</w:t>
      </w:r>
    </w:p>
    <w:p>
      <w:pPr>
        <w:spacing w:before="0"/>
        <w:ind w:right="0"/>
        <w:jc w:val="left"/>
        <w:rPr>
          <w:rFonts w:ascii="Times New Roman" w:hAnsi="Times New Roman" w:eastAsia="宋体" w:cs="Times New Roman"/>
          <w:caps w:val="0"/>
          <w:smallCaps w:val="0"/>
          <w:sz w:val="24"/>
          <w:szCs w:val="24"/>
          <w:u w:val="single"/>
        </w:rPr>
      </w:pPr>
      <w:r>
        <w:rPr>
          <w:rFonts w:ascii="Times New Roman" w:hAnsi="Times New Roman" w:eastAsia="Times New Roman" w:cs="Times New Roman"/>
          <w:b/>
          <w:bCs/>
          <w:caps w:val="0"/>
          <w:smallCaps w:val="0"/>
          <w:sz w:val="24"/>
          <w:szCs w:val="24"/>
          <w:u w:val="single"/>
        </w:rPr>
        <w:t>2</w:t>
      </w:r>
      <w:r>
        <w:rPr>
          <w:rFonts w:ascii="Times New Roman" w:hAnsi="Times New Roman" w:eastAsia="宋体" w:cs="Times New Roman"/>
          <w:b/>
          <w:bCs/>
          <w:caps w:val="0"/>
          <w:smallCaps w:val="0"/>
          <w:sz w:val="24"/>
          <w:szCs w:val="24"/>
          <w:u w:val="single"/>
        </w:rPr>
        <w:t>）在工程区附近现场调查情况</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2021年9月项目组技术人员在工程区附近采用望远镜观测、乘船往返工程区附近江段、调查访问沿江船夫和江豚保护中心工作人员的方式开展工程区附近长江江豚调查。</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1）定点观测法</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2021年9月18日-9月19日7点和17点在工程区各观察3小时，用肉眼并辅以望远镜观察，两天累计定点观察6小时，均未观察到长江江豚出没。</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2）截线抽样调查法</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2021年9月18日-9月19日分别以10km/h的船速从青山码头出发前往磊石村，往返工程区上下游约23km江段，观测4次，前后共观察到长江江豚4次，共8头次，具体情况见表4.</w:t>
      </w:r>
      <w:r>
        <w:rPr>
          <w:rFonts w:hint="eastAsia" w:ascii="Times New Roman" w:hAnsi="Times New Roman" w:cs="Times New Roman"/>
          <w:caps w:val="0"/>
          <w:smallCaps w:val="0"/>
          <w:u w:val="single"/>
          <w:lang w:val="en-US" w:eastAsia="zh-CN"/>
        </w:rPr>
        <w:t>8</w:t>
      </w:r>
      <w:r>
        <w:rPr>
          <w:rFonts w:ascii="Times New Roman" w:hAnsi="Times New Roman" w:cs="Times New Roman"/>
          <w:caps w:val="0"/>
          <w:smallCaps w:val="0"/>
          <w:u w:val="single"/>
        </w:rPr>
        <w:t>-</w:t>
      </w:r>
      <w:r>
        <w:rPr>
          <w:rFonts w:hint="eastAsia" w:ascii="Times New Roman" w:hAnsi="Times New Roman" w:cs="Times New Roman"/>
          <w:caps w:val="0"/>
          <w:smallCaps w:val="0"/>
          <w:u w:val="single"/>
          <w:lang w:val="en-US" w:eastAsia="zh-CN"/>
        </w:rPr>
        <w:t>10</w:t>
      </w:r>
      <w:r>
        <w:rPr>
          <w:rFonts w:ascii="Times New Roman" w:hAnsi="Times New Roman" w:cs="Times New Roman"/>
          <w:caps w:val="0"/>
          <w:smallCaps w:val="0"/>
          <w:u w:val="single"/>
        </w:rPr>
        <w:t>2。</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3）调查访问据工程区附近的船夫口述，长江江豚多在早晨和傍晚出现，且工程附近相对较少，多出现在磊石码头下游。</w:t>
      </w:r>
    </w:p>
    <w:p>
      <w:pPr>
        <w:pStyle w:val="9"/>
        <w:numPr>
          <w:ilvl w:val="5"/>
          <w:numId w:val="0"/>
        </w:numPr>
        <w:spacing w:before="157" w:line="240" w:lineRule="auto"/>
        <w:ind w:leftChars="200" w:right="0" w:rightChars="0"/>
        <w:jc w:val="center"/>
        <w:rPr>
          <w:rFonts w:ascii="Times New Roman" w:hAnsi="Times New Roman" w:cs="Times New Roman"/>
          <w:b w:val="0"/>
          <w:bCs w:val="0"/>
          <w:caps w:val="0"/>
          <w:smallCaps w:val="0"/>
          <w:u w:val="single"/>
        </w:rPr>
      </w:pPr>
      <w:r>
        <w:rPr>
          <w:rFonts w:ascii="Times New Roman" w:hAnsi="Times New Roman" w:cs="Times New Roman"/>
          <w:caps w:val="0"/>
          <w:smallCaps w:val="0"/>
          <w:u w:val="single"/>
        </w:rPr>
        <w:t>表</w:t>
      </w:r>
      <w:r>
        <w:rPr>
          <w:rFonts w:ascii="Times New Roman" w:hAnsi="Times New Roman" w:eastAsia="Times New Roman" w:cs="Times New Roman"/>
          <w:caps w:val="0"/>
          <w:smallCaps w:val="0"/>
          <w:spacing w:val="-1"/>
          <w:u w:val="single"/>
        </w:rPr>
        <w:t>4.</w:t>
      </w:r>
      <w:r>
        <w:rPr>
          <w:rFonts w:hint="eastAsia" w:ascii="Times New Roman" w:hAnsi="Times New Roman" w:eastAsia="宋体" w:cs="Times New Roman"/>
          <w:caps w:val="0"/>
          <w:smallCaps w:val="0"/>
          <w:spacing w:val="-1"/>
          <w:u w:val="single"/>
          <w:lang w:val="en-US" w:eastAsia="zh-CN"/>
        </w:rPr>
        <w:t>8</w:t>
      </w:r>
      <w:r>
        <w:rPr>
          <w:rFonts w:ascii="Times New Roman" w:hAnsi="Times New Roman" w:eastAsia="Times New Roman" w:cs="Times New Roman"/>
          <w:caps w:val="0"/>
          <w:smallCaps w:val="0"/>
          <w:spacing w:val="-1"/>
          <w:u w:val="single"/>
        </w:rPr>
        <w:t>-</w:t>
      </w:r>
      <w:r>
        <w:rPr>
          <w:rFonts w:hint="eastAsia" w:ascii="Times New Roman" w:hAnsi="Times New Roman" w:eastAsia="宋体" w:cs="Times New Roman"/>
          <w:caps w:val="0"/>
          <w:smallCaps w:val="0"/>
          <w:spacing w:val="-1"/>
          <w:u w:val="single"/>
          <w:lang w:val="en-US" w:eastAsia="zh-CN"/>
        </w:rPr>
        <w:t xml:space="preserve">2 </w:t>
      </w:r>
      <w:r>
        <w:rPr>
          <w:rFonts w:ascii="Times New Roman" w:hAnsi="Times New Roman" w:eastAsia="Times New Roman" w:cs="Times New Roman"/>
          <w:caps w:val="0"/>
          <w:smallCaps w:val="0"/>
          <w:spacing w:val="-12"/>
          <w:u w:val="single"/>
        </w:rPr>
        <w:t xml:space="preserve"> </w:t>
      </w:r>
      <w:r>
        <w:rPr>
          <w:rFonts w:ascii="Times New Roman" w:hAnsi="Times New Roman" w:eastAsia="Times New Roman" w:cs="Times New Roman"/>
          <w:caps w:val="0"/>
          <w:smallCaps w:val="0"/>
          <w:u w:val="single"/>
        </w:rPr>
        <w:t>2021</w:t>
      </w:r>
      <w:r>
        <w:rPr>
          <w:rFonts w:ascii="Times New Roman" w:hAnsi="Times New Roman" w:cs="Times New Roman"/>
          <w:caps w:val="0"/>
          <w:smallCaps w:val="0"/>
          <w:u w:val="single"/>
        </w:rPr>
        <w:t>年现场调查观察到的长江江豚记录表</w:t>
      </w:r>
    </w:p>
    <w:p>
      <w:pPr>
        <w:spacing w:before="13" w:line="160" w:lineRule="exact"/>
        <w:rPr>
          <w:rFonts w:ascii="Times New Roman" w:hAnsi="Times New Roman" w:cs="Times New Roman"/>
          <w:caps w:val="0"/>
          <w:smallCaps w:val="0"/>
          <w:sz w:val="16"/>
          <w:szCs w:val="16"/>
          <w:u w:val="single"/>
        </w:rPr>
      </w:pPr>
    </w:p>
    <w:tbl>
      <w:tblPr>
        <w:tblStyle w:val="71"/>
        <w:tblW w:w="0" w:type="auto"/>
        <w:tblInd w:w="104" w:type="dxa"/>
        <w:tblLayout w:type="fixed"/>
        <w:tblCellMar>
          <w:top w:w="0" w:type="dxa"/>
          <w:left w:w="0" w:type="dxa"/>
          <w:bottom w:w="0" w:type="dxa"/>
          <w:right w:w="0" w:type="dxa"/>
        </w:tblCellMar>
      </w:tblPr>
      <w:tblGrid>
        <w:gridCol w:w="1842"/>
        <w:gridCol w:w="1144"/>
        <w:gridCol w:w="913"/>
        <w:gridCol w:w="913"/>
        <w:gridCol w:w="1111"/>
        <w:gridCol w:w="1696"/>
        <w:gridCol w:w="1602"/>
      </w:tblGrid>
      <w:tr>
        <w:tblPrEx>
          <w:tblCellMar>
            <w:top w:w="0" w:type="dxa"/>
            <w:left w:w="0" w:type="dxa"/>
            <w:bottom w:w="0" w:type="dxa"/>
            <w:right w:w="0" w:type="dxa"/>
          </w:tblCellMar>
        </w:tblPrEx>
        <w:trPr>
          <w:trHeight w:val="573" w:hRule="exact"/>
          <w:tblHeader/>
        </w:trPr>
        <w:tc>
          <w:tcPr>
            <w:tcW w:w="184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日期</w:t>
            </w:r>
          </w:p>
        </w:tc>
        <w:tc>
          <w:tcPr>
            <w:tcW w:w="1144"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具体时间</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目击群次</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目击头次</w:t>
            </w:r>
          </w:p>
        </w:tc>
        <w:tc>
          <w:tcPr>
            <w:tcW w:w="1111"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天气状况</w:t>
            </w:r>
          </w:p>
        </w:tc>
        <w:tc>
          <w:tcPr>
            <w:tcW w:w="1696"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经纬度</w:t>
            </w:r>
          </w:p>
        </w:tc>
        <w:tc>
          <w:tcPr>
            <w:tcW w:w="160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距本工程距离</w:t>
            </w:r>
          </w:p>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（km）</w:t>
            </w:r>
          </w:p>
        </w:tc>
      </w:tr>
      <w:tr>
        <w:tblPrEx>
          <w:tblCellMar>
            <w:top w:w="0" w:type="dxa"/>
            <w:left w:w="0" w:type="dxa"/>
            <w:bottom w:w="0" w:type="dxa"/>
            <w:right w:w="0" w:type="dxa"/>
          </w:tblCellMar>
        </w:tblPrEx>
        <w:trPr>
          <w:trHeight w:val="493" w:hRule="exact"/>
        </w:trPr>
        <w:tc>
          <w:tcPr>
            <w:tcW w:w="184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2021年9月18日</w:t>
            </w:r>
          </w:p>
        </w:tc>
        <w:tc>
          <w:tcPr>
            <w:tcW w:w="1144"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10：13</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w:t>
            </w:r>
          </w:p>
        </w:tc>
        <w:tc>
          <w:tcPr>
            <w:tcW w:w="1111"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晴天</w:t>
            </w:r>
          </w:p>
        </w:tc>
        <w:tc>
          <w:tcPr>
            <w:tcW w:w="1696"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112°56′7.35″E,</w:t>
            </w:r>
          </w:p>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28°59′34.85″N</w:t>
            </w:r>
          </w:p>
        </w:tc>
        <w:tc>
          <w:tcPr>
            <w:tcW w:w="160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上游15km</w:t>
            </w:r>
          </w:p>
        </w:tc>
      </w:tr>
      <w:tr>
        <w:trPr>
          <w:trHeight w:val="493" w:hRule="exact"/>
        </w:trPr>
        <w:tc>
          <w:tcPr>
            <w:tcW w:w="184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2021年9月18日</w:t>
            </w:r>
          </w:p>
        </w:tc>
        <w:tc>
          <w:tcPr>
            <w:tcW w:w="1144"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14：34</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w:t>
            </w:r>
          </w:p>
        </w:tc>
        <w:tc>
          <w:tcPr>
            <w:tcW w:w="1111"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晴天</w:t>
            </w:r>
          </w:p>
        </w:tc>
        <w:tc>
          <w:tcPr>
            <w:tcW w:w="1696"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112°54′18.44″E,</w:t>
            </w:r>
          </w:p>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28°58′38.09″N</w:t>
            </w:r>
          </w:p>
        </w:tc>
        <w:tc>
          <w:tcPr>
            <w:tcW w:w="160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上游13km</w:t>
            </w:r>
          </w:p>
        </w:tc>
      </w:tr>
      <w:tr>
        <w:tblPrEx>
          <w:tblCellMar>
            <w:top w:w="0" w:type="dxa"/>
            <w:left w:w="0" w:type="dxa"/>
            <w:bottom w:w="0" w:type="dxa"/>
            <w:right w:w="0" w:type="dxa"/>
          </w:tblCellMar>
        </w:tblPrEx>
        <w:trPr>
          <w:trHeight w:val="493" w:hRule="exact"/>
        </w:trPr>
        <w:tc>
          <w:tcPr>
            <w:tcW w:w="184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2021年9月18日</w:t>
            </w:r>
          </w:p>
        </w:tc>
        <w:tc>
          <w:tcPr>
            <w:tcW w:w="1144"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16：29</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w:t>
            </w:r>
          </w:p>
        </w:tc>
        <w:tc>
          <w:tcPr>
            <w:tcW w:w="1111"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晴天</w:t>
            </w:r>
          </w:p>
        </w:tc>
        <w:tc>
          <w:tcPr>
            <w:tcW w:w="1696"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112°53′34.33″E,</w:t>
            </w:r>
          </w:p>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28°51′35.43″N</w:t>
            </w:r>
          </w:p>
        </w:tc>
        <w:tc>
          <w:tcPr>
            <w:tcW w:w="160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对岸1.02km</w:t>
            </w:r>
          </w:p>
        </w:tc>
      </w:tr>
      <w:tr>
        <w:tblPrEx>
          <w:tblCellMar>
            <w:top w:w="0" w:type="dxa"/>
            <w:left w:w="0" w:type="dxa"/>
            <w:bottom w:w="0" w:type="dxa"/>
            <w:right w:w="0" w:type="dxa"/>
          </w:tblCellMar>
        </w:tblPrEx>
        <w:trPr>
          <w:trHeight w:val="554" w:hRule="exact"/>
        </w:trPr>
        <w:tc>
          <w:tcPr>
            <w:tcW w:w="184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2021年9月19日</w:t>
            </w:r>
          </w:p>
        </w:tc>
        <w:tc>
          <w:tcPr>
            <w:tcW w:w="1144"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09：06</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w:t>
            </w:r>
          </w:p>
        </w:tc>
        <w:tc>
          <w:tcPr>
            <w:tcW w:w="1111"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晴天/大</w:t>
            </w:r>
          </w:p>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风</w:t>
            </w:r>
          </w:p>
        </w:tc>
        <w:tc>
          <w:tcPr>
            <w:tcW w:w="1696"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112°56′36.55″E,</w:t>
            </w:r>
          </w:p>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28°59′38.77″N</w:t>
            </w:r>
          </w:p>
        </w:tc>
        <w:tc>
          <w:tcPr>
            <w:tcW w:w="160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上游15.5km</w:t>
            </w:r>
          </w:p>
        </w:tc>
      </w:tr>
      <w:tr>
        <w:tblPrEx>
          <w:tblCellMar>
            <w:top w:w="0" w:type="dxa"/>
            <w:left w:w="0" w:type="dxa"/>
            <w:bottom w:w="0" w:type="dxa"/>
            <w:right w:w="0" w:type="dxa"/>
          </w:tblCellMar>
        </w:tblPrEx>
        <w:trPr>
          <w:trHeight w:val="291" w:hRule="exact"/>
        </w:trPr>
        <w:tc>
          <w:tcPr>
            <w:tcW w:w="184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汇总</w:t>
            </w:r>
          </w:p>
        </w:tc>
        <w:tc>
          <w:tcPr>
            <w:tcW w:w="1144"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4</w:t>
            </w:r>
          </w:p>
        </w:tc>
        <w:tc>
          <w:tcPr>
            <w:tcW w:w="91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8</w:t>
            </w:r>
          </w:p>
        </w:tc>
        <w:tc>
          <w:tcPr>
            <w:tcW w:w="1111"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r>
              <w:rPr>
                <w:rFonts w:ascii="Times New Roman" w:hAnsi="Times New Roman" w:cs="Times New Roman"/>
                <w:caps w:val="0"/>
                <w:smallCaps w:val="0"/>
                <w:u w:val="single"/>
              </w:rPr>
              <w:t>/</w:t>
            </w:r>
          </w:p>
        </w:tc>
        <w:tc>
          <w:tcPr>
            <w:tcW w:w="1696"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p>
        </w:tc>
        <w:tc>
          <w:tcPr>
            <w:tcW w:w="1602"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u w:val="single"/>
              </w:rPr>
            </w:pPr>
          </w:p>
        </w:tc>
      </w:tr>
    </w:tbl>
    <w:p>
      <w:pPr>
        <w:pStyle w:val="2"/>
        <w:bidi w:val="0"/>
        <w:rPr>
          <w:rFonts w:ascii="Times New Roman" w:hAnsi="Times New Roman" w:cs="Times New Roman"/>
          <w:caps w:val="0"/>
          <w:smallCaps w:val="0"/>
          <w:u w:val="single"/>
        </w:rPr>
      </w:pPr>
    </w:p>
    <w:p>
      <w:pPr>
        <w:pStyle w:val="7"/>
        <w:bidi w:val="0"/>
        <w:rPr>
          <w:rFonts w:ascii="Times New Roman" w:hAnsi="Times New Roman" w:cs="Times New Roman"/>
          <w:caps w:val="0"/>
          <w:smallCaps w:val="0"/>
          <w:u w:val="single"/>
        </w:rPr>
      </w:pPr>
      <w:r>
        <w:rPr>
          <w:rFonts w:ascii="Times New Roman" w:hAnsi="Times New Roman" w:cs="Times New Roman"/>
          <w:caps w:val="0"/>
          <w:smallCaps w:val="0"/>
          <w:u w:val="single"/>
        </w:rPr>
        <w:t>长江江豚重要栖息地及分布</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本工程所在江段受人为干扰较大，上下游附近3-5km范围内为码头集中水域，所处长江岸线较为平直，岸线固化较为严重，水生生物分布较少，不为长江江豚的栖息地，在此水域分布的几率较低。</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根据湖南水产研究所王崇瑞等人于2012年6月-2017年12月在东洞庭湖对长江江豚54次的调查结果，洞庭湖长江江豚主要分布在鲶鱼口-南岳坡段水域，平均目击率（0.31±0.09）群次/km，城陵矶-洞庭大桥和磊石码头上游水域（工程区水域）长江江豚出现率偏低，平均目击率（0.044±0.027）群次/km（图4.2-2）。基于最小凸边形法分析长江江豚栖息地面积如图4.2-2所示。根据文献记录数据及保护区咨询结果，本工程所在的磊石至营田镇河段不是长江江豚的主要栖息地。</w:t>
      </w:r>
    </w:p>
    <w:p>
      <w:pPr>
        <w:bidi w:val="0"/>
        <w:rPr>
          <w:rFonts w:ascii="Times New Roman" w:hAnsi="Times New Roman" w:cs="Times New Roman"/>
          <w:caps w:val="0"/>
          <w:smallCaps w:val="0"/>
          <w:u w:val="single"/>
        </w:rPr>
      </w:pPr>
    </w:p>
    <w:p>
      <w:pPr>
        <w:pStyle w:val="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eastAsia="zh-CN"/>
        </w:rPr>
        <w:t>小结</w:t>
      </w:r>
    </w:p>
    <w:p>
      <w:pPr>
        <w:rPr>
          <w:rFonts w:ascii="Times New Roman" w:hAnsi="Times New Roman" w:cs="Times New Roman"/>
          <w:caps w:val="0"/>
          <w:smallCaps w:val="0"/>
          <w:u w:val="single"/>
        </w:rPr>
      </w:pPr>
      <w:r>
        <w:rPr>
          <w:rFonts w:ascii="Times New Roman" w:hAnsi="Times New Roman" w:cs="Times New Roman"/>
          <w:caps w:val="0"/>
          <w:smallCaps w:val="0"/>
          <w:u w:val="single"/>
        </w:rPr>
        <w:t>长江江豚活动范围较大，不同季节可能在不同江段的不同区域或者长江干支流间迁移</w:t>
      </w:r>
      <w:r>
        <w:rPr>
          <w:rFonts w:ascii="Times New Roman" w:hAnsi="Times New Roman" w:cs="Times New Roman"/>
          <w:caps w:val="0"/>
          <w:smallCaps w:val="0"/>
          <w:spacing w:val="-120"/>
          <w:u w:val="single"/>
        </w:rPr>
        <w:t>。</w:t>
      </w:r>
      <w:r>
        <w:rPr>
          <w:rFonts w:ascii="Times New Roman" w:hAnsi="Times New Roman" w:cs="Times New Roman"/>
          <w:caps w:val="0"/>
          <w:smallCaps w:val="0"/>
          <w:u w:val="single"/>
        </w:rPr>
        <w:t>根据近年来相关单位对长江江豚的研究及本单位</w:t>
      </w:r>
      <w:r>
        <w:rPr>
          <w:rFonts w:ascii="Times New Roman" w:hAnsi="Times New Roman" w:eastAsia="Times New Roman" w:cs="Times New Roman"/>
          <w:caps w:val="0"/>
          <w:smallCaps w:val="0"/>
          <w:u w:val="single"/>
        </w:rPr>
        <w:t>2021</w:t>
      </w:r>
      <w:r>
        <w:rPr>
          <w:rFonts w:ascii="Times New Roman" w:hAnsi="Times New Roman" w:cs="Times New Roman"/>
          <w:caps w:val="0"/>
          <w:smallCaps w:val="0"/>
          <w:u w:val="single"/>
        </w:rPr>
        <w:t>年以来在洞庭湖对长</w:t>
      </w:r>
      <w:r>
        <w:rPr>
          <w:rFonts w:ascii="Times New Roman" w:hAnsi="Times New Roman" w:cs="Times New Roman"/>
          <w:caps w:val="0"/>
          <w:smallCaps w:val="0"/>
          <w:spacing w:val="3"/>
          <w:u w:val="single"/>
        </w:rPr>
        <w:t>江江豚的调查，保护区长江江豚重要栖息地主要分布在东洞庭湖扁山</w:t>
      </w:r>
      <w:r>
        <w:rPr>
          <w:rFonts w:ascii="Times New Roman" w:hAnsi="Times New Roman" w:eastAsia="Times New Roman" w:cs="Times New Roman"/>
          <w:caps w:val="0"/>
          <w:smallCaps w:val="0"/>
          <w:spacing w:val="3"/>
          <w:u w:val="single"/>
        </w:rPr>
        <w:t>-</w:t>
      </w:r>
      <w:r>
        <w:rPr>
          <w:rFonts w:ascii="Times New Roman" w:hAnsi="Times New Roman" w:cs="Times New Roman"/>
          <w:caps w:val="0"/>
          <w:smallCaps w:val="0"/>
          <w:spacing w:val="3"/>
          <w:u w:val="single"/>
        </w:rPr>
        <w:t>鲶鱼口敞水</w:t>
      </w:r>
      <w:r>
        <w:rPr>
          <w:rFonts w:ascii="Times New Roman" w:hAnsi="Times New Roman" w:cs="Times New Roman"/>
          <w:caps w:val="0"/>
          <w:smallCaps w:val="0"/>
          <w:u w:val="single"/>
        </w:rPr>
        <w:t>区，工程所在的磊石至营田镇江段分布相对较少，工程区附近偶有出现。</w:t>
      </w:r>
    </w:p>
    <w:p>
      <w:pPr>
        <w:pStyle w:val="60"/>
        <w:rPr>
          <w:rFonts w:ascii="Times New Roman" w:hAnsi="Times New Roman" w:cs="Times New Roman"/>
          <w:caps w:val="0"/>
          <w:smallCaps w:val="0"/>
          <w:u w:val="single"/>
        </w:rPr>
      </w:pPr>
    </w:p>
    <w:p>
      <w:pPr>
        <w:pStyle w:val="6"/>
        <w:rPr>
          <w:rFonts w:ascii="Times New Roman" w:hAnsi="Times New Roman" w:cs="Times New Roman" w:eastAsiaTheme="minorEastAsia"/>
          <w:caps w:val="0"/>
          <w:smallCaps w:val="0"/>
          <w:szCs w:val="24"/>
          <w:u w:val="single"/>
        </w:rPr>
      </w:pPr>
      <w:r>
        <w:rPr>
          <w:rFonts w:ascii="Times New Roman" w:hAnsi="Times New Roman" w:cs="Times New Roman"/>
          <w:caps w:val="0"/>
          <w:smallCaps w:val="0"/>
          <w:spacing w:val="1"/>
          <w:u w:val="single"/>
        </w:rPr>
        <w:t>保护区鱼类资源现</w:t>
      </w:r>
      <w:r>
        <w:rPr>
          <w:rFonts w:hint="eastAsia" w:ascii="Times New Roman" w:hAnsi="Times New Roman" w:cs="Times New Roman" w:eastAsiaTheme="minorEastAsia"/>
          <w:caps w:val="0"/>
          <w:smallCaps w:val="0"/>
          <w:szCs w:val="24"/>
          <w:u w:val="single"/>
          <w:lang w:eastAsia="zh-CN"/>
        </w:rPr>
        <w:t>状</w:t>
      </w:r>
    </w:p>
    <w:p>
      <w:pPr>
        <w:pStyle w:val="7"/>
        <w:bidi w:val="0"/>
        <w:rPr>
          <w:rFonts w:hint="eastAsia" w:ascii="Times New Roman" w:hAnsi="Times New Roman" w:cs="Times New Roman"/>
          <w:caps w:val="0"/>
          <w:smallCaps w:val="0"/>
          <w:u w:val="single"/>
          <w:lang w:eastAsia="zh-CN"/>
        </w:rPr>
      </w:pPr>
      <w:r>
        <w:rPr>
          <w:rFonts w:hint="eastAsia" w:ascii="Times New Roman" w:hAnsi="Times New Roman" w:cs="Times New Roman"/>
          <w:caps w:val="0"/>
          <w:smallCaps w:val="0"/>
          <w:u w:val="single"/>
          <w:lang w:eastAsia="zh-CN"/>
        </w:rPr>
        <w:t>种类组成</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洞庭湖最早的鱼类资源的系统报道是1977年湖南水产研究所洞庭湖鱼类为110种的报道。1979年唐家汉、钱名全初步鉴定洞庭湖鱼类为114种（或亚种），分隶属12目、23科、70属[4]。窦鸿身、姜加虎在2000年出版发行的《洞庭湖》中，报道洞庭湖鱼类为12目22科104种[5]。</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2002年柳富荣报道洞庭湖鱼类有117种，分属12目23科[6]。2000年，廖伏初、何兴春、何望等报道的洞庭湖鱼类资源的种类和数据与柳富荣的研究基本一致[7]。2006年胡军华、胡慧建和何木盈等记录西洞庭湖有淡水鱼类111种[8]。廖伏初、何兴春和何望等报道通过2000～2006年对洞庭湖鱼类资源的调查研究表明洞庭湖的鱼类资源结构类型较20世纪70年代有了较大的改变。但是，7年间仍监测到鱼类111种，隶属12目、21科，数量较多的鱼类有鲤(Cyprinus carpio)、鲫(Carassius auratus)、鮎(Sliurus asotus)、黄颡鱼(Pelteobagrus fulvidraco)等，但是未监测到白鲟(Psephuyrus gladius)、鲥鱼(Tenualosa reevesii)、湘华鲮(Sinilabeo decorus tungting)、中华倒刺鲃(Spinibarbus sinensis)、白甲鱼(Onychostoma simus)、稀有白甲鱼(Onychostoma rarus)等珍稀、濒危鱼类品种[9]。2008年，袁正科出版发行了《洞庭湖湿地资源与环境》[10]，报道2004～2008年在洞庭湖设置33个监测点采集鱼类标本共134000余份，经鉴定仅有7目、16科、86种，比以前资料报道的数量少了30余种。其中，白鲟、鲥鱼、白甲鱼、稀有白甲鱼等珍稀物种已经消失。</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2016年东洞庭湖科考中调查到保护区内有鱼类84种。2021年伍远安等人出版的《湖南鱼类志》表明洞庭湖共分布有鱼类136种，隶属于13目26科76属，鲤形目鱼类是洞庭湖鱼类的主要组成部分，有5科50属85种，占洞庭湖鱼类总数的62.5%；鲇形目次之，有4科5属16种，占总数的11.8%；鰕鯱目有2科4属7种，占总数的5.1%；鲈形目1科1属5种，占总数的3.7%；胡瓜鱼目等9目14科16属共23种，占总数的16.9%[11]。</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根据本单位2018年9月在该水域鱼类资源进行了现场调查，共采集到鱼类166尾，经鉴定采集到鱼类有26种。同时，根据岳阳市洞庭湖江豚保护中心提供的2021</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年10月在湘江岳阳段水域开展渔业资源监测数据，共统计渔获物577尾，125.697kg，17种。</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综上，通过实地调查和文献考证，2008年后水域分布或曾有记录的鱼类122种，分别隶属于9目20科。</w:t>
      </w:r>
    </w:p>
    <w:p>
      <w:pPr>
        <w:pStyle w:val="7"/>
        <w:spacing w:before="139" w:line="240" w:lineRule="auto"/>
        <w:ind w:right="0"/>
        <w:jc w:val="left"/>
        <w:rPr>
          <w:rFonts w:ascii="Times New Roman" w:hAnsi="Times New Roman" w:cs="Times New Roman"/>
          <w:b w:val="0"/>
          <w:bCs w:val="0"/>
          <w:caps w:val="0"/>
          <w:smallCaps w:val="0"/>
          <w:u w:val="single"/>
        </w:rPr>
      </w:pPr>
      <w:r>
        <w:rPr>
          <w:rFonts w:ascii="Times New Roman" w:hAnsi="Times New Roman" w:cs="Times New Roman"/>
          <w:caps w:val="0"/>
          <w:smallCaps w:val="0"/>
          <w:spacing w:val="-1"/>
          <w:u w:val="single"/>
        </w:rPr>
        <w:t>鱼类区系组成</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评价区鱼类主要由5个区系复合体构成，即：</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中国平原区系复合体：保护区有青鱼、草鱼、䱗、鲢、鳙、银鲴、黄尾鲴、鲤、鲫等为代表种类。这类鱼的特点：很大部份产漂流性鱼卵，一部分鱼虽产粘性卵但粘性不大，卵产出后附着在物体上，不久即脱离，顺水漂流并发育；该复合体的鱼类都对水位变动敏感，许多种类在水位升高时从湖泊进入江河产卵，幼鱼和产过卵的亲鱼入湖泊育肥。在北方，当秋季水位下降时，鱼类又回到江河中越冬；它们中不少种类食物单纯，如草鱼食草，青鱼食贝类，生长迅速。</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南方平原区系复合体：保护区有乌鳢、沙塘鳢、黄鳝、刺鳅。这类鱼身上花纹较多，有些种类具棘和吸取游离氧的副呼吸器官，如鳢的鳃上器，黄鳝的口腔表皮等。此类鱼喜暖水，在北方选择温度最高的盛夏繁殖，多能保护鱼卵和幼鱼，分布在东亚，愈往低纬度地带种类愈多。分布除东南亚外，印度也有一些种类。说明此类鱼适合在炎热气候、多水草易缺氧的浅水湖泊池沼中生活。</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（3）南方山地区系复合体：本复合体种类有中华纹胸鮡。此类鱼有特化的吸附构造，如吸盘等，适应于南方山区急流的河流中生活。分布于我国南部山区及东南亚山区河流中，经济价值不大。</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4）晚第三纪早期区系复合体：保护区有泥鳅、鲇、高体鳑鲏等。该动物区系复合体被分割成若干不连续的区域，有的种类并存于欧亚，但在西伯利亚已绝迹，故这些鱼类被看作残遗种类。它们共同特征是视觉不发达，嗅觉发达，以底栖生物为食者较多，适应于当时浑浊的水中生活。</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（5）北方平原区系复合体：代表种类有麦穗鱼。它们耐寒，较耐盐碱，产卵季节较早，在地层中出现得比中国平原复合体靠下，在高纬度分布较广，随着纬度的降低，这一复合体种的数目和种群数量逐渐减少。</w:t>
      </w:r>
    </w:p>
    <w:p>
      <w:pPr>
        <w:pStyle w:val="7"/>
        <w:spacing w:before="139" w:line="240" w:lineRule="auto"/>
        <w:ind w:right="0"/>
        <w:jc w:val="left"/>
        <w:rPr>
          <w:rFonts w:ascii="Times New Roman" w:hAnsi="Times New Roman" w:cs="Times New Roman"/>
          <w:caps w:val="0"/>
          <w:smallCaps w:val="0"/>
          <w:spacing w:val="-1"/>
          <w:u w:val="single"/>
        </w:rPr>
      </w:pPr>
      <w:r>
        <w:rPr>
          <w:rFonts w:ascii="Times New Roman" w:hAnsi="Times New Roman" w:cs="Times New Roman"/>
          <w:caps w:val="0"/>
          <w:smallCaps w:val="0"/>
          <w:spacing w:val="-1"/>
          <w:u w:val="single"/>
        </w:rPr>
        <w:t>生态类型</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1、食性类型根据保护区成鱼的摄食对象，可以将保护区鱼类划分为5类：</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（1）以丝状藻类和水生维管束为主要食物的种类，如赤眼鳟、鳊、草鱼、团头鲂等。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（2）以底栖无脊椎动物为主要食物的种类，如青鱼、鲤、吻鮈、大部分鳅科鱼类、鲿科、铜鱼等。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（3）以鱼类为主要食物种类，也摄食水生昆虫和甲壳动物，如蒙古鲌、鳜类、翘嘴鲌、长吻鮠、乌鳢等。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（4）以着生藻类为主要食物的种类，如细鳞鲴、黄尾鲴、圆吻鲴、银鲴等。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（5）以浮游生物为主要食物种类，如鲢、鳙、䱗、银鱼科等。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2、产卵类型保护区鱼类依据繁殖习性可分为4个类群：</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（1）产粘沉性卵类群本水域鱼类绝大多数鱼类为产粘沉性卵类群。</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这一类群包括包括鲇形目的长吻鮠、黄颡鱼、瓦氏黄颡鱼、鲇等。鲤科的南方马口鱼、鲤、鲫、团头鲂、黄尾鲴、鳅科的泥鳅等。其产卵季节多为春夏间，也有部分种类晚至秋季，且对产卵水域流态底质有不同的适应性，多数种类都需要一定的流水刺激。产出的卵或粘附于石砾、水草发育，或落于石缝间在激流冲击下发育。</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少数鱼类产卵时不需要水流刺激，可在静缓流水环境下繁殖，产粘性卵，其卵有的黏附于水草发育，如鲤、鲫、泥鳅等；有的黏附于砾石，如鲇等。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产漂流性卵类群产漂流性卵鱼类，产卵需要湍急的水流条件，通常在汛期洪峰发生后产卵。这一类鱼卵比重略大于水，但产出后卵膜吸水膨胀，在水流的外力作用下，鱼卵悬浮在水层中顺水漂流。孵化出的早期仔鱼，仍然要顺水漂流。从卵产出到仔鱼具备溯游能力。这类鱼主要为“四大家鱼”青鱼、草鱼、鲢、鳙、铜鱼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（3）产浮性卵类群</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乌鳢、斑鳜、大眼鳜等鱼类的卵具油球，在水中漂浮发育。</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（4）特异性产卵类群中华鳑鲏、高体鳑鲏多产卵于蚌类的鳃瓣中发育。3、栖息类型根据水域流态特征及鱼类的栖息特点，调查水域鱼类大致可分为以下2个类群。</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流水类群此类群主要或完全生活在江河流水环境中，体长形，略侧扁，游泳能力强，适应于流水生活。它们或以水底砾石等物体表面附着藻类为食，或以有机碎屑为食，或以底栖无脊椎动物为食，或以软体动物为食，或主要以水草为食，或主要以鱼虾类为食，甚或为杂食性；或以浮游动植物为食。该类群有南方马口鱼、青鱼、草鱼、鳙、鲢、翘嘴鲌、银鲴、蛇鮈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静缓流类群此类群适宜生活于静缓流水水体中，或以浮游动植物为食，或杂食，或动物性食性，部分种类须在流水环境下产漂流性卵或可归于流水性种类，该类群种类有银鲴、黑鳍鳈、泥鳅、中华鳑鲏、棒花鱼、鲤、鲫、鲇、大口鲇、大眼鳜、斑鳜、乌鳢、黄鳝等。</w:t>
      </w:r>
    </w:p>
    <w:p>
      <w:pPr>
        <w:pStyle w:val="7"/>
        <w:spacing w:before="139" w:line="240" w:lineRule="auto"/>
        <w:ind w:right="0"/>
        <w:jc w:val="left"/>
        <w:rPr>
          <w:rFonts w:ascii="Times New Roman" w:hAnsi="Times New Roman" w:cs="Times New Roman"/>
          <w:caps w:val="0"/>
          <w:smallCaps w:val="0"/>
          <w:spacing w:val="-1"/>
          <w:u w:val="single"/>
        </w:rPr>
      </w:pPr>
      <w:bookmarkStart w:id="83" w:name="_bookmark62"/>
      <w:bookmarkEnd w:id="83"/>
      <w:bookmarkStart w:id="84" w:name="4.3.4渔获物组成及渔获量"/>
      <w:bookmarkEnd w:id="84"/>
      <w:r>
        <w:rPr>
          <w:rFonts w:ascii="Times New Roman" w:hAnsi="Times New Roman" w:cs="Times New Roman"/>
          <w:caps w:val="0"/>
          <w:smallCaps w:val="0"/>
          <w:spacing w:val="-1"/>
          <w:u w:val="single"/>
        </w:rPr>
        <w:t>渔获物组成及渔获量</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（1）渔获物现场调查</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根据2018年在该水域做的研究成果《汨罗市打靶湖采区采砂对湖南东洞庭湖国家级自然保护区生态影响专题报告》，2018年9月，调查人员对东洞庭湖湘江江段鱼类资源进行了现场调查，该水域位于本工程下游10km处，调查以统计渔民渔获物的方式进行，共调查到鱼类26种166尾。渔获物以贝氏餐、䱗、黄颡鱼、鲤、鲫、黄尾鲴等多适宜在静缓流水生存的鱼类为主。2021年现场访问码头船夫，调查到鱼类主要为䱗、鲤、鲫和黄颡鱼等为优势类群。</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根据岳阳市洞庭湖江豚保护中心提供的2021年10月在湘江岳阳段水域开展渔业资源监测数据，共统计渔获物577尾，125.697kg。调查期间，共监测鱼类17种，隶属于4目5科，以鲤形目为主，优势种为团头鲂、红鳍原鲌、鲢、达氏鲌。从数量来看，以团头鲂数量最多，占46.97%，其次为红鳍原鲌，占18.89%，其余种类数量占比均低于10%。从重量来看，以团头鲂重量最大，占41.59%，其次为红鳍原鲌，占14.57%，再其次为鲢，占12.47%，其余种类占比均小于10%。</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（2）渔获量</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根据访问调查，保护区2012～2016年捕捞量介于5990～6430吨之间，捕捞渔获物以鲤、鲫、鲶、黄颡鱼、鳜、鳊、团头鲂、翘嘴鲌等种类为主，铜鱼在城陵矶三江口有一定捕捞量，短颌鲚在春节后有一定捕捞量，但所占比例均较小。</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近年来开始实施禁捕，按照国家部署，2019年底前，长江流域所有水生生物保护区完成渔民退捕，全面禁止生产性捕捞。2019年9月25日，《湖南省人民政府办公厅关于加强全省水生生物保护工作的实施意见》要求，全省44个水生生物保护区，2019年实现全部永久禁渔，计划2020年6月前保护区以外长江水域禁渔。岳阳县辖区东洞庭湖面积1328平方公里，且整个水域面积同时也属于国家级水产种质资源保护区，是长江流域重点水域禁捕退捕的主战场，也是全省的试点县。2019年12月20日，岳阳县发布《关于在全县重点水域实行全面禁捕的通告》，禁止在岳阳东洞庭湖水域进行各类非法捕捞行为。2020年1月1日，湖南省人民政府发布《关于湖南省长江流域重点水域禁捕的通告》，禁捕水域包括①水生生物保护区；②长江湖南段、洞庭湖、湘资沅澧“四水”干流水域；③湘资沅遭“四水”支流除水生生物自然保护区和水产种质资源保护区以外的天然水域。禁捕时间为自2021年1月1日0时起，实行暂定为期10年的常年禁捕，期间禁止天然渔业资源的生产性捕捞。</w:t>
      </w:r>
    </w:p>
    <w:p>
      <w:pPr>
        <w:pStyle w:val="7"/>
        <w:spacing w:before="170" w:line="240" w:lineRule="auto"/>
        <w:ind w:right="0"/>
        <w:jc w:val="left"/>
        <w:rPr>
          <w:rFonts w:ascii="Times New Roman" w:hAnsi="Times New Roman" w:cs="Times New Roman"/>
          <w:b w:val="0"/>
          <w:bCs w:val="0"/>
          <w:caps w:val="0"/>
          <w:smallCaps w:val="0"/>
          <w:u w:val="single"/>
        </w:rPr>
      </w:pPr>
      <w:r>
        <w:rPr>
          <w:rFonts w:ascii="Times New Roman" w:hAnsi="Times New Roman" w:cs="Times New Roman"/>
          <w:caps w:val="0"/>
          <w:smallCaps w:val="0"/>
          <w:spacing w:val="-1"/>
          <w:u w:val="single"/>
        </w:rPr>
        <w:t>鱼类重要生境</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产卵场和索饵场产卵场：洞庭湖分布有鲤、鲫、鲶、黄颡鱼等定居性鱼类产卵场，鲌鱼、鲴鱼等流水产粘性卵鱼类产卵场（短距离洄游性鱼类产卵场），刀鲚等流水产浮性卵鱼类产卵场。以上不同生态类型的鱼类产卵场可归纳为两类，一类是粘性卵鱼类产卵场，包括鲤、鲫、鲶、黄颡鱼、鲂、鳊、鲴、鲌等，洞庭湖鱼类中多数产粘性卵，分布广，规模大，淹没洲滩浅水区，水深0.5m左右，有草类等卵粘介质的地方就有鱼类产卵繁殖，其产卵场面积与洞庭湖水位密切相关；另一类为浮性卵鱼类产卵场，主要产卵鱼类包括鳜类、鲚类及银鱼类的鱼类，由于洞庭湖的环境变化，该类产卵场处于衰退状态。</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根据2018年《汨罗市打靶湖采区采砂工程对湖南东洞庭湖国家级自然保护区生态影响专题报告书》中的调查结果得知，岳阳东洞庭湖江豚市级自然保护区两种生态类型的产卵场均有分布，有粘性卵鱼类产卵场8处，面积约100～150km2，主要分布在君山后湖、上红旗湖、下红旗湖、新墙河入口等处；有浮性卵鱼类产卵场6处，主要分布在三江口，华容河外河河湖交界水域的大坝、二坝、三坝附近，藕池潭入口河湖交界水域。根据现场调查，本工程为提质改造技改工程，原有老码头沿岸固化，码头附近几公里均有码头分布，沿岸岸线固化，受人为干扰较大，无水生植物分布，工程河段不存在鱼类产卵场和索饵场，距本工程最近的产卵场为下游9km处的产粘性鱼类产卵场。</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索饵场：主要经济鱼类索饵场一般跟产卵场分布重叠，但面积比产卵场大。</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越冬场冬季来临之前，鱼类的活动能力将减低，为了保证在寒冷的季节有适宜的栖息条件，往往进行由浅水环境向深水或由水域的北部向南部移动的越冬洄游，方向稳定。越冬场一般位于干流的河床深处或坑穴中，水体宽大而深，一般水深3～4m以上，多为河沱、河槽、湾沱、回水或微流水或流水，底质多为乱石或礁石，凹凸不平。保护区水量充沛，深沟、深潭众多，为鱼类提供了天然的越冬场所。</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距离本工程区最近的越冬场为下游23km处的磊石村附近，该水域深沟、深潭众多，为鱼类提供了天然的越冬场所，主要越冬鱼类为青鱼、草鱼、鲢、鳙、鲤、鲫、翘嘴鲌、鮎、乌鳢、黄颡鱼等经济鱼类。</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3）洄游通道洞庭湖是长江、湖南四水鱼类重要的肥育场所，东洞庭湖是现存洞庭湖最大的子湖，其鱼类资源除定居性鱼类外，主要来自于长江、湘江，江河鱼苗通过长江四口、湖南四水漂流入洞庭湖，在洞庭湖摄食肥育生长，成熟亲鱼通过湘江洪道等洄游通道洄游到江河上游产卵繁殖。</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主要洄游物种为“四大家鱼”等江河半洄游性鱼类，刀鲚等江海洄游性鱼类。施工区所在位置是许多重要水生动物的洄游通道。工程所在处江段四大家鱼的主要繁殖期和苗种洄游期是4-7月，刀鲚等4-7月经过该江段。</w:t>
      </w:r>
    </w:p>
    <w:p>
      <w:pPr>
        <w:pStyle w:val="6"/>
        <w:rPr>
          <w:rFonts w:ascii="Times New Roman" w:hAnsi="Times New Roman" w:cs="Times New Roman"/>
          <w:caps w:val="0"/>
          <w:smallCaps w:val="0"/>
          <w:spacing w:val="1"/>
          <w:u w:val="single"/>
        </w:rPr>
      </w:pPr>
      <w:r>
        <w:rPr>
          <w:rFonts w:ascii="Times New Roman" w:hAnsi="Times New Roman" w:cs="Times New Roman"/>
          <w:caps w:val="0"/>
          <w:smallCaps w:val="0"/>
          <w:spacing w:val="1"/>
          <w:u w:val="single"/>
        </w:rPr>
        <w:t>保护区饵料生物资源现状</w:t>
      </w:r>
    </w:p>
    <w:p>
      <w:pPr>
        <w:pStyle w:val="7"/>
        <w:spacing w:line="240" w:lineRule="auto"/>
        <w:ind w:right="0"/>
        <w:jc w:val="left"/>
        <w:rPr>
          <w:rFonts w:ascii="Times New Roman" w:hAnsi="Times New Roman" w:cs="Times New Roman"/>
          <w:b w:val="0"/>
          <w:bCs w:val="0"/>
          <w:caps w:val="0"/>
          <w:smallCaps w:val="0"/>
          <w:u w:val="single"/>
        </w:rPr>
      </w:pPr>
      <w:bookmarkStart w:id="85" w:name="_bookmark66"/>
      <w:bookmarkEnd w:id="85"/>
      <w:bookmarkStart w:id="86" w:name="4.5.1 浮游植物"/>
      <w:bookmarkEnd w:id="86"/>
      <w:r>
        <w:rPr>
          <w:rFonts w:ascii="Times New Roman" w:hAnsi="Times New Roman" w:cs="Times New Roman"/>
          <w:caps w:val="0"/>
          <w:smallCaps w:val="0"/>
          <w:spacing w:val="-1"/>
          <w:u w:val="single"/>
        </w:rPr>
        <w:t>浮游植物</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（1）种类组成</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2021年9月，项目组技术人员对评价水域进行水生生态调查，4个调查点位共检出浮游植物6门，55种（属），浮游植物名录见附表2。藻类中硅藻门藻类种（属）数最，为24种（属），占43.64%；绿藻门次之，为18种（属），占32.73%；蓝藻门9种（属），占16.36%；裸藻门2种（属），占3.64%；甲藻门和黄藻门各1种（属），各占1.82%。调查水域浮游植物以硅藻门为主，绿藻门次之。评价区内常见类群有微囊藻（Microcystis sp.）、巨颤藻（Oscillatoria princeps）、鱼腥藻（Anabaena sp.）、颗粒直链藻（Melosira granulata）、二角盘星藻（Pediastrum duplex）、实球藻（Pandorina sp.）等。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（2）密度和生物量</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各采样点位的藻类现存量见表4.5-2，采样点的平均密度为137.59×104ind./L，平均生物量为0.0556mg/L。从表中可看出，各采样点浮游植物密度变化范围为81.24-204.12×104ind./L，生物量变化范围为0.0351-0.0764mg/L。</w:t>
      </w:r>
    </w:p>
    <w:p>
      <w:pPr>
        <w:spacing w:before="1" w:line="60" w:lineRule="exact"/>
        <w:rPr>
          <w:rFonts w:ascii="Times New Roman" w:hAnsi="Times New Roman" w:cs="Times New Roman"/>
          <w:caps w:val="0"/>
          <w:smallCaps w:val="0"/>
          <w:sz w:val="6"/>
          <w:szCs w:val="6"/>
          <w:u w:val="single"/>
        </w:rPr>
      </w:pPr>
    </w:p>
    <w:p>
      <w:pPr>
        <w:pStyle w:val="7"/>
        <w:spacing w:before="19" w:line="240" w:lineRule="auto"/>
        <w:ind w:right="0"/>
        <w:jc w:val="left"/>
        <w:rPr>
          <w:rFonts w:ascii="Times New Roman" w:hAnsi="Times New Roman" w:cs="Times New Roman"/>
          <w:b w:val="0"/>
          <w:bCs w:val="0"/>
          <w:caps w:val="0"/>
          <w:smallCaps w:val="0"/>
          <w:u w:val="single"/>
        </w:rPr>
      </w:pPr>
      <w:bookmarkStart w:id="87" w:name="4.5.2浮游动物"/>
      <w:bookmarkEnd w:id="87"/>
      <w:bookmarkStart w:id="88" w:name="_bookmark67"/>
      <w:bookmarkEnd w:id="88"/>
      <w:r>
        <w:rPr>
          <w:rFonts w:ascii="Times New Roman" w:hAnsi="Times New Roman" w:cs="Times New Roman"/>
          <w:caps w:val="0"/>
          <w:smallCaps w:val="0"/>
          <w:spacing w:val="-1"/>
          <w:u w:val="single"/>
        </w:rPr>
        <w:t>浮游动物</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（1）种类组成</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4个采样点共检出浮游动物49种（属），详见浮游动物名录附表3。其中原生动物10种，占浮游动物种类的20.41%；轮虫24种，占48.98%；枝角类5种，占10.20%；桡足类10种，占20.41%。各采样点，浮游动物常见种类有砂壳虫（Difflugia sp.）、表壳虫（Arcella sp.）、角突臂尾轮虫（Brachionus angularis）、针簇多肢轮虫（Polyarthra trigla）、长额象鼻溞（Bosmina longirostris）、无节幼体（Nauplius）等。</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（2）密度和生物量</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各个采样点浮游动物的现存量见表4.5-4，采样点的浮游动物平均密度为174.35ind./L，平均生物量为0.351mg/L。各采样点浮游动物密度范围为113-258.2ind./L，生物量变化范围为0.109-0.473mg/L。</w:t>
      </w:r>
    </w:p>
    <w:p>
      <w:pPr>
        <w:pStyle w:val="7"/>
        <w:spacing w:before="19" w:line="240" w:lineRule="auto"/>
        <w:ind w:right="0"/>
        <w:jc w:val="left"/>
        <w:rPr>
          <w:rFonts w:ascii="Times New Roman" w:hAnsi="Times New Roman" w:cs="Times New Roman"/>
          <w:caps w:val="0"/>
          <w:smallCaps w:val="0"/>
          <w:spacing w:val="-1"/>
          <w:u w:val="single"/>
        </w:rPr>
      </w:pPr>
      <w:bookmarkStart w:id="89" w:name="_bookmark68"/>
      <w:bookmarkEnd w:id="89"/>
      <w:bookmarkStart w:id="90" w:name="4.5.3底栖动物"/>
      <w:bookmarkEnd w:id="90"/>
      <w:r>
        <w:rPr>
          <w:rFonts w:ascii="Times New Roman" w:hAnsi="Times New Roman" w:cs="Times New Roman"/>
          <w:caps w:val="0"/>
          <w:smallCaps w:val="0"/>
          <w:spacing w:val="-1"/>
          <w:u w:val="single"/>
        </w:rPr>
        <w:t>底栖动物</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（1）种类组成</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根据现场采样鉴定及历史资料搜集，评价区共检出底栖动物3门20种（属），详见底栖动物名录附表4。其中软体动物门有9种（属），占底栖动物种类的45.0%；节肢动物门有7种（属），占总数的35.0%；环节动物门有4种（属），占总数的20.0%。各采样点，底栖动物常见种类有水丝蚓（Limnodrilus sp.）、环棱螺（Semisulcospira sp.）、河蚬（Corbicula fluminea）等。其中背瘤丽蚌（Lamprotula leai）为国家二级保护动物；三型矛蚌和中华圆田螺为湖南省重点保护野生水生动物均为历史记录种，本次调查中在评价范围内未调查到。</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（2）密度和生物量</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各个采样点底栖动物的现存量见表4.5-6，采样点的底栖动物平均密度为165.33ind./m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，平均生物量为32.096g/m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。各采样点底栖动物密度范围为21.33-362.67ind./m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，生物量变化范围为3.243-56.149g/m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w:t>
      </w:r>
    </w:p>
    <w:p>
      <w:pPr>
        <w:pStyle w:val="7"/>
        <w:spacing w:before="19" w:line="240" w:lineRule="auto"/>
        <w:ind w:right="0"/>
        <w:jc w:val="left"/>
        <w:rPr>
          <w:rFonts w:ascii="Times New Roman" w:hAnsi="Times New Roman" w:cs="Times New Roman"/>
          <w:b w:val="0"/>
          <w:bCs w:val="0"/>
          <w:caps w:val="0"/>
          <w:smallCaps w:val="0"/>
          <w:u w:val="single"/>
        </w:rPr>
      </w:pPr>
      <w:bookmarkStart w:id="91" w:name="_bookmark69"/>
      <w:bookmarkEnd w:id="91"/>
      <w:bookmarkStart w:id="92" w:name="4.5.4水生维管束植物"/>
      <w:bookmarkEnd w:id="92"/>
      <w:r>
        <w:rPr>
          <w:rFonts w:ascii="Times New Roman" w:hAnsi="Times New Roman" w:cs="Times New Roman"/>
          <w:caps w:val="0"/>
          <w:smallCaps w:val="0"/>
          <w:spacing w:val="-1"/>
          <w:u w:val="single"/>
        </w:rPr>
        <w:t>水生维管束植物</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根据调查，评价区江段共有水生维管束植物18科24种（属），评价区水生维管束植物名录见附表5。沉水植物有金鱼藻（Ceratophyllum demersum）、菹草（Potamogeton crispus）等；挺水植物有水蓼（Polygonum hydropiper）、芦苇（Phragmites australis）等；浮叶植物有芡实（Euryale ferox）、凤眼蓝（Eichhornia crassipes）等；漂浮植物有浮萍（Lemna minor）、满江红（Azolla imbricata）等。工程区河段及其沿岸由于船只和车辆活动的原因，受人为干扰相对较大，水生维管束植物种类丰富度相对不高，主要水生维管束植物以芦苇为主，间有水廖、假稻等。</w:t>
      </w:r>
    </w:p>
    <w:p>
      <w:pPr>
        <w:pStyle w:val="3"/>
        <w:rPr>
          <w:rFonts w:ascii="Times New Roman" w:hAnsi="Times New Roman" w:cs="Times New Roman"/>
          <w:caps w:val="0"/>
          <w:smallCaps w:val="0"/>
        </w:rPr>
      </w:pPr>
    </w:p>
    <w:p>
      <w:pPr>
        <w:pStyle w:val="3"/>
        <w:rPr>
          <w:rFonts w:ascii="Times New Roman" w:hAnsi="Times New Roman" w:cs="Times New Roman"/>
          <w:caps w:val="0"/>
          <w:smallCaps w:val="0"/>
        </w:rPr>
      </w:pPr>
    </w:p>
    <w:p>
      <w:pPr>
        <w:pStyle w:val="3"/>
        <w:rPr>
          <w:rFonts w:ascii="Times New Roman" w:hAnsi="Times New Roman" w:cs="Times New Roman"/>
          <w:caps w:val="0"/>
          <w:smallCaps w:val="0"/>
        </w:rPr>
        <w:sectPr>
          <w:headerReference r:id="rId12" w:type="default"/>
          <w:footerReference r:id="rId13" w:type="default"/>
          <w:pgSz w:w="11906" w:h="16838"/>
          <w:pgMar w:top="1814" w:right="1701" w:bottom="1814" w:left="1701" w:header="794" w:footer="964" w:gutter="0"/>
          <w:pgBorders>
            <w:top w:val="none" w:sz="0" w:space="0"/>
            <w:left w:val="none" w:sz="0" w:space="0"/>
            <w:bottom w:val="none" w:sz="0" w:space="0"/>
            <w:right w:val="none" w:sz="0" w:space="0"/>
          </w:pgBorders>
          <w:pgNumType w:fmt="decimal" w:chapStyle="1"/>
          <w:cols w:space="720" w:num="1"/>
          <w:docGrid w:linePitch="312" w:charSpace="0"/>
        </w:sectPr>
      </w:pPr>
    </w:p>
    <w:p>
      <w:pPr>
        <w:pStyle w:val="4"/>
        <w:spacing w:line="480" w:lineRule="auto"/>
        <w:ind w:left="431" w:hanging="431"/>
        <w:jc w:val="center"/>
        <w:rPr>
          <w:rFonts w:ascii="Times New Roman" w:hAnsi="Times New Roman" w:cs="Times New Roman" w:eastAsiaTheme="minorEastAsia"/>
          <w:b/>
          <w:caps w:val="0"/>
          <w:smallCaps w:val="0"/>
          <w:sz w:val="32"/>
          <w:szCs w:val="32"/>
        </w:rPr>
      </w:pPr>
      <w:r>
        <w:rPr>
          <w:rFonts w:hint="eastAsia" w:ascii="Times New Roman" w:hAnsi="Times New Roman" w:cs="Times New Roman" w:eastAsiaTheme="minorEastAsia"/>
          <w:b/>
          <w:caps w:val="0"/>
          <w:smallCaps w:val="0"/>
          <w:sz w:val="32"/>
          <w:szCs w:val="32"/>
          <w:lang w:val="en-US" w:eastAsia="zh-CN"/>
        </w:rPr>
        <w:t xml:space="preserve">   </w:t>
      </w:r>
      <w:bookmarkStart w:id="93" w:name="_Toc2020"/>
      <w:r>
        <w:rPr>
          <w:rFonts w:ascii="Times New Roman" w:hAnsi="Times New Roman" w:cs="Times New Roman" w:eastAsiaTheme="minorEastAsia"/>
          <w:b/>
          <w:caps w:val="0"/>
          <w:smallCaps w:val="0"/>
          <w:sz w:val="32"/>
          <w:szCs w:val="32"/>
        </w:rPr>
        <w:t>环境影响预测与评价</w:t>
      </w:r>
      <w:bookmarkEnd w:id="93"/>
    </w:p>
    <w:p>
      <w:pPr>
        <w:pStyle w:val="5"/>
        <w:rPr>
          <w:rFonts w:ascii="Times New Roman" w:hAnsi="Times New Roman" w:cs="Times New Roman" w:eastAsiaTheme="minorEastAsia"/>
          <w:b/>
          <w:caps w:val="0"/>
          <w:smallCaps w:val="0"/>
        </w:rPr>
      </w:pPr>
      <w:bookmarkStart w:id="94" w:name="_Toc1647851"/>
      <w:bookmarkEnd w:id="94"/>
      <w:bookmarkStart w:id="95" w:name="_Toc335720735"/>
      <w:bookmarkEnd w:id="95"/>
      <w:bookmarkStart w:id="96" w:name="_Toc18348"/>
      <w:r>
        <w:rPr>
          <w:rFonts w:ascii="Times New Roman" w:hAnsi="Times New Roman" w:cs="Times New Roman" w:eastAsiaTheme="minorEastAsia"/>
          <w:b/>
          <w:caps w:val="0"/>
          <w:smallCaps w:val="0"/>
        </w:rPr>
        <w:t>地表水环境影响影响评价</w:t>
      </w:r>
      <w:bookmarkEnd w:id="96"/>
    </w:p>
    <w:p>
      <w:pPr>
        <w:pStyle w:val="6"/>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施工期地表水环境影响分析</w:t>
      </w:r>
    </w:p>
    <w:p>
      <w:pPr>
        <w:adjustRightInd w:val="0"/>
        <w:snapToGrid w:val="0"/>
        <w:spacing w:line="360" w:lineRule="auto"/>
        <w:ind w:firstLine="482"/>
        <w:rPr>
          <w:rFonts w:ascii="Times New Roman" w:hAnsi="Times New Roman" w:cs="Times New Roman" w:eastAsiaTheme="minorEastAsia"/>
          <w:caps w:val="0"/>
          <w:smallCaps w:val="0"/>
          <w:sz w:val="24"/>
          <w:szCs w:val="24"/>
          <w:u w:val="single"/>
        </w:rPr>
      </w:pPr>
      <w:r>
        <w:rPr>
          <w:rFonts w:ascii="Times New Roman" w:hAnsi="Times New Roman" w:cs="Times New Roman" w:eastAsiaTheme="minorEastAsia"/>
          <w:caps w:val="0"/>
          <w:smallCaps w:val="0"/>
          <w:sz w:val="24"/>
          <w:szCs w:val="24"/>
          <w:u w:val="single"/>
        </w:rPr>
        <w:t>拟建项目施工期污水主要发生在泊位建设、岸上辅助设施等建设过程中，对水环境的影响主要是底泥疏浚、主体结构水下施工对水环境的影响以及施工期生活污水、生产废水及船舶油污水对水环境的影响。</w:t>
      </w:r>
    </w:p>
    <w:p>
      <w:pPr>
        <w:pStyle w:val="7"/>
        <w:rPr>
          <w:rFonts w:ascii="Times New Roman" w:hAnsi="Times New Roman" w:cs="Times New Roman" w:eastAsiaTheme="minorEastAsia"/>
          <w:caps w:val="0"/>
          <w:smallCaps w:val="0"/>
          <w:u w:val="single"/>
        </w:rPr>
      </w:pPr>
      <w:r>
        <w:rPr>
          <w:rFonts w:ascii="Times New Roman" w:hAnsi="Times New Roman" w:cs="Times New Roman" w:eastAsiaTheme="minorEastAsia"/>
          <w:caps w:val="0"/>
          <w:smallCaps w:val="0"/>
          <w:u w:val="single"/>
        </w:rPr>
        <w:t>码头主体结构施工的水环境影响分析</w:t>
      </w:r>
    </w:p>
    <w:p>
      <w:pPr>
        <w:adjustRightInd w:val="0"/>
        <w:snapToGrid w:val="0"/>
        <w:spacing w:line="360" w:lineRule="auto"/>
        <w:ind w:firstLine="482"/>
        <w:rPr>
          <w:rFonts w:ascii="Times New Roman" w:hAnsi="Times New Roman" w:cs="Times New Roman" w:eastAsiaTheme="minorEastAsia"/>
          <w:caps w:val="0"/>
          <w:smallCaps w:val="0"/>
          <w:sz w:val="24"/>
          <w:szCs w:val="24"/>
          <w:u w:val="single"/>
        </w:rPr>
      </w:pPr>
      <w:r>
        <w:rPr>
          <w:rFonts w:ascii="Times New Roman" w:hAnsi="Times New Roman" w:cs="Times New Roman" w:eastAsiaTheme="minorEastAsia"/>
          <w:caps w:val="0"/>
          <w:smallCaps w:val="0"/>
          <w:sz w:val="24"/>
          <w:szCs w:val="24"/>
          <w:u w:val="single"/>
        </w:rPr>
        <w:t>码头主体结构的水域施工会对河流底泥进行扰动，造成施工区域附近水中SS浓度增高，影响水体水质。本项目码头主体结构的水域施工采取围堰法，码头主体结构施工过程在围堰内完成，对围堰外水域的影响较小，对水体的扰动仅发生在围堰的安装和拆除过程。</w:t>
      </w:r>
    </w:p>
    <w:p>
      <w:pPr>
        <w:adjustRightInd w:val="0"/>
        <w:snapToGrid w:val="0"/>
        <w:spacing w:line="360" w:lineRule="auto"/>
        <w:ind w:firstLine="482"/>
        <w:rPr>
          <w:rFonts w:ascii="Times New Roman" w:hAnsi="Times New Roman" w:cs="Times New Roman" w:eastAsiaTheme="minorEastAsia"/>
          <w:caps w:val="0"/>
          <w:smallCaps w:val="0"/>
          <w:sz w:val="24"/>
          <w:szCs w:val="24"/>
          <w:u w:val="single"/>
        </w:rPr>
      </w:pPr>
      <w:r>
        <w:rPr>
          <w:rFonts w:ascii="Times New Roman" w:hAnsi="Times New Roman" w:cs="Times New Roman" w:eastAsiaTheme="minorEastAsia"/>
          <w:caps w:val="0"/>
          <w:smallCaps w:val="0"/>
          <w:sz w:val="24"/>
          <w:szCs w:val="24"/>
          <w:u w:val="single"/>
        </w:rPr>
        <w:t>根据工程施工方案，本项目码头主体结构利用枯水期构筑围堰干地施工。根据同类工程类比分析，围堰施工和拆除过程中，局部水域的SS浓度在80~160mg/L之间，但施工点下游100m范围外SS增量不超过50mg/L，对下游100m范围外水域水质不产生污染影响。</w:t>
      </w:r>
    </w:p>
    <w:p>
      <w:pPr>
        <w:adjustRightInd w:val="0"/>
        <w:snapToGrid w:val="0"/>
        <w:spacing w:line="360" w:lineRule="auto"/>
        <w:ind w:firstLine="482"/>
        <w:rPr>
          <w:rFonts w:ascii="Times New Roman" w:hAnsi="Times New Roman" w:cs="Times New Roman" w:eastAsiaTheme="minorEastAsia"/>
          <w:caps w:val="0"/>
          <w:smallCaps w:val="0"/>
          <w:sz w:val="24"/>
          <w:szCs w:val="24"/>
          <w:u w:val="single"/>
        </w:rPr>
      </w:pPr>
      <w:r>
        <w:rPr>
          <w:rFonts w:ascii="Times New Roman" w:hAnsi="Times New Roman" w:cs="Times New Roman" w:eastAsiaTheme="minorEastAsia"/>
          <w:caps w:val="0"/>
          <w:smallCaps w:val="0"/>
          <w:sz w:val="24"/>
          <w:szCs w:val="24"/>
          <w:u w:val="single"/>
        </w:rPr>
        <w:t>因此，码头主体结构施工对水体影响范围在施工点100m以内，持续时间短，围堰和围堰拆除过程结束，这种影响也不复存在，对水质影响轻微。</w:t>
      </w:r>
    </w:p>
    <w:p>
      <w:pPr>
        <w:pStyle w:val="7"/>
        <w:rPr>
          <w:rFonts w:ascii="Times New Roman" w:hAnsi="Times New Roman" w:cs="Times New Roman" w:eastAsiaTheme="minorEastAsia"/>
          <w:caps w:val="0"/>
          <w:smallCaps w:val="0"/>
          <w:color w:val="000000" w:themeColor="text1"/>
          <w:u w:val="single"/>
          <w14:textFill>
            <w14:solidFill>
              <w14:schemeClr w14:val="tx1"/>
            </w14:solidFill>
          </w14:textFill>
        </w:rPr>
      </w:pPr>
      <w:r>
        <w:rPr>
          <w:rFonts w:ascii="Times New Roman" w:hAnsi="Times New Roman" w:cs="Times New Roman" w:eastAsiaTheme="minorEastAsia"/>
          <w:caps w:val="0"/>
          <w:smallCaps w:val="0"/>
          <w:color w:val="000000" w:themeColor="text1"/>
          <w:u w:val="single"/>
          <w14:textFill>
            <w14:solidFill>
              <w14:schemeClr w14:val="tx1"/>
            </w14:solidFill>
          </w14:textFill>
        </w:rPr>
        <w:t>码头前沿疏浚的水环境影响分析</w:t>
      </w:r>
    </w:p>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本项目水下土方疏浚量为</w:t>
      </w:r>
      <w:r>
        <w:rPr>
          <w:rFonts w:hint="eastAsia" w:ascii="Times New Roman" w:hAnsi="Times New Roman" w:cs="Times New Roman" w:eastAsiaTheme="minorEastAsia"/>
          <w:caps w:val="0"/>
          <w:smallCaps w:val="0"/>
          <w:color w:val="000000" w:themeColor="text1"/>
          <w:sz w:val="24"/>
          <w:szCs w:val="24"/>
          <w:u w:val="single"/>
          <w:lang w:val="en-US" w:eastAsia="zh-CN"/>
          <w14:textFill>
            <w14:solidFill>
              <w14:schemeClr w14:val="tx1"/>
            </w14:solidFill>
          </w14:textFill>
        </w:rPr>
        <w:t>2.1147</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m</w:t>
      </w:r>
      <w:r>
        <w:rPr>
          <w:rFonts w:ascii="Times New Roman" w:hAnsi="Times New Roman" w:cs="Times New Roman" w:eastAsiaTheme="minorEastAsia"/>
          <w:caps w:val="0"/>
          <w:smallCaps w:val="0"/>
          <w:color w:val="000000" w:themeColor="text1"/>
          <w:sz w:val="24"/>
          <w:szCs w:val="24"/>
          <w:u w:val="single"/>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，采用</w:t>
      </w:r>
      <w:r>
        <w:rPr>
          <w:rFonts w:hint="eastAsia" w:ascii="Times New Roman" w:hAnsi="Times New Roman" w:cs="Times New Roman" w:eastAsiaTheme="minorEastAsia"/>
          <w:caps w:val="0"/>
          <w:smallCaps w:val="0"/>
          <w:color w:val="000000" w:themeColor="text1"/>
          <w:sz w:val="24"/>
          <w:szCs w:val="24"/>
          <w:u w:val="single"/>
          <w:lang w:eastAsia="zh-CN"/>
          <w14:textFill>
            <w14:solidFill>
              <w14:schemeClr w14:val="tx1"/>
            </w14:solidFill>
          </w14:textFill>
        </w:rPr>
        <w:t>抓斗</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式挖泥船进行疏浚，类比相关试验研究结果</w:t>
      </w: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戴明新，挖泥船疏浚作业对环境影响的试验研究[J].交通环保，1997(4):7-9</w:t>
      </w: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，在作业点附近，底层水体悬浮物含量为200~260mg/L，表层水体悬浮物含量为100~180mg/L，悬浮物随流扩散120m左右后，水中悬浮物含量基本接近本底浓度，因此不会对施工河段水域水质产生明显影响</w:t>
      </w: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施工期生活污水和施工船舶油污水影响分析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施工不设施工营地，</w:t>
      </w:r>
      <w:r>
        <w:rPr>
          <w:rFonts w:ascii="Times New Roman" w:hAnsi="Times New Roman" w:cs="Times New Roman" w:eastAsiaTheme="minorEastAsia"/>
          <w:caps w:val="0"/>
          <w:smallCaps w:val="0"/>
          <w:sz w:val="24"/>
          <w:szCs w:val="24"/>
          <w:lang w:val="en-US" w:eastAsia="zh-CN"/>
        </w:rPr>
        <w:t>生活污水依托</w:t>
      </w:r>
      <w:r>
        <w:rPr>
          <w:rFonts w:hint="eastAsia" w:ascii="Times New Roman" w:hAnsi="Times New Roman" w:cs="Times New Roman" w:eastAsiaTheme="minorEastAsia"/>
          <w:caps w:val="0"/>
          <w:smallCaps w:val="0"/>
          <w:sz w:val="24"/>
          <w:szCs w:val="24"/>
          <w:lang w:val="en-US" w:eastAsia="zh-CN"/>
        </w:rPr>
        <w:t>海丰物流现有库</w:t>
      </w:r>
      <w:r>
        <w:rPr>
          <w:rFonts w:ascii="Times New Roman" w:hAnsi="Times New Roman" w:cs="Times New Roman" w:eastAsiaTheme="minorEastAsia"/>
          <w:caps w:val="0"/>
          <w:smallCaps w:val="0"/>
          <w:sz w:val="24"/>
          <w:szCs w:val="24"/>
          <w:lang w:val="en-US" w:eastAsia="zh-CN"/>
        </w:rPr>
        <w:t>区化粪池处理后</w:t>
      </w:r>
      <w:r>
        <w:rPr>
          <w:rFonts w:hint="eastAsia" w:ascii="Times New Roman" w:hAnsi="Times New Roman" w:cs="Times New Roman" w:eastAsiaTheme="minorEastAsia"/>
          <w:caps w:val="0"/>
          <w:smallCaps w:val="0"/>
          <w:sz w:val="24"/>
          <w:szCs w:val="24"/>
          <w:lang w:val="en-US" w:eastAsia="zh-CN"/>
        </w:rPr>
        <w:t>排入市政管网</w:t>
      </w:r>
      <w:r>
        <w:rPr>
          <w:rFonts w:ascii="Times New Roman" w:hAnsi="Times New Roman" w:cs="Times New Roman" w:eastAsiaTheme="minorEastAsia"/>
          <w:caps w:val="0"/>
          <w:smallCaps w:val="0"/>
          <w:sz w:val="24"/>
          <w:szCs w:val="24"/>
        </w:rPr>
        <w:t>。施工期船舶产生的船舶油污水和生活污水由施工单位负责交海事部门指定具有专业资质的接收船接收处理，对周边水域水质影响较小。</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施工期生产废水环境影响分析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施工废水主要来自施工场地机械冲洗废水、砂石料冲洗废水及施工场地地表径流水等。</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施工机械跑、冒、滴、漏的污油及冲洗后产生的油污染废水主要含石油类，如不经处理直接排放，会对项目所在地地表水造成油污染，污染水体如用于灌溉则会对农作物生长产生不利影响。砂石料冲洗废水SS含量较高，不处理直接排放会引起地表水浑浊。此外，雨水对施工场地上物料、机械冲刷形成的径流也含有SS、石油类等污染物。</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根据码头建设项目施工废水特征，施工期间在施工场地四周设置截水沟截留雨水径流，并在施工场地内设置隔油池和沉淀池对收集的施工废水进行隔油、沉淀处理，处理水首先循环回用于施工生产，其余用于施工现场的洒水防尘和车辆、机械冲洗，不向外排放，对本项目所在地地表水环境的影响较小。</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其它污水的水环境影响分析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结构施工时的砂浆、石灰等废液，以及建筑材料堆放时产生的初期雨水若处置不当，会污染周围环境，因此应采取以下措施：</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⑴</w:t>
      </w:r>
      <w:r>
        <w:rPr>
          <w:rFonts w:ascii="Times New Roman" w:hAnsi="Times New Roman" w:cs="Times New Roman" w:eastAsiaTheme="minorEastAsia"/>
          <w:caps w:val="0"/>
          <w:smallCaps w:val="0"/>
          <w:sz w:val="24"/>
          <w:szCs w:val="24"/>
        </w:rPr>
        <w:t>施工期的砂浆、石灰等废液应集中处理，干燥后与固体废物一起处置。</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⑵</w:t>
      </w:r>
      <w:r>
        <w:rPr>
          <w:rFonts w:ascii="Times New Roman" w:hAnsi="Times New Roman" w:cs="Times New Roman" w:eastAsiaTheme="minorEastAsia"/>
          <w:caps w:val="0"/>
          <w:smallCaps w:val="0"/>
          <w:sz w:val="24"/>
          <w:szCs w:val="24"/>
        </w:rPr>
        <w:t>水泥、黄砂、石灰类的建筑材料需集中堆放，并采取一定的防护措施，以免雨水冲刷污染附近水体，同时也避免了不必要的建筑材料经济损失。</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综上所述，施工期污水由于量小且较为分散，可以通过加强施工管理、充分利用各种污水处理设施来减轻其不利影响，其给环境带来的影响是局部的、短期的、可逆的、一般性的，一旦施工结束，影响也将很快消除。</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营运期地表水环境影响分析</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对河流水质影响分析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根据工程分析，本项目运营期的主要污水为：船舶含油废水、船舶生活污水、</w:t>
      </w:r>
      <w:r>
        <w:rPr>
          <w:rFonts w:hint="eastAsia" w:ascii="Times New Roman" w:hAnsi="Times New Roman" w:cs="Times New Roman" w:eastAsiaTheme="minorEastAsia"/>
          <w:caps w:val="0"/>
          <w:smallCaps w:val="0"/>
          <w:sz w:val="24"/>
          <w:szCs w:val="24"/>
          <w:lang w:val="en-US" w:eastAsia="zh-CN"/>
        </w:rPr>
        <w:t>趸船</w:t>
      </w:r>
      <w:r>
        <w:rPr>
          <w:rFonts w:ascii="Times New Roman" w:hAnsi="Times New Roman" w:cs="Times New Roman" w:eastAsiaTheme="minorEastAsia"/>
          <w:caps w:val="0"/>
          <w:smallCaps w:val="0"/>
          <w:sz w:val="24"/>
          <w:szCs w:val="24"/>
        </w:rPr>
        <w:t>冲洗水、</w:t>
      </w:r>
      <w:r>
        <w:rPr>
          <w:rFonts w:hint="eastAsia" w:ascii="Times New Roman" w:hAnsi="Times New Roman" w:cs="Times New Roman" w:eastAsiaTheme="minorEastAsia"/>
          <w:caps w:val="0"/>
          <w:smallCaps w:val="0"/>
          <w:sz w:val="24"/>
          <w:szCs w:val="24"/>
          <w:lang w:val="en-US" w:eastAsia="zh-CN"/>
        </w:rPr>
        <w:t>趸船</w:t>
      </w:r>
      <w:r>
        <w:rPr>
          <w:rFonts w:hint="eastAsia" w:ascii="Times New Roman" w:hAnsi="Times New Roman" w:cs="Times New Roman" w:eastAsiaTheme="minorEastAsia"/>
          <w:caps w:val="0"/>
          <w:smallCaps w:val="0"/>
          <w:sz w:val="24"/>
          <w:szCs w:val="24"/>
          <w:lang w:eastAsia="zh-CN"/>
        </w:rPr>
        <w:t>初期雨水</w:t>
      </w:r>
      <w:r>
        <w:rPr>
          <w:rFonts w:ascii="Times New Roman" w:hAnsi="Times New Roman" w:cs="Times New Roman" w:eastAsiaTheme="minorEastAsia"/>
          <w:caps w:val="0"/>
          <w:smallCaps w:val="0"/>
          <w:sz w:val="24"/>
          <w:szCs w:val="24"/>
        </w:rPr>
        <w:t>、码头生活污水等。</w:t>
      </w:r>
    </w:p>
    <w:p>
      <w:pPr>
        <w:adjustRightInd w:val="0"/>
        <w:snapToGrid w:val="0"/>
        <w:spacing w:line="360" w:lineRule="auto"/>
        <w:ind w:firstLine="482"/>
        <w:rPr>
          <w:rFonts w:ascii="Times New Roman" w:hAnsi="Times New Roman" w:cs="Times New Roman" w:eastAsiaTheme="minorEastAsia"/>
          <w:caps w:val="0"/>
          <w:smallCaps w:val="0"/>
          <w:sz w:val="24"/>
          <w:szCs w:val="24"/>
          <w:lang w:eastAsia="zh-CN"/>
        </w:rPr>
      </w:pPr>
      <w:r>
        <w:rPr>
          <w:rFonts w:hint="eastAsia" w:ascii="Times New Roman" w:hAnsi="Times New Roman" w:cs="Times New Roman" w:eastAsiaTheme="minorEastAsia"/>
          <w:caps w:val="0"/>
          <w:smallCaps w:val="0"/>
          <w:sz w:val="24"/>
          <w:szCs w:val="24"/>
          <w:lang w:val="en-US" w:eastAsia="zh-CN"/>
        </w:rPr>
        <w:t>1</w:t>
      </w:r>
      <w:r>
        <w:rPr>
          <w:rFonts w:ascii="Times New Roman" w:hAnsi="Times New Roman" w:cs="Times New Roman" w:eastAsiaTheme="minorEastAsia"/>
          <w:caps w:val="0"/>
          <w:smallCaps w:val="0"/>
          <w:sz w:val="24"/>
          <w:szCs w:val="24"/>
          <w:lang w:eastAsia="zh-CN"/>
        </w:rPr>
        <w:t>、</w:t>
      </w:r>
      <w:r>
        <w:rPr>
          <w:rFonts w:ascii="Times New Roman" w:hAnsi="Times New Roman" w:cs="Times New Roman" w:eastAsiaTheme="minorEastAsia"/>
          <w:caps w:val="0"/>
          <w:smallCaps w:val="0"/>
          <w:sz w:val="24"/>
          <w:szCs w:val="24"/>
        </w:rPr>
        <w:t>船舶废水（舱底油污水、生活污水）</w:t>
      </w:r>
    </w:p>
    <w:p>
      <w:pPr>
        <w:adjustRightInd w:val="0"/>
        <w:snapToGrid w:val="0"/>
        <w:spacing w:line="360" w:lineRule="auto"/>
        <w:ind w:firstLine="482"/>
        <w:rPr>
          <w:rFonts w:ascii="Times New Roman" w:hAnsi="Times New Roman" w:cs="Times New Roman" w:eastAsiaTheme="minorEastAsia"/>
          <w:caps w:val="0"/>
          <w:smallCaps w:val="0"/>
          <w:sz w:val="24"/>
          <w:szCs w:val="24"/>
          <w:lang w:eastAsia="zh-CN"/>
        </w:rPr>
      </w:pPr>
      <w:r>
        <w:rPr>
          <w:rFonts w:ascii="Times New Roman" w:hAnsi="Times New Roman" w:cs="Times New Roman" w:eastAsiaTheme="minorEastAsia"/>
          <w:caps w:val="0"/>
          <w:smallCaps w:val="0"/>
          <w:sz w:val="24"/>
          <w:szCs w:val="24"/>
          <w:lang w:eastAsia="zh-CN"/>
        </w:rPr>
        <w:t>①</w:t>
      </w:r>
      <w:r>
        <w:rPr>
          <w:rFonts w:ascii="Times New Roman" w:hAnsi="Times New Roman" w:cs="Times New Roman" w:eastAsiaTheme="minorEastAsia"/>
          <w:caps w:val="0"/>
          <w:smallCaps w:val="0"/>
          <w:sz w:val="24"/>
          <w:szCs w:val="24"/>
        </w:rPr>
        <w:t>船舶含油废水：</w:t>
      </w:r>
      <w:r>
        <w:rPr>
          <w:rFonts w:ascii="Times New Roman" w:hAnsi="Times New Roman" w:cs="Times New Roman" w:eastAsiaTheme="minorEastAsia"/>
          <w:caps w:val="0"/>
          <w:smallCaps w:val="0"/>
          <w:sz w:val="24"/>
          <w:szCs w:val="24"/>
          <w:lang w:eastAsia="zh-CN"/>
        </w:rPr>
        <w:t>船舶行驶过程中会产生含油机舱水及舱底水。</w:t>
      </w:r>
    </w:p>
    <w:p>
      <w:pPr>
        <w:adjustRightInd w:val="0"/>
        <w:snapToGrid w:val="0"/>
        <w:spacing w:line="360" w:lineRule="auto"/>
        <w:ind w:firstLine="482"/>
        <w:rPr>
          <w:rFonts w:ascii="Times New Roman" w:hAnsi="Times New Roman" w:cs="Times New Roman" w:eastAsiaTheme="minorEastAsia"/>
          <w:caps w:val="0"/>
          <w:smallCaps w:val="0"/>
          <w:sz w:val="24"/>
          <w:szCs w:val="24"/>
          <w:lang w:eastAsia="zh-CN"/>
        </w:rPr>
      </w:pPr>
      <w:r>
        <w:rPr>
          <w:rFonts w:ascii="Times New Roman" w:hAnsi="Times New Roman" w:cs="Times New Roman" w:eastAsiaTheme="minorEastAsia"/>
          <w:caps w:val="0"/>
          <w:smallCaps w:val="0"/>
          <w:sz w:val="24"/>
          <w:szCs w:val="24"/>
          <w:lang w:eastAsia="zh-CN"/>
        </w:rPr>
        <w:t>船舶机舱水是由于机舱内各种阀件和管路中漏出的水与轮机在运转过程中的润滑油、燃烧油等混合在一起的污油水。船舶机舱水水质较为复杂，它是多种油类的混合物含油量一般在5000mg/L左右，含油废水经趸船含油污水箱收集后，定期由海事部门指定具有专业资质的接收船接收处理。</w:t>
      </w:r>
    </w:p>
    <w:p>
      <w:pPr>
        <w:adjustRightInd w:val="0"/>
        <w:snapToGrid w:val="0"/>
        <w:spacing w:line="360" w:lineRule="auto"/>
        <w:ind w:firstLine="482"/>
        <w:rPr>
          <w:rFonts w:ascii="Times New Roman" w:hAnsi="Times New Roman" w:cs="Times New Roman" w:eastAsiaTheme="minorEastAsia"/>
          <w:caps w:val="0"/>
          <w:smallCaps w:val="0"/>
          <w:sz w:val="24"/>
          <w:szCs w:val="24"/>
          <w:lang w:val="en-US" w:eastAsia="zh-CN"/>
        </w:rPr>
      </w:pPr>
      <w:r>
        <w:rPr>
          <w:rFonts w:ascii="Times New Roman" w:hAnsi="Times New Roman" w:cs="Times New Roman" w:eastAsiaTheme="minorEastAsia"/>
          <w:caps w:val="0"/>
          <w:smallCaps w:val="0"/>
          <w:sz w:val="24"/>
          <w:szCs w:val="24"/>
        </w:rPr>
        <w:t>②</w:t>
      </w:r>
      <w:r>
        <w:rPr>
          <w:rFonts w:ascii="Times New Roman" w:hAnsi="Times New Roman" w:cs="Times New Roman" w:eastAsiaTheme="minorEastAsia"/>
          <w:caps w:val="0"/>
          <w:smallCaps w:val="0"/>
          <w:sz w:val="24"/>
          <w:szCs w:val="24"/>
          <w:lang w:eastAsia="zh-CN"/>
        </w:rPr>
        <w:t>船舶员工生活污水：</w:t>
      </w:r>
      <w:r>
        <w:rPr>
          <w:rFonts w:hint="eastAsia" w:ascii="Times New Roman" w:hAnsi="Times New Roman" w:cs="Times New Roman" w:eastAsiaTheme="minorEastAsia"/>
          <w:caps w:val="0"/>
          <w:smallCaps w:val="0"/>
          <w:sz w:val="24"/>
          <w:szCs w:val="24"/>
          <w:lang w:val="en-US" w:eastAsia="zh-CN"/>
        </w:rPr>
        <w:t>船舶到港后，</w:t>
      </w:r>
      <w:r>
        <w:rPr>
          <w:rFonts w:ascii="Times New Roman" w:hAnsi="Times New Roman" w:cs="Times New Roman" w:eastAsiaTheme="minorEastAsia"/>
          <w:caps w:val="0"/>
          <w:smallCaps w:val="0"/>
          <w:sz w:val="24"/>
          <w:szCs w:val="24"/>
          <w:lang w:val="en-US"/>
        </w:rPr>
        <w:t>船舶员工生活污水经趸船生活污水箱收集后，定期由海事部门指定具有专业资质的接收船接收处理。</w:t>
      </w:r>
    </w:p>
    <w:p>
      <w:pPr>
        <w:adjustRightInd w:val="0"/>
        <w:snapToGrid w:val="0"/>
        <w:spacing w:line="360" w:lineRule="auto"/>
        <w:ind w:firstLine="482"/>
        <w:rPr>
          <w:rFonts w:ascii="Times New Roman" w:hAnsi="Times New Roman" w:cs="Times New Roman" w:eastAsiaTheme="minorEastAsia"/>
          <w:caps w:val="0"/>
          <w:smallCaps w:val="0"/>
          <w:sz w:val="24"/>
          <w:szCs w:val="24"/>
          <w:lang w:eastAsia="zh-CN"/>
        </w:rPr>
      </w:pPr>
      <w:r>
        <w:rPr>
          <w:rFonts w:ascii="Times New Roman" w:hAnsi="Times New Roman" w:cs="Times New Roman" w:eastAsiaTheme="minorEastAsia"/>
          <w:caps w:val="0"/>
          <w:smallCaps w:val="0"/>
          <w:sz w:val="24"/>
          <w:szCs w:val="24"/>
          <w:lang w:eastAsia="zh-CN"/>
        </w:rPr>
        <w:t>根据交通部2015年25号令《中华人民共和国防治船舶污染内河水域环境管理规定》，营运船舶舱底油污水应申请海事部门认可的有资质的船舶污水接收点接收处理，生活污水上岸依托港区或区域污水处理厂处理，不得在航道内随意排放未经处理的船舶舱底油污水和船舶生活污水。</w:t>
      </w:r>
    </w:p>
    <w:p>
      <w:pPr>
        <w:adjustRightInd w:val="0"/>
        <w:snapToGrid w:val="0"/>
        <w:spacing w:line="360" w:lineRule="auto"/>
        <w:ind w:firstLine="482"/>
        <w:rPr>
          <w:rFonts w:ascii="Times New Roman" w:hAnsi="Times New Roman" w:cs="Times New Roman" w:eastAsiaTheme="minorEastAsia"/>
          <w:caps w:val="0"/>
          <w:smallCaps w:val="0"/>
          <w:sz w:val="24"/>
          <w:szCs w:val="24"/>
          <w:lang w:eastAsia="zh-CN"/>
        </w:rPr>
      </w:pPr>
      <w:r>
        <w:rPr>
          <w:rFonts w:ascii="Times New Roman" w:hAnsi="Times New Roman" w:cs="Times New Roman" w:eastAsiaTheme="minorEastAsia"/>
          <w:caps w:val="0"/>
          <w:smallCaps w:val="0"/>
          <w:sz w:val="24"/>
          <w:szCs w:val="24"/>
          <w:lang w:eastAsia="zh-CN"/>
        </w:rPr>
        <w:t>营运期</w:t>
      </w:r>
      <w:r>
        <w:rPr>
          <w:rFonts w:hint="eastAsia" w:ascii="Times New Roman" w:hAnsi="Times New Roman" w:cs="Times New Roman" w:eastAsiaTheme="minorEastAsia"/>
          <w:caps w:val="0"/>
          <w:smallCaps w:val="0"/>
          <w:sz w:val="24"/>
          <w:szCs w:val="24"/>
          <w:lang w:val="en-US" w:eastAsia="zh-CN"/>
        </w:rPr>
        <w:t>交通</w:t>
      </w:r>
      <w:r>
        <w:rPr>
          <w:rFonts w:ascii="Times New Roman" w:hAnsi="Times New Roman" w:cs="Times New Roman" w:eastAsiaTheme="minorEastAsia"/>
          <w:caps w:val="0"/>
          <w:smallCaps w:val="0"/>
          <w:sz w:val="24"/>
          <w:szCs w:val="24"/>
          <w:lang w:eastAsia="zh-CN"/>
        </w:rPr>
        <w:t>海事部门应加强对航道内船舶污水的管理，只要管理到位，船舶污水基本不会对湘江水环境造成污染影响。</w:t>
      </w:r>
    </w:p>
    <w:p>
      <w:pPr>
        <w:adjustRightInd w:val="0"/>
        <w:snapToGrid w:val="0"/>
        <w:spacing w:line="360" w:lineRule="auto"/>
        <w:ind w:firstLine="482"/>
        <w:rPr>
          <w:rFonts w:ascii="Times New Roman" w:hAnsi="Times New Roman" w:cs="Times New Roman" w:eastAsiaTheme="minorEastAsia"/>
          <w:caps w:val="0"/>
          <w:smallCaps w:val="0"/>
          <w:sz w:val="24"/>
          <w:szCs w:val="24"/>
          <w:lang w:eastAsia="zh-CN"/>
        </w:rPr>
      </w:pPr>
      <w:r>
        <w:rPr>
          <w:rFonts w:hint="eastAsia" w:ascii="Times New Roman" w:hAnsi="Times New Roman" w:cs="Times New Roman" w:eastAsiaTheme="minorEastAsia"/>
          <w:caps w:val="0"/>
          <w:smallCaps w:val="0"/>
          <w:sz w:val="24"/>
          <w:szCs w:val="24"/>
          <w:lang w:val="en-US" w:eastAsia="zh-CN"/>
        </w:rPr>
        <w:t>2</w:t>
      </w:r>
      <w:r>
        <w:rPr>
          <w:rFonts w:ascii="Times New Roman" w:hAnsi="Times New Roman" w:cs="Times New Roman" w:eastAsiaTheme="minorEastAsia"/>
          <w:caps w:val="0"/>
          <w:smallCaps w:val="0"/>
          <w:sz w:val="24"/>
          <w:szCs w:val="24"/>
          <w:lang w:eastAsia="zh-CN"/>
        </w:rPr>
        <w:t>、营运期码头员工的生活废水</w:t>
      </w:r>
    </w:p>
    <w:p>
      <w:pPr>
        <w:adjustRightInd w:val="0"/>
        <w:snapToGrid w:val="0"/>
        <w:spacing w:line="360" w:lineRule="auto"/>
        <w:ind w:firstLine="482"/>
        <w:rPr>
          <w:rFonts w:ascii="Times New Roman" w:hAnsi="Times New Roman" w:cs="Times New Roman" w:eastAsiaTheme="minorEastAsia"/>
          <w:caps w:val="0"/>
          <w:smallCaps w:val="0"/>
          <w:sz w:val="24"/>
          <w:szCs w:val="24"/>
          <w:lang w:val="en-US" w:eastAsia="zh-CN"/>
        </w:rPr>
      </w:pPr>
      <w:r>
        <w:rPr>
          <w:rFonts w:ascii="Times New Roman" w:hAnsi="Times New Roman" w:cs="Times New Roman" w:eastAsiaTheme="minorEastAsia"/>
          <w:caps w:val="0"/>
          <w:smallCaps w:val="0"/>
          <w:sz w:val="24"/>
          <w:szCs w:val="24"/>
          <w:lang w:val="en-US" w:eastAsia="zh-CN"/>
        </w:rPr>
        <w:t>营运期码头员工产生的生活污水主要为码头员工的日常洗涤、食堂、洗漱产生废水，生活污水依托</w:t>
      </w:r>
      <w:r>
        <w:rPr>
          <w:rFonts w:hint="eastAsia" w:ascii="Times New Roman" w:hAnsi="Times New Roman" w:cs="Times New Roman" w:eastAsiaTheme="minorEastAsia"/>
          <w:caps w:val="0"/>
          <w:smallCaps w:val="0"/>
          <w:sz w:val="24"/>
          <w:szCs w:val="24"/>
          <w:lang w:val="en-US" w:eastAsia="zh-CN"/>
        </w:rPr>
        <w:t>海丰物流现有库</w:t>
      </w:r>
      <w:r>
        <w:rPr>
          <w:rFonts w:ascii="Times New Roman" w:hAnsi="Times New Roman" w:cs="Times New Roman" w:eastAsiaTheme="minorEastAsia"/>
          <w:caps w:val="0"/>
          <w:smallCaps w:val="0"/>
          <w:sz w:val="24"/>
          <w:szCs w:val="24"/>
          <w:lang w:val="en-US" w:eastAsia="zh-CN"/>
        </w:rPr>
        <w:t>区化粪池处理后</w:t>
      </w:r>
      <w:r>
        <w:rPr>
          <w:rFonts w:hint="eastAsia" w:ascii="Times New Roman" w:hAnsi="Times New Roman" w:cs="Times New Roman" w:eastAsiaTheme="minorEastAsia"/>
          <w:caps w:val="0"/>
          <w:smallCaps w:val="0"/>
          <w:sz w:val="24"/>
          <w:szCs w:val="24"/>
          <w:lang w:val="en-US" w:eastAsia="zh-CN"/>
        </w:rPr>
        <w:t>排入市政管网</w:t>
      </w:r>
      <w:r>
        <w:rPr>
          <w:rFonts w:ascii="Times New Roman" w:hAnsi="Times New Roman" w:cs="Times New Roman" w:eastAsiaTheme="minorEastAsia"/>
          <w:caps w:val="0"/>
          <w:smallCaps w:val="0"/>
          <w:sz w:val="24"/>
          <w:szCs w:val="24"/>
          <w:lang w:val="en-US" w:eastAsia="zh-CN"/>
        </w:rPr>
        <w:t>。</w:t>
      </w:r>
    </w:p>
    <w:p>
      <w:pPr>
        <w:adjustRightInd w:val="0"/>
        <w:snapToGrid w:val="0"/>
        <w:spacing w:line="360" w:lineRule="auto"/>
        <w:ind w:firstLine="482"/>
        <w:rPr>
          <w:rFonts w:ascii="Times New Roman" w:hAnsi="Times New Roman" w:cs="Times New Roman" w:eastAsiaTheme="minorEastAsia"/>
          <w:caps w:val="0"/>
          <w:smallCaps w:val="0"/>
          <w:sz w:val="24"/>
          <w:szCs w:val="24"/>
          <w:lang w:eastAsia="zh-CN"/>
        </w:rPr>
      </w:pPr>
      <w:r>
        <w:rPr>
          <w:rFonts w:hint="eastAsia" w:cs="Times New Roman" w:eastAsiaTheme="minorEastAsia"/>
          <w:caps w:val="0"/>
          <w:smallCaps w:val="0"/>
          <w:sz w:val="24"/>
          <w:szCs w:val="24"/>
          <w:lang w:val="en-US" w:eastAsia="zh-CN"/>
        </w:rPr>
        <w:t>3</w:t>
      </w:r>
      <w:r>
        <w:rPr>
          <w:rFonts w:ascii="Times New Roman" w:hAnsi="Times New Roman" w:cs="Times New Roman" w:eastAsiaTheme="minorEastAsia"/>
          <w:caps w:val="0"/>
          <w:smallCaps w:val="0"/>
          <w:sz w:val="24"/>
          <w:szCs w:val="24"/>
          <w:lang w:eastAsia="zh-CN"/>
        </w:rPr>
        <w:t>、趸船冲洗废水</w:t>
      </w:r>
    </w:p>
    <w:p>
      <w:pPr>
        <w:adjustRightInd w:val="0"/>
        <w:snapToGrid w:val="0"/>
        <w:spacing w:line="360" w:lineRule="auto"/>
        <w:ind w:firstLine="482"/>
        <w:rPr>
          <w:rFonts w:ascii="Times New Roman" w:hAnsi="Times New Roman" w:cs="Times New Roman" w:eastAsiaTheme="minorEastAsia"/>
          <w:caps w:val="0"/>
          <w:smallCaps w:val="0"/>
          <w:sz w:val="24"/>
          <w:szCs w:val="24"/>
          <w:lang w:eastAsia="zh-CN"/>
        </w:rPr>
      </w:pPr>
      <w:r>
        <w:rPr>
          <w:rFonts w:ascii="Times New Roman" w:hAnsi="Times New Roman" w:cs="Times New Roman" w:eastAsiaTheme="minorEastAsia"/>
          <w:caps w:val="0"/>
          <w:smallCaps w:val="0"/>
          <w:sz w:val="24"/>
          <w:szCs w:val="24"/>
          <w:lang w:eastAsia="zh-CN"/>
        </w:rPr>
        <w:t>本项目趸船主要为到港船舶提供靠泊，</w:t>
      </w:r>
      <w:r>
        <w:rPr>
          <w:rFonts w:hint="eastAsia" w:ascii="Times New Roman" w:hAnsi="Times New Roman" w:cs="Times New Roman" w:eastAsiaTheme="minorEastAsia"/>
          <w:caps w:val="0"/>
          <w:smallCaps w:val="0"/>
          <w:sz w:val="24"/>
          <w:szCs w:val="24"/>
          <w:lang w:eastAsia="zh-CN"/>
        </w:rPr>
        <w:t>趸船</w:t>
      </w:r>
      <w:r>
        <w:rPr>
          <w:rFonts w:ascii="Times New Roman" w:hAnsi="Times New Roman" w:cs="Times New Roman" w:eastAsiaTheme="minorEastAsia"/>
          <w:caps w:val="0"/>
          <w:smallCaps w:val="0"/>
          <w:sz w:val="24"/>
          <w:szCs w:val="24"/>
          <w:lang w:eastAsia="zh-CN"/>
        </w:rPr>
        <w:t>甲板会根据使用情况定期进行冲洗，会产生冲洗废水，经趸船</w:t>
      </w:r>
      <w:r>
        <w:rPr>
          <w:rFonts w:hint="eastAsia" w:ascii="Times New Roman" w:hAnsi="Times New Roman" w:cs="Times New Roman" w:eastAsiaTheme="minorEastAsia"/>
          <w:caps w:val="0"/>
          <w:smallCaps w:val="0"/>
          <w:sz w:val="24"/>
          <w:szCs w:val="24"/>
          <w:lang w:eastAsia="zh-CN"/>
        </w:rPr>
        <w:t>冲洗废水收集池收集</w:t>
      </w:r>
      <w:r>
        <w:rPr>
          <w:rFonts w:ascii="Times New Roman" w:hAnsi="Times New Roman" w:cs="Times New Roman" w:eastAsiaTheme="minorEastAsia"/>
          <w:caps w:val="0"/>
          <w:smallCaps w:val="0"/>
          <w:sz w:val="24"/>
          <w:szCs w:val="24"/>
          <w:lang w:eastAsia="zh-CN"/>
        </w:rPr>
        <w:t>后</w:t>
      </w:r>
      <w:r>
        <w:rPr>
          <w:rFonts w:hint="eastAsia" w:ascii="Times New Roman" w:hAnsi="Times New Roman" w:cs="Times New Roman" w:eastAsiaTheme="minorEastAsia"/>
          <w:caps w:val="0"/>
          <w:smallCaps w:val="0"/>
          <w:sz w:val="24"/>
          <w:szCs w:val="24"/>
          <w:lang w:eastAsia="zh-CN"/>
        </w:rPr>
        <w:t>排入</w:t>
      </w:r>
      <w:r>
        <w:rPr>
          <w:rFonts w:ascii="Times New Roman" w:hAnsi="Times New Roman" w:cs="Times New Roman" w:eastAsiaTheme="minorEastAsia"/>
          <w:caps w:val="0"/>
          <w:smallCaps w:val="0"/>
          <w:sz w:val="24"/>
          <w:szCs w:val="24"/>
          <w:lang w:eastAsia="zh-CN"/>
        </w:rPr>
        <w:t>后</w:t>
      </w:r>
      <w:r>
        <w:rPr>
          <w:rFonts w:hint="eastAsia" w:ascii="Times New Roman" w:hAnsi="Times New Roman" w:cs="Times New Roman" w:eastAsiaTheme="minorEastAsia"/>
          <w:caps w:val="0"/>
          <w:smallCaps w:val="0"/>
          <w:sz w:val="24"/>
          <w:szCs w:val="24"/>
          <w:lang w:eastAsia="zh-CN"/>
        </w:rPr>
        <w:t>，</w:t>
      </w:r>
      <w:r>
        <w:rPr>
          <w:rFonts w:ascii="Times New Roman" w:hAnsi="Times New Roman" w:cs="Times New Roman" w:eastAsiaTheme="minorEastAsia"/>
          <w:caps w:val="0"/>
          <w:smallCaps w:val="0"/>
          <w:sz w:val="24"/>
          <w:szCs w:val="24"/>
          <w:lang w:val="en-US"/>
        </w:rPr>
        <w:t>定期由海事部门指定具有专业资质的接收船接收处理</w:t>
      </w:r>
      <w:r>
        <w:rPr>
          <w:rFonts w:ascii="Times New Roman" w:hAnsi="Times New Roman" w:cs="Times New Roman" w:eastAsiaTheme="minorEastAsia"/>
          <w:caps w:val="0"/>
          <w:smallCaps w:val="0"/>
          <w:sz w:val="24"/>
          <w:szCs w:val="24"/>
          <w:lang w:eastAsia="zh-CN"/>
        </w:rPr>
        <w:t>。</w:t>
      </w:r>
    </w:p>
    <w:p>
      <w:pPr>
        <w:adjustRightInd w:val="0"/>
        <w:snapToGrid w:val="0"/>
        <w:spacing w:line="360" w:lineRule="auto"/>
        <w:ind w:firstLine="482"/>
        <w:rPr>
          <w:rFonts w:hint="eastAsia" w:ascii="Times New Roman" w:hAnsi="Times New Roman" w:cs="Times New Roman" w:eastAsiaTheme="minorEastAsia"/>
          <w:caps w:val="0"/>
          <w:smallCaps w:val="0"/>
          <w:sz w:val="24"/>
          <w:szCs w:val="24"/>
          <w:lang w:eastAsia="zh-CN"/>
        </w:rPr>
      </w:pPr>
      <w:r>
        <w:rPr>
          <w:rFonts w:hint="eastAsia" w:cs="Times New Roman" w:eastAsiaTheme="minorEastAsia"/>
          <w:caps w:val="0"/>
          <w:smallCaps w:val="0"/>
          <w:sz w:val="24"/>
          <w:szCs w:val="24"/>
          <w:lang w:val="en-US" w:eastAsia="zh-CN"/>
        </w:rPr>
        <w:t>4</w:t>
      </w:r>
      <w:r>
        <w:rPr>
          <w:rFonts w:hint="eastAsia" w:ascii="Times New Roman" w:hAnsi="Times New Roman" w:cs="Times New Roman" w:eastAsiaTheme="minorEastAsia"/>
          <w:caps w:val="0"/>
          <w:smallCaps w:val="0"/>
          <w:sz w:val="24"/>
          <w:szCs w:val="24"/>
          <w:lang w:val="en-US" w:eastAsia="zh-CN"/>
        </w:rPr>
        <w:t>、</w:t>
      </w:r>
      <w:r>
        <w:rPr>
          <w:rFonts w:ascii="Times New Roman" w:hAnsi="Times New Roman" w:cs="Times New Roman" w:eastAsiaTheme="minorEastAsia"/>
          <w:caps w:val="0"/>
          <w:smallCaps w:val="0"/>
          <w:sz w:val="24"/>
          <w:szCs w:val="24"/>
          <w:lang w:eastAsia="zh-CN"/>
        </w:rPr>
        <w:t>趸船</w:t>
      </w:r>
      <w:r>
        <w:rPr>
          <w:rFonts w:hint="eastAsia" w:ascii="Times New Roman" w:hAnsi="Times New Roman" w:cs="Times New Roman" w:eastAsiaTheme="minorEastAsia"/>
          <w:caps w:val="0"/>
          <w:smallCaps w:val="0"/>
          <w:sz w:val="24"/>
          <w:szCs w:val="24"/>
          <w:lang w:eastAsia="zh-CN"/>
        </w:rPr>
        <w:t>初期雨水</w:t>
      </w:r>
    </w:p>
    <w:p>
      <w:pPr>
        <w:adjustRightInd w:val="0"/>
        <w:snapToGrid w:val="0"/>
        <w:spacing w:line="360" w:lineRule="auto"/>
        <w:ind w:firstLine="482"/>
        <w:rPr>
          <w:rFonts w:ascii="Times New Roman" w:hAnsi="Times New Roman" w:cs="Times New Roman" w:eastAsiaTheme="minorEastAsia"/>
          <w:caps w:val="0"/>
          <w:smallCaps w:val="0"/>
          <w:sz w:val="24"/>
          <w:szCs w:val="24"/>
          <w:lang w:eastAsia="zh-CN"/>
        </w:rPr>
      </w:pPr>
      <w:r>
        <w:rPr>
          <w:rFonts w:ascii="Times New Roman" w:hAnsi="Times New Roman" w:cs="Times New Roman"/>
          <w:caps w:val="0"/>
          <w:smallCaps w:val="0"/>
        </w:rPr>
        <w:t>本项目码头对前15min雨水进行收集，雨水通过趸船平台四周排水明沟储存至趸船内污水收集池内储存，</w:t>
      </w:r>
      <w:r>
        <w:rPr>
          <w:rFonts w:ascii="Times New Roman" w:hAnsi="Times New Roman" w:cs="Times New Roman" w:eastAsiaTheme="minorEastAsia"/>
          <w:caps w:val="0"/>
          <w:smallCaps w:val="0"/>
          <w:sz w:val="24"/>
          <w:szCs w:val="24"/>
          <w:lang w:val="en-US" w:eastAsia="zh-CN"/>
        </w:rPr>
        <w:t>定期由海事部门指定具有专业资质的接收船接收处理</w:t>
      </w:r>
      <w:r>
        <w:rPr>
          <w:rFonts w:ascii="Times New Roman" w:hAnsi="Times New Roman" w:cs="Times New Roman" w:eastAsiaTheme="minorEastAsia"/>
          <w:caps w:val="0"/>
          <w:smallCaps w:val="0"/>
          <w:sz w:val="24"/>
          <w:szCs w:val="24"/>
          <w:lang w:eastAsia="zh-CN"/>
        </w:rPr>
        <w:t>。</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综上所述，本项目废水均得到有效处理，对周围水体水质影响较小。项目废水类别、污染物及污染治理设施信息见表</w:t>
      </w:r>
      <w:r>
        <w:rPr>
          <w:rFonts w:hint="eastAsia" w:ascii="Times New Roman" w:hAnsi="Times New Roman" w:cs="Times New Roman" w:eastAsiaTheme="minorEastAsia"/>
          <w:caps w:val="0"/>
          <w:smallCaps w:val="0"/>
          <w:sz w:val="24"/>
          <w:szCs w:val="24"/>
          <w:lang w:val="en-US" w:eastAsia="zh-CN"/>
        </w:rPr>
        <w:t>5</w:t>
      </w:r>
      <w:r>
        <w:rPr>
          <w:rFonts w:ascii="Times New Roman" w:hAnsi="Times New Roman" w:cs="Times New Roman" w:eastAsiaTheme="minorEastAsia"/>
          <w:caps w:val="0"/>
          <w:smallCaps w:val="0"/>
          <w:sz w:val="24"/>
          <w:szCs w:val="24"/>
        </w:rPr>
        <w:t>.1-1。</w:t>
      </w:r>
    </w:p>
    <w:p>
      <w:pPr>
        <w:adjustRightInd w:val="0"/>
        <w:snapToGrid w:val="0"/>
        <w:spacing w:line="360" w:lineRule="auto"/>
        <w:rPr>
          <w:rFonts w:ascii="Times New Roman" w:hAnsi="Times New Roman" w:cs="Times New Roman" w:eastAsiaTheme="minorEastAsia"/>
          <w:caps w:val="0"/>
          <w:smallCaps w:val="0"/>
          <w:sz w:val="24"/>
          <w:szCs w:val="24"/>
        </w:rPr>
      </w:pPr>
    </w:p>
    <w:p>
      <w:pPr>
        <w:adjustRightInd w:val="0"/>
        <w:snapToGrid w:val="0"/>
        <w:spacing w:line="360" w:lineRule="auto"/>
        <w:ind w:firstLine="482"/>
        <w:rPr>
          <w:rFonts w:ascii="Times New Roman" w:hAnsi="Times New Roman" w:cs="Times New Roman" w:eastAsiaTheme="minorEastAsia"/>
          <w:caps w:val="0"/>
          <w:smallCaps w:val="0"/>
          <w:sz w:val="24"/>
          <w:szCs w:val="24"/>
        </w:rPr>
        <w:sectPr>
          <w:headerReference r:id="rId14" w:type="default"/>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94"/>
        <w:rPr>
          <w:rFonts w:ascii="Times New Roman" w:hAnsi="Times New Roman" w:cs="Times New Roman"/>
          <w:caps w:val="0"/>
          <w:smallCaps w:val="0"/>
        </w:rPr>
      </w:pPr>
      <w:r>
        <w:rPr>
          <w:rFonts w:ascii="Times New Roman" w:hAnsi="Times New Roman" w:cs="Times New Roman"/>
          <w:caps w:val="0"/>
          <w:smallCaps w:val="0"/>
        </w:rPr>
        <w:t>表</w:t>
      </w:r>
      <w:r>
        <w:rPr>
          <w:rFonts w:hint="eastAsia" w:ascii="Times New Roman" w:hAnsi="Times New Roman" w:cs="Times New Roman"/>
          <w:caps w:val="0"/>
          <w:smallCaps w:val="0"/>
          <w:lang w:val="en-US" w:eastAsia="zh-CN"/>
        </w:rPr>
        <w:t>5</w:t>
      </w:r>
      <w:r>
        <w:rPr>
          <w:rFonts w:ascii="Times New Roman" w:hAnsi="Times New Roman" w:cs="Times New Roman"/>
          <w:caps w:val="0"/>
          <w:smallCaps w:val="0"/>
        </w:rPr>
        <w:t>.</w:t>
      </w:r>
      <w:r>
        <w:rPr>
          <w:rFonts w:hint="eastAsia" w:ascii="Times New Roman" w:hAnsi="Times New Roman" w:cs="Times New Roman"/>
          <w:caps w:val="0"/>
          <w:smallCaps w:val="0"/>
          <w:lang w:val="en-US" w:eastAsia="zh-CN"/>
        </w:rPr>
        <w:t>1</w:t>
      </w:r>
      <w:r>
        <w:rPr>
          <w:rFonts w:ascii="Times New Roman" w:hAnsi="Times New Roman" w:cs="Times New Roman"/>
          <w:caps w:val="0"/>
          <w:smallCaps w:val="0"/>
          <w:lang w:eastAsia="zh-CN"/>
        </w:rPr>
        <w:t>-1</w:t>
      </w:r>
      <w:r>
        <w:rPr>
          <w:rFonts w:ascii="Times New Roman" w:hAnsi="Times New Roman" w:cs="Times New Roman"/>
          <w:caps w:val="0"/>
          <w:smallCaps w:val="0"/>
        </w:rPr>
        <w:t>本项目废水类别、污染物及污染治理措施信息表</w:t>
      </w:r>
    </w:p>
    <w:tbl>
      <w:tblPr>
        <w:tblStyle w:val="71"/>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46"/>
        <w:gridCol w:w="911"/>
        <w:gridCol w:w="771"/>
        <w:gridCol w:w="659"/>
        <w:gridCol w:w="715"/>
        <w:gridCol w:w="785"/>
        <w:gridCol w:w="645"/>
        <w:gridCol w:w="770"/>
        <w:gridCol w:w="897"/>
        <w:gridCol w:w="13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46" w:type="dxa"/>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废水类别</w:t>
            </w:r>
          </w:p>
        </w:tc>
        <w:tc>
          <w:tcPr>
            <w:tcW w:w="911" w:type="dxa"/>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污染物种类</w:t>
            </w:r>
          </w:p>
        </w:tc>
        <w:tc>
          <w:tcPr>
            <w:tcW w:w="771" w:type="dxa"/>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排放去向</w:t>
            </w:r>
          </w:p>
        </w:tc>
        <w:tc>
          <w:tcPr>
            <w:tcW w:w="659" w:type="dxa"/>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排放规律</w:t>
            </w:r>
          </w:p>
        </w:tc>
        <w:tc>
          <w:tcPr>
            <w:tcW w:w="2145" w:type="dxa"/>
            <w:gridSpan w:val="3"/>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污染治理设施</w:t>
            </w:r>
          </w:p>
        </w:tc>
        <w:tc>
          <w:tcPr>
            <w:tcW w:w="770" w:type="dxa"/>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排放口编号</w:t>
            </w:r>
          </w:p>
        </w:tc>
        <w:tc>
          <w:tcPr>
            <w:tcW w:w="897" w:type="dxa"/>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排放口设置是否符合要求</w:t>
            </w:r>
          </w:p>
        </w:tc>
        <w:tc>
          <w:tcPr>
            <w:tcW w:w="1378" w:type="dxa"/>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排放口类型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4" w:hRule="atLeast"/>
          <w:jc w:val="center"/>
        </w:trPr>
        <w:tc>
          <w:tcPr>
            <w:tcW w:w="946" w:type="dxa"/>
            <w:vMerge w:val="continue"/>
            <w:noWrap w:val="0"/>
            <w:vAlign w:val="center"/>
          </w:tcPr>
          <w:p>
            <w:pPr>
              <w:pStyle w:val="117"/>
              <w:bidi w:val="0"/>
              <w:rPr>
                <w:rFonts w:ascii="Times New Roman" w:hAnsi="Times New Roman" w:cs="Times New Roman"/>
                <w:caps w:val="0"/>
                <w:smallCaps w:val="0"/>
              </w:rPr>
            </w:pPr>
          </w:p>
        </w:tc>
        <w:tc>
          <w:tcPr>
            <w:tcW w:w="911" w:type="dxa"/>
            <w:vMerge w:val="continue"/>
            <w:noWrap w:val="0"/>
            <w:vAlign w:val="center"/>
          </w:tcPr>
          <w:p>
            <w:pPr>
              <w:pStyle w:val="117"/>
              <w:bidi w:val="0"/>
              <w:rPr>
                <w:rFonts w:ascii="Times New Roman" w:hAnsi="Times New Roman" w:cs="Times New Roman"/>
                <w:caps w:val="0"/>
                <w:smallCaps w:val="0"/>
              </w:rPr>
            </w:pPr>
          </w:p>
        </w:tc>
        <w:tc>
          <w:tcPr>
            <w:tcW w:w="771" w:type="dxa"/>
            <w:vMerge w:val="continue"/>
            <w:noWrap w:val="0"/>
            <w:vAlign w:val="center"/>
          </w:tcPr>
          <w:p>
            <w:pPr>
              <w:pStyle w:val="117"/>
              <w:bidi w:val="0"/>
              <w:rPr>
                <w:rFonts w:ascii="Times New Roman" w:hAnsi="Times New Roman" w:cs="Times New Roman"/>
                <w:caps w:val="0"/>
                <w:smallCaps w:val="0"/>
              </w:rPr>
            </w:pPr>
          </w:p>
        </w:tc>
        <w:tc>
          <w:tcPr>
            <w:tcW w:w="659" w:type="dxa"/>
            <w:vMerge w:val="continue"/>
            <w:noWrap w:val="0"/>
            <w:vAlign w:val="center"/>
          </w:tcPr>
          <w:p>
            <w:pPr>
              <w:pStyle w:val="117"/>
              <w:bidi w:val="0"/>
              <w:rPr>
                <w:rFonts w:ascii="Times New Roman" w:hAnsi="Times New Roman" w:cs="Times New Roman"/>
                <w:caps w:val="0"/>
                <w:smallCaps w:val="0"/>
              </w:rPr>
            </w:pPr>
          </w:p>
        </w:tc>
        <w:tc>
          <w:tcPr>
            <w:tcW w:w="715"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污染治理设施编号</w:t>
            </w:r>
          </w:p>
        </w:tc>
        <w:tc>
          <w:tcPr>
            <w:tcW w:w="785"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污染治理设施名称</w:t>
            </w:r>
          </w:p>
        </w:tc>
        <w:tc>
          <w:tcPr>
            <w:tcW w:w="645"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污染治理设施工艺</w:t>
            </w:r>
          </w:p>
        </w:tc>
        <w:tc>
          <w:tcPr>
            <w:tcW w:w="770" w:type="dxa"/>
            <w:vMerge w:val="continue"/>
            <w:noWrap w:val="0"/>
            <w:vAlign w:val="center"/>
          </w:tcPr>
          <w:p>
            <w:pPr>
              <w:pStyle w:val="117"/>
              <w:bidi w:val="0"/>
              <w:rPr>
                <w:rFonts w:ascii="Times New Roman" w:hAnsi="Times New Roman" w:cs="Times New Roman"/>
                <w:caps w:val="0"/>
                <w:smallCaps w:val="0"/>
              </w:rPr>
            </w:pPr>
          </w:p>
        </w:tc>
        <w:tc>
          <w:tcPr>
            <w:tcW w:w="897" w:type="dxa"/>
            <w:vMerge w:val="continue"/>
            <w:noWrap w:val="0"/>
            <w:vAlign w:val="center"/>
          </w:tcPr>
          <w:p>
            <w:pPr>
              <w:pStyle w:val="117"/>
              <w:bidi w:val="0"/>
              <w:rPr>
                <w:rFonts w:ascii="Times New Roman" w:hAnsi="Times New Roman" w:cs="Times New Roman"/>
                <w:caps w:val="0"/>
                <w:smallCaps w:val="0"/>
              </w:rPr>
            </w:pPr>
          </w:p>
        </w:tc>
        <w:tc>
          <w:tcPr>
            <w:tcW w:w="1378" w:type="dxa"/>
            <w:vMerge w:val="continue"/>
            <w:noWrap w:val="0"/>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946"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码头员工生活污水</w:t>
            </w:r>
          </w:p>
        </w:tc>
        <w:tc>
          <w:tcPr>
            <w:tcW w:w="911"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w:t>
            </w:r>
            <w:r>
              <w:rPr>
                <w:rFonts w:ascii="Times New Roman" w:hAnsi="Times New Roman" w:cs="Times New Roman"/>
                <w:caps w:val="0"/>
                <w:smallCaps w:val="0"/>
                <w:lang w:eastAsia="zh-CN"/>
              </w:rPr>
              <w:t>C</w:t>
            </w:r>
            <w:r>
              <w:rPr>
                <w:rFonts w:ascii="Times New Roman" w:hAnsi="Times New Roman" w:cs="Times New Roman"/>
                <w:caps w:val="0"/>
                <w:smallCaps w:val="0"/>
              </w:rPr>
              <w:t>r、SS、氨氮</w:t>
            </w:r>
          </w:p>
        </w:tc>
        <w:tc>
          <w:tcPr>
            <w:tcW w:w="771"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lang w:val="en-US" w:eastAsia="zh-CN"/>
              </w:rPr>
              <w:t>化粪池处理后</w:t>
            </w:r>
            <w:r>
              <w:rPr>
                <w:rFonts w:hint="eastAsia" w:ascii="Times New Roman" w:hAnsi="Times New Roman" w:cs="Times New Roman"/>
                <w:caps w:val="0"/>
                <w:smallCaps w:val="0"/>
                <w:lang w:val="en-US" w:eastAsia="zh-CN"/>
              </w:rPr>
              <w:t>排入市政管网</w:t>
            </w:r>
            <w:r>
              <w:rPr>
                <w:rFonts w:ascii="Times New Roman" w:hAnsi="Times New Roman" w:cs="Times New Roman"/>
                <w:caps w:val="0"/>
                <w:smallCaps w:val="0"/>
                <w:lang w:val="en-US" w:eastAsia="zh-CN"/>
              </w:rPr>
              <w:t>。</w:t>
            </w:r>
          </w:p>
        </w:tc>
        <w:tc>
          <w:tcPr>
            <w:tcW w:w="659"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lang w:val="en-US"/>
              </w:rPr>
              <w:t>外排</w:t>
            </w:r>
          </w:p>
        </w:tc>
        <w:tc>
          <w:tcPr>
            <w:tcW w:w="715" w:type="dxa"/>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c>
          <w:tcPr>
            <w:tcW w:w="785"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依托</w:t>
            </w:r>
            <w:r>
              <w:rPr>
                <w:rFonts w:hint="eastAsia" w:ascii="Times New Roman" w:hAnsi="Times New Roman" w:cs="Times New Roman"/>
                <w:caps w:val="0"/>
                <w:smallCaps w:val="0"/>
                <w:lang w:val="en-US" w:eastAsia="zh-CN"/>
              </w:rPr>
              <w:t>海丰物流</w:t>
            </w:r>
            <w:r>
              <w:rPr>
                <w:rFonts w:ascii="Times New Roman" w:hAnsi="Times New Roman" w:cs="Times New Roman"/>
                <w:caps w:val="0"/>
                <w:smallCaps w:val="0"/>
              </w:rPr>
              <w:t>厂区现有化粪池</w:t>
            </w:r>
          </w:p>
        </w:tc>
        <w:tc>
          <w:tcPr>
            <w:tcW w:w="645"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lang w:eastAsia="zh-CN"/>
              </w:rPr>
              <w:t>厌氧</w:t>
            </w:r>
          </w:p>
        </w:tc>
        <w:tc>
          <w:tcPr>
            <w:tcW w:w="770" w:type="dxa"/>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c>
          <w:tcPr>
            <w:tcW w:w="897"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52"/>
            </w:r>
            <w:r>
              <w:rPr>
                <w:rFonts w:ascii="Times New Roman" w:hAnsi="Times New Roman" w:cs="Times New Roman"/>
                <w:caps w:val="0"/>
                <w:smallCaps w:val="0"/>
              </w:rPr>
              <w:t>是</w:t>
            </w:r>
          </w:p>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否</w:t>
            </w:r>
          </w:p>
        </w:tc>
        <w:tc>
          <w:tcPr>
            <w:tcW w:w="1378"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52"/>
            </w:r>
            <w:r>
              <w:rPr>
                <w:rFonts w:ascii="Times New Roman" w:hAnsi="Times New Roman" w:cs="Times New Roman"/>
                <w:caps w:val="0"/>
                <w:smallCaps w:val="0"/>
              </w:rPr>
              <w:t>企业总排</w:t>
            </w:r>
          </w:p>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雨水排放</w:t>
            </w:r>
          </w:p>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清净下水排放</w:t>
            </w:r>
          </w:p>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温排水排放</w:t>
            </w:r>
          </w:p>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车间或车间处理口设施排放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946"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船舶生活</w:t>
            </w:r>
            <w:r>
              <w:rPr>
                <w:rFonts w:ascii="Times New Roman" w:hAnsi="Times New Roman" w:cs="Times New Roman"/>
                <w:caps w:val="0"/>
                <w:smallCaps w:val="0"/>
                <w:lang w:eastAsia="zh-CN"/>
              </w:rPr>
              <w:t>废</w:t>
            </w:r>
            <w:r>
              <w:rPr>
                <w:rFonts w:ascii="Times New Roman" w:hAnsi="Times New Roman" w:cs="Times New Roman"/>
                <w:caps w:val="0"/>
                <w:smallCaps w:val="0"/>
              </w:rPr>
              <w:t>水</w:t>
            </w:r>
          </w:p>
        </w:tc>
        <w:tc>
          <w:tcPr>
            <w:tcW w:w="911"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COD</w:t>
            </w:r>
            <w:r>
              <w:rPr>
                <w:rFonts w:ascii="Times New Roman" w:hAnsi="Times New Roman" w:cs="Times New Roman"/>
                <w:caps w:val="0"/>
                <w:smallCaps w:val="0"/>
                <w:lang w:eastAsia="zh-CN"/>
              </w:rPr>
              <w:t>C</w:t>
            </w:r>
            <w:r>
              <w:rPr>
                <w:rFonts w:ascii="Times New Roman" w:hAnsi="Times New Roman" w:cs="Times New Roman"/>
                <w:caps w:val="0"/>
                <w:smallCaps w:val="0"/>
              </w:rPr>
              <w:t>r、SS、氨氮</w:t>
            </w:r>
          </w:p>
        </w:tc>
        <w:tc>
          <w:tcPr>
            <w:tcW w:w="771"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lang w:eastAsia="zh-CN"/>
              </w:rPr>
              <w:t>趸船暂存交海事部门环保船接收</w:t>
            </w:r>
          </w:p>
        </w:tc>
        <w:tc>
          <w:tcPr>
            <w:tcW w:w="659"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lang w:val="en-US"/>
              </w:rPr>
              <w:t>不外排</w:t>
            </w:r>
          </w:p>
        </w:tc>
        <w:tc>
          <w:tcPr>
            <w:tcW w:w="715" w:type="dxa"/>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c>
          <w:tcPr>
            <w:tcW w:w="785" w:type="dxa"/>
            <w:noWrap w:val="0"/>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eastAsia="zh-CN"/>
              </w:rPr>
              <w:t>/</w:t>
            </w:r>
          </w:p>
        </w:tc>
        <w:tc>
          <w:tcPr>
            <w:tcW w:w="645" w:type="dxa"/>
            <w:noWrap w:val="0"/>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eastAsia="zh-CN"/>
              </w:rPr>
              <w:t>/</w:t>
            </w:r>
          </w:p>
        </w:tc>
        <w:tc>
          <w:tcPr>
            <w:tcW w:w="770" w:type="dxa"/>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c>
          <w:tcPr>
            <w:tcW w:w="897"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是</w:t>
            </w:r>
          </w:p>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否</w:t>
            </w:r>
          </w:p>
        </w:tc>
        <w:tc>
          <w:tcPr>
            <w:tcW w:w="1378" w:type="dxa"/>
            <w:noWrap w:val="0"/>
            <w:vAlign w:val="center"/>
          </w:tcPr>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企业总排</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雨水排放</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清净下水排放</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温排水排放</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车间或车间处理口设施排放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946"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船舶含油废水</w:t>
            </w:r>
          </w:p>
        </w:tc>
        <w:tc>
          <w:tcPr>
            <w:tcW w:w="911"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石油类</w:t>
            </w:r>
          </w:p>
        </w:tc>
        <w:tc>
          <w:tcPr>
            <w:tcW w:w="771" w:type="dxa"/>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趸船暂存交海事部门环保船接收</w:t>
            </w:r>
          </w:p>
        </w:tc>
        <w:tc>
          <w:tcPr>
            <w:tcW w:w="659" w:type="dxa"/>
            <w:noWrap w:val="0"/>
            <w:vAlign w:val="center"/>
          </w:tcPr>
          <w:p>
            <w:pPr>
              <w:pStyle w:val="117"/>
              <w:bidi w:val="0"/>
              <w:rPr>
                <w:rFonts w:ascii="Times New Roman" w:hAnsi="Times New Roman" w:cs="Times New Roman"/>
                <w:caps w:val="0"/>
                <w:smallCaps w:val="0"/>
                <w:lang w:val="en-US"/>
              </w:rPr>
            </w:pPr>
            <w:r>
              <w:rPr>
                <w:rFonts w:ascii="Times New Roman" w:hAnsi="Times New Roman" w:cs="Times New Roman"/>
                <w:caps w:val="0"/>
                <w:smallCaps w:val="0"/>
                <w:lang w:val="en-US"/>
              </w:rPr>
              <w:t>不外排</w:t>
            </w:r>
          </w:p>
        </w:tc>
        <w:tc>
          <w:tcPr>
            <w:tcW w:w="715" w:type="dxa"/>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c>
          <w:tcPr>
            <w:tcW w:w="785" w:type="dxa"/>
            <w:noWrap w:val="0"/>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eastAsia="zh-CN"/>
              </w:rPr>
              <w:t>/</w:t>
            </w:r>
          </w:p>
        </w:tc>
        <w:tc>
          <w:tcPr>
            <w:tcW w:w="645" w:type="dxa"/>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w:t>
            </w:r>
          </w:p>
        </w:tc>
        <w:tc>
          <w:tcPr>
            <w:tcW w:w="770" w:type="dxa"/>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c>
          <w:tcPr>
            <w:tcW w:w="897"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是</w:t>
            </w:r>
          </w:p>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否</w:t>
            </w:r>
          </w:p>
        </w:tc>
        <w:tc>
          <w:tcPr>
            <w:tcW w:w="1378" w:type="dxa"/>
            <w:noWrap w:val="0"/>
            <w:vAlign w:val="center"/>
          </w:tcPr>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企业总排</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雨水排放</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清净下水排放</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温排水排放</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车间或车间处理口设施排放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946"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趸船冲洗废水</w:t>
            </w:r>
          </w:p>
        </w:tc>
        <w:tc>
          <w:tcPr>
            <w:tcW w:w="911" w:type="dxa"/>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SS、</w:t>
            </w:r>
            <w:r>
              <w:rPr>
                <w:rFonts w:hint="eastAsia" w:ascii="Times New Roman" w:hAnsi="Times New Roman" w:cs="Times New Roman"/>
                <w:caps w:val="0"/>
                <w:smallCaps w:val="0"/>
                <w:lang w:val="en-US" w:eastAsia="zh-CN"/>
              </w:rPr>
              <w:t>石油类</w:t>
            </w:r>
          </w:p>
        </w:tc>
        <w:tc>
          <w:tcPr>
            <w:tcW w:w="771" w:type="dxa"/>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趸船暂存交海事部门环保船接收</w:t>
            </w:r>
          </w:p>
        </w:tc>
        <w:tc>
          <w:tcPr>
            <w:tcW w:w="659" w:type="dxa"/>
            <w:noWrap w:val="0"/>
            <w:vAlign w:val="center"/>
          </w:tcPr>
          <w:p>
            <w:pPr>
              <w:pStyle w:val="117"/>
              <w:bidi w:val="0"/>
              <w:rPr>
                <w:rFonts w:ascii="Times New Roman" w:hAnsi="Times New Roman" w:cs="Times New Roman"/>
                <w:caps w:val="0"/>
                <w:smallCaps w:val="0"/>
                <w:lang w:val="en-US"/>
              </w:rPr>
            </w:pPr>
            <w:r>
              <w:rPr>
                <w:rFonts w:ascii="Times New Roman" w:hAnsi="Times New Roman" w:cs="Times New Roman"/>
                <w:caps w:val="0"/>
                <w:smallCaps w:val="0"/>
                <w:lang w:val="en-US"/>
              </w:rPr>
              <w:t>不外排</w:t>
            </w:r>
          </w:p>
        </w:tc>
        <w:tc>
          <w:tcPr>
            <w:tcW w:w="715" w:type="dxa"/>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c>
          <w:tcPr>
            <w:tcW w:w="785"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w:t>
            </w:r>
          </w:p>
        </w:tc>
        <w:tc>
          <w:tcPr>
            <w:tcW w:w="645" w:type="dxa"/>
            <w:noWrap w:val="0"/>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w:t>
            </w:r>
          </w:p>
        </w:tc>
        <w:tc>
          <w:tcPr>
            <w:tcW w:w="770"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eastAsia="zh-CN"/>
              </w:rPr>
              <w:t>/</w:t>
            </w:r>
          </w:p>
        </w:tc>
        <w:tc>
          <w:tcPr>
            <w:tcW w:w="897"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是</w:t>
            </w:r>
          </w:p>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否</w:t>
            </w:r>
          </w:p>
        </w:tc>
        <w:tc>
          <w:tcPr>
            <w:tcW w:w="1378" w:type="dxa"/>
            <w:noWrap w:val="0"/>
            <w:vAlign w:val="center"/>
          </w:tcPr>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企业总排</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雨水排放</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清净下水排放</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温排水排放</w:t>
            </w:r>
          </w:p>
          <w:p>
            <w:pPr>
              <w:pStyle w:val="117"/>
              <w:keepNext w:val="0"/>
              <w:keepLines w:val="0"/>
              <w:pageBreakBefore w:val="0"/>
              <w:widowControl w:val="0"/>
              <w:kinsoku/>
              <w:wordWrap/>
              <w:overflowPunct/>
              <w:topLinePunct w:val="0"/>
              <w:autoSpaceDE/>
              <w:autoSpaceDN/>
              <w:bidi w:val="0"/>
              <w:adjustRightInd/>
              <w:snapToGrid/>
              <w:spacing w:line="24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车间或车间处理口设施排放</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65" w:hRule="atLeast"/>
          <w:jc w:val="center"/>
        </w:trPr>
        <w:tc>
          <w:tcPr>
            <w:tcW w:w="946" w:type="dxa"/>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t>趸船</w:t>
            </w:r>
            <w:r>
              <w:rPr>
                <w:rFonts w:hint="eastAsia" w:ascii="Times New Roman" w:hAnsi="Times New Roman" w:cs="Times New Roman"/>
                <w:caps w:val="0"/>
                <w:smallCaps w:val="0"/>
                <w:lang w:eastAsia="zh-CN"/>
              </w:rPr>
              <w:t>初期雨水</w:t>
            </w:r>
          </w:p>
        </w:tc>
        <w:tc>
          <w:tcPr>
            <w:tcW w:w="911" w:type="dxa"/>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hint="eastAsia" w:ascii="Times New Roman" w:hAnsi="Times New Roman" w:cs="Times New Roman"/>
                <w:caps w:val="0"/>
                <w:smallCaps w:val="0"/>
                <w:lang w:eastAsia="zh-CN"/>
              </w:rPr>
              <w:t>SS、</w:t>
            </w:r>
            <w:r>
              <w:rPr>
                <w:rFonts w:hint="eastAsia" w:ascii="Times New Roman" w:hAnsi="Times New Roman" w:cs="Times New Roman"/>
                <w:caps w:val="0"/>
                <w:smallCaps w:val="0"/>
                <w:lang w:val="en-US" w:eastAsia="zh-CN"/>
              </w:rPr>
              <w:t>石油类</w:t>
            </w:r>
          </w:p>
        </w:tc>
        <w:tc>
          <w:tcPr>
            <w:tcW w:w="771" w:type="dxa"/>
            <w:noWrap w:val="0"/>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lang w:eastAsia="zh-CN"/>
              </w:rPr>
              <w:t>趸船暂存交海事部门环保船接收</w:t>
            </w:r>
          </w:p>
        </w:tc>
        <w:tc>
          <w:tcPr>
            <w:tcW w:w="659" w:type="dxa"/>
            <w:noWrap w:val="0"/>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lang w:val="en-US"/>
              </w:rPr>
              <w:t>不外排</w:t>
            </w:r>
          </w:p>
        </w:tc>
        <w:tc>
          <w:tcPr>
            <w:tcW w:w="715" w:type="dxa"/>
            <w:noWrap w:val="0"/>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lang w:eastAsia="zh-CN"/>
              </w:rPr>
              <w:t>/</w:t>
            </w:r>
          </w:p>
        </w:tc>
        <w:tc>
          <w:tcPr>
            <w:tcW w:w="785" w:type="dxa"/>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hint="eastAsia" w:ascii="Times New Roman" w:hAnsi="Times New Roman" w:cs="Times New Roman"/>
                <w:caps w:val="0"/>
                <w:smallCaps w:val="0"/>
                <w:lang w:eastAsia="zh-CN"/>
              </w:rPr>
              <w:t>/</w:t>
            </w:r>
          </w:p>
        </w:tc>
        <w:tc>
          <w:tcPr>
            <w:tcW w:w="645" w:type="dxa"/>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hint="eastAsia" w:ascii="Times New Roman" w:hAnsi="Times New Roman" w:cs="Times New Roman"/>
                <w:caps w:val="0"/>
                <w:smallCaps w:val="0"/>
                <w:lang w:eastAsia="zh-CN"/>
              </w:rPr>
              <w:t>/</w:t>
            </w:r>
          </w:p>
        </w:tc>
        <w:tc>
          <w:tcPr>
            <w:tcW w:w="770" w:type="dxa"/>
            <w:noWrap w:val="0"/>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lang w:eastAsia="zh-CN"/>
              </w:rPr>
              <w:t>/</w:t>
            </w:r>
          </w:p>
        </w:tc>
        <w:tc>
          <w:tcPr>
            <w:tcW w:w="897" w:type="dxa"/>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是</w:t>
            </w:r>
          </w:p>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sym w:font="Wingdings 2" w:char="00A3"/>
            </w:r>
            <w:r>
              <w:rPr>
                <w:rFonts w:ascii="Times New Roman" w:hAnsi="Times New Roman" w:cs="Times New Roman"/>
                <w:caps w:val="0"/>
                <w:smallCaps w:val="0"/>
              </w:rPr>
              <w:t>否</w:t>
            </w:r>
          </w:p>
        </w:tc>
        <w:tc>
          <w:tcPr>
            <w:tcW w:w="1378" w:type="dxa"/>
            <w:noWrap w:val="0"/>
            <w:vAlign w:val="center"/>
          </w:tcPr>
          <w:p>
            <w:pPr>
              <w:pStyle w:val="117"/>
              <w:keepNext w:val="0"/>
              <w:keepLines w:val="0"/>
              <w:pageBreakBefore w:val="0"/>
              <w:widowControl w:val="0"/>
              <w:kinsoku/>
              <w:wordWrap/>
              <w:overflowPunct/>
              <w:topLinePunct w:val="0"/>
              <w:autoSpaceDE/>
              <w:autoSpaceDN/>
              <w:bidi w:val="0"/>
              <w:adjustRightInd/>
              <w:snapToGrid/>
              <w:spacing w:line="28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企业总排</w:t>
            </w:r>
          </w:p>
          <w:p>
            <w:pPr>
              <w:pStyle w:val="117"/>
              <w:keepNext w:val="0"/>
              <w:keepLines w:val="0"/>
              <w:pageBreakBefore w:val="0"/>
              <w:widowControl w:val="0"/>
              <w:kinsoku/>
              <w:wordWrap/>
              <w:overflowPunct/>
              <w:topLinePunct w:val="0"/>
              <w:autoSpaceDE/>
              <w:autoSpaceDN/>
              <w:bidi w:val="0"/>
              <w:adjustRightInd/>
              <w:snapToGrid/>
              <w:spacing w:line="28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雨水排放</w:t>
            </w:r>
          </w:p>
          <w:p>
            <w:pPr>
              <w:pStyle w:val="117"/>
              <w:keepNext w:val="0"/>
              <w:keepLines w:val="0"/>
              <w:pageBreakBefore w:val="0"/>
              <w:widowControl w:val="0"/>
              <w:kinsoku/>
              <w:wordWrap/>
              <w:overflowPunct/>
              <w:topLinePunct w:val="0"/>
              <w:autoSpaceDE/>
              <w:autoSpaceDN/>
              <w:bidi w:val="0"/>
              <w:adjustRightInd/>
              <w:snapToGrid/>
              <w:spacing w:line="28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清净下水排放</w:t>
            </w:r>
          </w:p>
          <w:p>
            <w:pPr>
              <w:pStyle w:val="117"/>
              <w:keepNext w:val="0"/>
              <w:keepLines w:val="0"/>
              <w:pageBreakBefore w:val="0"/>
              <w:widowControl w:val="0"/>
              <w:kinsoku/>
              <w:wordWrap/>
              <w:overflowPunct/>
              <w:topLinePunct w:val="0"/>
              <w:autoSpaceDE/>
              <w:autoSpaceDN/>
              <w:bidi w:val="0"/>
              <w:adjustRightInd/>
              <w:snapToGrid/>
              <w:spacing w:line="280" w:lineRule="exact"/>
              <w:textAlignment w:val="auto"/>
              <w:rPr>
                <w:rFonts w:ascii="Times New Roman" w:hAnsi="Times New Roman" w:cs="Times New Roman"/>
                <w:caps w:val="0"/>
                <w:smallCaps w:val="0"/>
              </w:rPr>
            </w:pPr>
            <w:r>
              <w:rPr>
                <w:rFonts w:ascii="Times New Roman" w:hAnsi="Times New Roman" w:cs="Times New Roman"/>
                <w:caps w:val="0"/>
                <w:smallCaps w:val="0"/>
              </w:rPr>
              <w:sym w:font="Wingdings 2" w:char="00A3"/>
            </w:r>
            <w:r>
              <w:rPr>
                <w:rFonts w:ascii="Times New Roman" w:hAnsi="Times New Roman" w:cs="Times New Roman"/>
                <w:caps w:val="0"/>
                <w:smallCaps w:val="0"/>
              </w:rPr>
              <w:t>温排水排放</w:t>
            </w:r>
          </w:p>
          <w:p>
            <w:pPr>
              <w:pStyle w:val="117"/>
              <w:keepNext w:val="0"/>
              <w:keepLines w:val="0"/>
              <w:pageBreakBefore w:val="0"/>
              <w:widowControl w:val="0"/>
              <w:kinsoku/>
              <w:wordWrap/>
              <w:overflowPunct/>
              <w:topLinePunct w:val="0"/>
              <w:autoSpaceDE/>
              <w:autoSpaceDN/>
              <w:bidi w:val="0"/>
              <w:adjustRightInd/>
              <w:snapToGrid/>
              <w:spacing w:line="280" w:lineRule="exact"/>
              <w:ind w:firstLine="0" w:firstLineChars="0"/>
              <w:textAlignment w:val="auto"/>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rPr>
              <w:sym w:font="Wingdings 2" w:char="00A3"/>
            </w:r>
            <w:r>
              <w:rPr>
                <w:rFonts w:ascii="Times New Roman" w:hAnsi="Times New Roman" w:cs="Times New Roman"/>
                <w:caps w:val="0"/>
                <w:smallCaps w:val="0"/>
              </w:rPr>
              <w:t>车间或车间处理口设施排放</w:t>
            </w:r>
          </w:p>
        </w:tc>
      </w:tr>
    </w:tbl>
    <w:p>
      <w:pPr>
        <w:widowControl/>
        <w:spacing w:before="120" w:beforeLines="50" w:line="360" w:lineRule="auto"/>
        <w:ind w:firstLine="480" w:firstLineChars="200"/>
        <w:textAlignment w:val="baseline"/>
        <w:rPr>
          <w:rFonts w:ascii="Times New Roman" w:hAnsi="Times New Roman" w:cs="Times New Roman"/>
          <w:caps w:val="0"/>
          <w:smallCaps w:val="0"/>
          <w:sz w:val="24"/>
        </w:rPr>
      </w:pPr>
      <w:r>
        <w:rPr>
          <w:rFonts w:ascii="Times New Roman" w:hAnsi="Times New Roman" w:cs="Times New Roman"/>
          <w:caps w:val="0"/>
          <w:smallCaps w:val="0"/>
          <w:sz w:val="24"/>
        </w:rPr>
        <w:t>采取以上措施后，项目营运期码头员工生活污水、船舶废水、趸船冲洗废水</w:t>
      </w:r>
      <w:r>
        <w:rPr>
          <w:rFonts w:hint="eastAsia" w:ascii="Times New Roman" w:hAnsi="Times New Roman" w:cs="Times New Roman"/>
          <w:caps w:val="0"/>
          <w:smallCaps w:val="0"/>
          <w:sz w:val="24"/>
          <w:lang w:eastAsia="zh-CN"/>
        </w:rPr>
        <w:t>、初期雨水</w:t>
      </w:r>
      <w:r>
        <w:rPr>
          <w:rFonts w:ascii="Times New Roman" w:hAnsi="Times New Roman" w:cs="Times New Roman"/>
          <w:caps w:val="0"/>
          <w:smallCaps w:val="0"/>
          <w:sz w:val="24"/>
        </w:rPr>
        <w:t>均得到合理的处置，对湘江水环境影响较小。</w:t>
      </w:r>
    </w:p>
    <w:p>
      <w:pPr>
        <w:pStyle w:val="6"/>
        <w:rPr>
          <w:rFonts w:ascii="Times New Roman" w:hAnsi="Times New Roman" w:eastAsia="宋体" w:cs="Times New Roman"/>
          <w:b/>
          <w:bCs w:val="0"/>
          <w:caps w:val="0"/>
          <w:smallCaps w:val="0"/>
        </w:rPr>
      </w:pPr>
      <w:r>
        <w:rPr>
          <w:rFonts w:ascii="Times New Roman" w:hAnsi="Times New Roman" w:eastAsia="宋体" w:cs="Times New Roman"/>
          <w:b/>
          <w:bCs w:val="0"/>
          <w:caps w:val="0"/>
          <w:smallCaps w:val="0"/>
        </w:rPr>
        <w:t>水文情势变化</w:t>
      </w:r>
    </w:p>
    <w:p>
      <w:pPr>
        <w:adjustRightInd w:val="0"/>
        <w:snapToGrid w:val="0"/>
        <w:ind w:firstLine="480"/>
        <w:jc w:val="left"/>
        <w:rPr>
          <w:rFonts w:ascii="Times New Roman" w:hAnsi="Times New Roman" w:cs="Times New Roman"/>
          <w:caps w:val="0"/>
          <w:smallCaps w:val="0"/>
        </w:rPr>
      </w:pPr>
      <w:r>
        <w:rPr>
          <w:rFonts w:ascii="Times New Roman" w:hAnsi="Times New Roman" w:cs="Times New Roman"/>
          <w:caps w:val="0"/>
          <w:smallCaps w:val="0"/>
        </w:rPr>
        <w:t>根据《环境影响评价技术导则  地表水环境》（HJ 2.3-2018）要求，水文要素影响型建设项目水文情势预测分析主要包括水域形态、径流条件、水文条件以及冲淤变化等内容，预测水期包括枯、丰水期。根据码头工程特点，码头工程对径流过程、水量、水温、水面宽等水文要素影响较小，主要针对水位、流速及泥沙冲淤等水文要素进行预测与分析。本报告采用二维水流模型，主要通过分析拟建码头工程实施前后河道水位和流速的变化，进而分析泥沙冲淤情况，来分析拟建工程对水文情势的变化影响。</w:t>
      </w:r>
    </w:p>
    <w:p>
      <w:pPr>
        <w:pStyle w:val="7"/>
        <w:bidi w:val="0"/>
        <w:rPr>
          <w:rFonts w:ascii="Times New Roman" w:hAnsi="Times New Roman" w:cs="Times New Roman"/>
          <w:caps w:val="0"/>
          <w:smallCaps w:val="0"/>
        </w:rPr>
      </w:pPr>
      <w:bookmarkStart w:id="97" w:name="_Toc84949157"/>
      <w:r>
        <w:rPr>
          <w:rFonts w:ascii="Times New Roman" w:hAnsi="Times New Roman" w:cs="Times New Roman"/>
          <w:caps w:val="0"/>
          <w:smallCaps w:val="0"/>
        </w:rPr>
        <w:t>数学模型的建立</w:t>
      </w:r>
      <w:bookmarkEnd w:id="97"/>
    </w:p>
    <w:p>
      <w:pPr>
        <w:adjustRightInd w:val="0"/>
        <w:snapToGrid w:val="0"/>
        <w:ind w:firstLine="480"/>
        <w:rPr>
          <w:rFonts w:ascii="Times New Roman" w:hAnsi="Times New Roman" w:cs="Times New Roman"/>
          <w:caps w:val="0"/>
          <w:smallCaps w:val="0"/>
        </w:rPr>
      </w:pPr>
      <w:r>
        <w:rPr>
          <w:rFonts w:ascii="Times New Roman" w:hAnsi="Times New Roman" w:cs="Times New Roman"/>
          <w:caps w:val="0"/>
          <w:smallCaps w:val="0"/>
        </w:rPr>
        <w:t>本工程采用浮码头结构，对水流产生一定影响，我们建立了二维水流数学模型，进行了专门的研究。</w:t>
      </w:r>
    </w:p>
    <w:p>
      <w:pPr>
        <w:ind w:firstLine="482"/>
        <w:rPr>
          <w:rFonts w:ascii="Times New Roman" w:hAnsi="Times New Roman" w:cs="Times New Roman"/>
          <w:b/>
          <w:caps w:val="0"/>
          <w:smallCaps w:val="0"/>
        </w:rPr>
      </w:pPr>
      <w:r>
        <w:rPr>
          <w:rFonts w:ascii="Times New Roman" w:hAnsi="Times New Roman" w:cs="Times New Roman"/>
          <w:b/>
          <w:caps w:val="0"/>
          <w:smallCaps w:val="0"/>
        </w:rPr>
        <w:t>（1）二维水流运动数学模型基本方程组</w:t>
      </w:r>
    </w:p>
    <w:p>
      <w:pPr>
        <w:adjustRightInd w:val="0"/>
        <w:snapToGrid w:val="0"/>
        <w:ind w:firstLine="480"/>
        <w:rPr>
          <w:rFonts w:ascii="Times New Roman" w:hAnsi="Times New Roman" w:cs="Times New Roman"/>
          <w:caps w:val="0"/>
          <w:smallCaps w:val="0"/>
        </w:rPr>
      </w:pPr>
      <w:r>
        <w:rPr>
          <w:rFonts w:ascii="Times New Roman" w:hAnsi="Times New Roman" w:cs="Times New Roman"/>
          <w:caps w:val="0"/>
          <w:smallCaps w:val="0"/>
        </w:rPr>
        <w:t>针对河道蜿蜒曲折的特点，本研究选用正交贴体曲线坐标拟合边界，以便较好地模拟河道边界，又使废网格大大减少，为此，首先依据势流的流线与等势线正交原理生成正交曲线网格。</w:t>
      </w:r>
    </w:p>
    <w:p>
      <w:pPr>
        <w:ind w:firstLine="480"/>
        <w:rPr>
          <w:rFonts w:ascii="Times New Roman" w:hAnsi="Times New Roman" w:cs="Times New Roman"/>
          <w:caps w:val="0"/>
          <w:smallCaps w:val="0"/>
        </w:rPr>
      </w:pPr>
      <w:r>
        <w:rPr>
          <w:rFonts w:ascii="Times New Roman" w:hAnsi="Times New Roman" w:cs="Times New Roman"/>
          <w:caps w:val="0"/>
          <w:smallCaps w:val="0"/>
        </w:rPr>
        <w:t>1）正交曲线坐标转换采用以下方程：</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0"/>
        </w:rPr>
        <w:drawing>
          <wp:inline distT="0" distB="0" distL="114300" distR="114300">
            <wp:extent cx="2638425" cy="457200"/>
            <wp:effectExtent l="0" t="0" r="0" b="0"/>
            <wp:docPr id="1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
                    <pic:cNvPicPr>
                      <a:picLocks noChangeAspect="1"/>
                    </pic:cNvPicPr>
                  </pic:nvPicPr>
                  <pic:blipFill>
                    <a:blip r:embed="rId56"/>
                    <a:stretch>
                      <a:fillRect/>
                    </a:stretch>
                  </pic:blipFill>
                  <pic:spPr>
                    <a:xfrm>
                      <a:off x="0" y="0"/>
                      <a:ext cx="2638425" cy="4572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0"/>
        </w:rPr>
        <w:drawing>
          <wp:inline distT="0" distB="0" distL="114300" distR="114300">
            <wp:extent cx="2638425" cy="457200"/>
            <wp:effectExtent l="0" t="0" r="0" b="0"/>
            <wp:docPr id="10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2"/>
                    <pic:cNvPicPr>
                      <a:picLocks noChangeAspect="1"/>
                    </pic:cNvPicPr>
                  </pic:nvPicPr>
                  <pic:blipFill>
                    <a:blip r:embed="rId57"/>
                    <a:stretch>
                      <a:fillRect/>
                    </a:stretch>
                  </pic:blipFill>
                  <pic:spPr>
                    <a:xfrm>
                      <a:off x="0" y="0"/>
                      <a:ext cx="2638425" cy="4572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式中，</w:t>
      </w:r>
      <w:r>
        <w:rPr>
          <w:rFonts w:ascii="Times New Roman" w:hAnsi="Times New Roman" w:cs="Times New Roman"/>
          <w:caps w:val="0"/>
          <w:smallCaps w:val="0"/>
          <w:position w:val="-10"/>
        </w:rPr>
        <w:drawing>
          <wp:inline distT="0" distB="0" distL="114300" distR="114300">
            <wp:extent cx="371475" cy="200025"/>
            <wp:effectExtent l="0" t="0" r="9525" b="8890"/>
            <wp:docPr id="10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3"/>
                    <pic:cNvPicPr>
                      <a:picLocks noChangeAspect="1"/>
                    </pic:cNvPicPr>
                  </pic:nvPicPr>
                  <pic:blipFill>
                    <a:blip r:embed="rId58"/>
                    <a:stretch>
                      <a:fillRect/>
                    </a:stretch>
                  </pic:blipFill>
                  <pic:spPr>
                    <a:xfrm>
                      <a:off x="0" y="0"/>
                      <a:ext cx="371475" cy="200025"/>
                    </a:xfrm>
                    <a:prstGeom prst="rect">
                      <a:avLst/>
                    </a:prstGeom>
                    <a:noFill/>
                    <a:ln>
                      <a:noFill/>
                    </a:ln>
                  </pic:spPr>
                </pic:pic>
              </a:graphicData>
            </a:graphic>
          </wp:inline>
        </w:drawing>
      </w:r>
      <w:r>
        <w:rPr>
          <w:rFonts w:ascii="Times New Roman" w:hAnsi="Times New Roman" w:cs="Times New Roman"/>
          <w:caps w:val="0"/>
          <w:smallCaps w:val="0"/>
        </w:rPr>
        <w:t>为变换平面坐标；</w:t>
      </w:r>
      <w:r>
        <w:rPr>
          <w:rFonts w:ascii="Times New Roman" w:hAnsi="Times New Roman" w:cs="Times New Roman"/>
          <w:caps w:val="0"/>
          <w:smallCaps w:val="0"/>
          <w:position w:val="-10"/>
        </w:rPr>
        <w:drawing>
          <wp:inline distT="0" distB="0" distL="114300" distR="114300">
            <wp:extent cx="352425" cy="219075"/>
            <wp:effectExtent l="0" t="0" r="9525" b="9525"/>
            <wp:docPr id="10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
                    <pic:cNvPicPr>
                      <a:picLocks noChangeAspect="1"/>
                    </pic:cNvPicPr>
                  </pic:nvPicPr>
                  <pic:blipFill>
                    <a:blip r:embed="rId59"/>
                    <a:stretch>
                      <a:fillRect/>
                    </a:stretch>
                  </pic:blipFill>
                  <pic:spPr>
                    <a:xfrm>
                      <a:off x="0" y="0"/>
                      <a:ext cx="352425" cy="219075"/>
                    </a:xfrm>
                    <a:prstGeom prst="rect">
                      <a:avLst/>
                    </a:prstGeom>
                    <a:noFill/>
                    <a:ln>
                      <a:noFill/>
                    </a:ln>
                  </pic:spPr>
                </pic:pic>
              </a:graphicData>
            </a:graphic>
          </wp:inline>
        </w:drawing>
      </w:r>
      <w:r>
        <w:rPr>
          <w:rFonts w:ascii="Times New Roman" w:hAnsi="Times New Roman" w:cs="Times New Roman"/>
          <w:caps w:val="0"/>
          <w:smallCaps w:val="0"/>
        </w:rPr>
        <w:t>为物理平面坐标；</w:t>
      </w:r>
      <w:r>
        <w:rPr>
          <w:rFonts w:ascii="Times New Roman" w:hAnsi="Times New Roman" w:cs="Times New Roman"/>
          <w:caps w:val="0"/>
          <w:smallCaps w:val="0"/>
          <w:position w:val="-14"/>
        </w:rPr>
        <w:drawing>
          <wp:inline distT="0" distB="0" distL="114300" distR="114300">
            <wp:extent cx="200025" cy="238125"/>
            <wp:effectExtent l="0" t="0" r="9525" b="7620"/>
            <wp:docPr id="10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5"/>
                    <pic:cNvPicPr>
                      <a:picLocks noChangeAspect="1"/>
                    </pic:cNvPicPr>
                  </pic:nvPicPr>
                  <pic:blipFill>
                    <a:blip r:embed="rId60"/>
                    <a:stretch>
                      <a:fillRect/>
                    </a:stretch>
                  </pic:blipFill>
                  <pic:spPr>
                    <a:xfrm>
                      <a:off x="0" y="0"/>
                      <a:ext cx="200025" cy="2381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4"/>
        </w:rPr>
        <w:drawing>
          <wp:inline distT="0" distB="0" distL="114300" distR="114300">
            <wp:extent cx="200025" cy="238125"/>
            <wp:effectExtent l="0" t="0" r="9525" b="0"/>
            <wp:docPr id="10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6"/>
                    <pic:cNvPicPr>
                      <a:picLocks noChangeAspect="1"/>
                    </pic:cNvPicPr>
                  </pic:nvPicPr>
                  <pic:blipFill>
                    <a:blip r:embed="rId61"/>
                    <a:stretch>
                      <a:fillRect/>
                    </a:stretch>
                  </pic:blipFill>
                  <pic:spPr>
                    <a:xfrm>
                      <a:off x="0" y="0"/>
                      <a:ext cx="200025" cy="238125"/>
                    </a:xfrm>
                    <a:prstGeom prst="rect">
                      <a:avLst/>
                    </a:prstGeom>
                    <a:noFill/>
                    <a:ln>
                      <a:noFill/>
                    </a:ln>
                  </pic:spPr>
                </pic:pic>
              </a:graphicData>
            </a:graphic>
          </wp:inline>
        </w:drawing>
      </w:r>
      <w:r>
        <w:rPr>
          <w:rFonts w:ascii="Times New Roman" w:hAnsi="Times New Roman" w:cs="Times New Roman"/>
          <w:caps w:val="0"/>
          <w:smallCaps w:val="0"/>
        </w:rPr>
        <w:t>为正交曲线坐标系中的拉梅系数，</w:t>
      </w:r>
      <w:r>
        <w:rPr>
          <w:rFonts w:ascii="Times New Roman" w:hAnsi="Times New Roman" w:cs="Times New Roman"/>
          <w:caps w:val="0"/>
          <w:smallCaps w:val="0"/>
          <w:position w:val="-16"/>
        </w:rPr>
        <w:drawing>
          <wp:inline distT="0" distB="0" distL="114300" distR="114300">
            <wp:extent cx="1076325" cy="314325"/>
            <wp:effectExtent l="0" t="0" r="9525" b="8255"/>
            <wp:docPr id="1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7"/>
                    <pic:cNvPicPr>
                      <a:picLocks noChangeAspect="1"/>
                    </pic:cNvPicPr>
                  </pic:nvPicPr>
                  <pic:blipFill>
                    <a:blip r:embed="rId62"/>
                    <a:stretch>
                      <a:fillRect/>
                    </a:stretch>
                  </pic:blipFill>
                  <pic:spPr>
                    <a:xfrm>
                      <a:off x="0" y="0"/>
                      <a:ext cx="1076325" cy="3143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6"/>
        </w:rPr>
        <w:drawing>
          <wp:inline distT="0" distB="0" distL="114300" distR="114300">
            <wp:extent cx="1076325" cy="314325"/>
            <wp:effectExtent l="0" t="0" r="9525" b="8255"/>
            <wp:docPr id="10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8"/>
                    <pic:cNvPicPr>
                      <a:picLocks noChangeAspect="1"/>
                    </pic:cNvPicPr>
                  </pic:nvPicPr>
                  <pic:blipFill>
                    <a:blip r:embed="rId63"/>
                    <a:stretch>
                      <a:fillRect/>
                    </a:stretch>
                  </pic:blipFill>
                  <pic:spPr>
                    <a:xfrm>
                      <a:off x="0" y="0"/>
                      <a:ext cx="1076325" cy="3143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4"/>
        </w:rPr>
        <w:drawing>
          <wp:inline distT="0" distB="0" distL="114300" distR="114300">
            <wp:extent cx="638175" cy="238125"/>
            <wp:effectExtent l="0" t="0" r="0" b="7620"/>
            <wp:docPr id="1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9"/>
                    <pic:cNvPicPr>
                      <a:picLocks noChangeAspect="1"/>
                    </pic:cNvPicPr>
                  </pic:nvPicPr>
                  <pic:blipFill>
                    <a:blip r:embed="rId64"/>
                    <a:stretch>
                      <a:fillRect/>
                    </a:stretch>
                  </pic:blipFill>
                  <pic:spPr>
                    <a:xfrm>
                      <a:off x="0" y="0"/>
                      <a:ext cx="638175" cy="2381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36"/>
        </w:rPr>
        <w:drawing>
          <wp:inline distT="0" distB="0" distL="114300" distR="114300">
            <wp:extent cx="1285875" cy="466725"/>
            <wp:effectExtent l="0" t="0" r="9525" b="9525"/>
            <wp:docPr id="10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
                    <pic:cNvPicPr>
                      <a:picLocks noChangeAspect="1"/>
                    </pic:cNvPicPr>
                  </pic:nvPicPr>
                  <pic:blipFill>
                    <a:blip r:embed="rId65"/>
                    <a:stretch>
                      <a:fillRect/>
                    </a:stretch>
                  </pic:blipFill>
                  <pic:spPr>
                    <a:xfrm>
                      <a:off x="0" y="0"/>
                      <a:ext cx="1285875" cy="4667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34"/>
        </w:rPr>
        <w:drawing>
          <wp:inline distT="0" distB="0" distL="114300" distR="114300">
            <wp:extent cx="1038225" cy="457200"/>
            <wp:effectExtent l="0" t="0" r="9525" b="0"/>
            <wp:docPr id="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1"/>
                    <pic:cNvPicPr>
                      <a:picLocks noChangeAspect="1"/>
                    </pic:cNvPicPr>
                  </pic:nvPicPr>
                  <pic:blipFill>
                    <a:blip r:embed="rId66"/>
                    <a:stretch>
                      <a:fillRect/>
                    </a:stretch>
                  </pic:blipFill>
                  <pic:spPr>
                    <a:xfrm>
                      <a:off x="0" y="0"/>
                      <a:ext cx="1038225" cy="4572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4"/>
        </w:rPr>
        <w:drawing>
          <wp:inline distT="0" distB="0" distL="114300" distR="114300">
            <wp:extent cx="733425" cy="238125"/>
            <wp:effectExtent l="0" t="0" r="9525" b="8255"/>
            <wp:docPr id="9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2"/>
                    <pic:cNvPicPr>
                      <a:picLocks noChangeAspect="1"/>
                    </pic:cNvPicPr>
                  </pic:nvPicPr>
                  <pic:blipFill>
                    <a:blip r:embed="rId67"/>
                    <a:stretch>
                      <a:fillRect/>
                    </a:stretch>
                  </pic:blipFill>
                  <pic:spPr>
                    <a:xfrm>
                      <a:off x="0" y="0"/>
                      <a:ext cx="733425" cy="238125"/>
                    </a:xfrm>
                    <a:prstGeom prst="rect">
                      <a:avLst/>
                    </a:prstGeom>
                    <a:noFill/>
                    <a:ln>
                      <a:noFill/>
                    </a:ln>
                  </pic:spPr>
                </pic:pic>
              </a:graphicData>
            </a:graphic>
          </wp:inline>
        </w:drawing>
      </w:r>
      <w:r>
        <w:rPr>
          <w:rFonts w:ascii="Times New Roman" w:hAnsi="Times New Roman" w:cs="Times New Roman"/>
          <w:caps w:val="0"/>
          <w:smallCaps w:val="0"/>
        </w:rPr>
        <w:t>。</w:t>
      </w:r>
    </w:p>
    <w:p>
      <w:pPr>
        <w:ind w:firstLine="480"/>
        <w:rPr>
          <w:rFonts w:ascii="Times New Roman" w:hAnsi="Times New Roman" w:cs="Times New Roman"/>
          <w:caps w:val="0"/>
          <w:smallCaps w:val="0"/>
        </w:rPr>
      </w:pPr>
      <w:r>
        <w:rPr>
          <w:rFonts w:ascii="Times New Roman" w:hAnsi="Times New Roman" w:cs="Times New Roman"/>
          <w:caps w:val="0"/>
          <w:smallCaps w:val="0"/>
        </w:rPr>
        <w:t>2）水流运动可按下列方程控制：</w:t>
      </w:r>
    </w:p>
    <w:p>
      <w:pPr>
        <w:ind w:firstLine="480"/>
        <w:rPr>
          <w:rFonts w:ascii="Times New Roman" w:hAnsi="Times New Roman" w:cs="Times New Roman"/>
          <w:caps w:val="0"/>
          <w:smallCaps w:val="0"/>
        </w:rPr>
      </w:pPr>
      <w:r>
        <w:rPr>
          <w:rFonts w:ascii="Times New Roman" w:hAnsi="Times New Roman" w:cs="Times New Roman"/>
          <w:caps w:val="0"/>
          <w:smallCaps w:val="0"/>
        </w:rPr>
        <w:t>连续方程</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8"/>
        </w:rPr>
        <w:drawing>
          <wp:inline distT="0" distB="0" distL="114300" distR="114300">
            <wp:extent cx="2409825" cy="561975"/>
            <wp:effectExtent l="0" t="0" r="0" b="8890"/>
            <wp:docPr id="9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3"/>
                    <pic:cNvPicPr>
                      <a:picLocks noChangeAspect="1"/>
                    </pic:cNvPicPr>
                  </pic:nvPicPr>
                  <pic:blipFill>
                    <a:blip r:embed="rId68"/>
                    <a:stretch>
                      <a:fillRect/>
                    </a:stretch>
                  </pic:blipFill>
                  <pic:spPr>
                    <a:xfrm>
                      <a:off x="0" y="0"/>
                      <a:ext cx="2409825" cy="5619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动量方程</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72"/>
        </w:rPr>
        <w:drawing>
          <wp:inline distT="0" distB="0" distL="114300" distR="114300">
            <wp:extent cx="5419725" cy="990600"/>
            <wp:effectExtent l="0" t="0" r="9525" b="0"/>
            <wp:docPr id="9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4"/>
                    <pic:cNvPicPr>
                      <a:picLocks noChangeAspect="1"/>
                    </pic:cNvPicPr>
                  </pic:nvPicPr>
                  <pic:blipFill>
                    <a:blip r:embed="rId69"/>
                    <a:stretch>
                      <a:fillRect/>
                    </a:stretch>
                  </pic:blipFill>
                  <pic:spPr>
                    <a:xfrm>
                      <a:off x="0" y="0"/>
                      <a:ext cx="5419725" cy="990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4</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72"/>
        </w:rPr>
        <w:drawing>
          <wp:inline distT="0" distB="0" distL="114300" distR="114300">
            <wp:extent cx="5410200" cy="990600"/>
            <wp:effectExtent l="0" t="0" r="0" b="0"/>
            <wp:docPr id="9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5"/>
                    <pic:cNvPicPr>
                      <a:picLocks noChangeAspect="1"/>
                    </pic:cNvPicPr>
                  </pic:nvPicPr>
                  <pic:blipFill>
                    <a:blip r:embed="rId70"/>
                    <a:stretch>
                      <a:fillRect/>
                    </a:stretch>
                  </pic:blipFill>
                  <pic:spPr>
                    <a:xfrm>
                      <a:off x="0" y="0"/>
                      <a:ext cx="5410200" cy="990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5</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式中，</w:t>
      </w:r>
      <w:r>
        <w:rPr>
          <w:rFonts w:ascii="Times New Roman" w:hAnsi="Times New Roman" w:cs="Times New Roman"/>
          <w:caps w:val="0"/>
          <w:smallCaps w:val="0"/>
        </w:rPr>
        <w:drawing>
          <wp:inline distT="0" distB="0" distL="114300" distR="114300">
            <wp:extent cx="123825" cy="142875"/>
            <wp:effectExtent l="0" t="0" r="9525" b="8255"/>
            <wp:docPr id="9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6"/>
                    <pic:cNvPicPr>
                      <a:picLocks noChangeAspect="1"/>
                    </pic:cNvPicPr>
                  </pic:nvPicPr>
                  <pic:blipFill>
                    <a:blip r:embed="rId71"/>
                    <a:stretch>
                      <a:fillRect/>
                    </a:stretch>
                  </pic:blipFill>
                  <pic:spPr>
                    <a:xfrm>
                      <a:off x="0" y="0"/>
                      <a:ext cx="123825" cy="14287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114300" cy="142875"/>
            <wp:effectExtent l="0" t="0" r="0" b="8255"/>
            <wp:docPr id="9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7"/>
                    <pic:cNvPicPr>
                      <a:picLocks noChangeAspect="1"/>
                    </pic:cNvPicPr>
                  </pic:nvPicPr>
                  <pic:blipFill>
                    <a:blip r:embed="rId72"/>
                    <a:stretch>
                      <a:fillRect/>
                    </a:stretch>
                  </pic:blipFill>
                  <pic:spPr>
                    <a:xfrm>
                      <a:off x="0" y="0"/>
                      <a:ext cx="114300" cy="142875"/>
                    </a:xfrm>
                    <a:prstGeom prst="rect">
                      <a:avLst/>
                    </a:prstGeom>
                    <a:noFill/>
                    <a:ln>
                      <a:noFill/>
                    </a:ln>
                  </pic:spPr>
                </pic:pic>
              </a:graphicData>
            </a:graphic>
          </wp:inline>
        </w:drawing>
      </w:r>
      <w:r>
        <w:rPr>
          <w:rFonts w:ascii="Times New Roman" w:hAnsi="Times New Roman" w:cs="Times New Roman"/>
          <w:caps w:val="0"/>
          <w:smallCaps w:val="0"/>
        </w:rPr>
        <w:t>分别为</w:t>
      </w:r>
      <w:r>
        <w:rPr>
          <w:rFonts w:ascii="Times New Roman" w:hAnsi="Times New Roman" w:cs="Times New Roman"/>
          <w:caps w:val="0"/>
          <w:smallCaps w:val="0"/>
          <w:position w:val="-10"/>
        </w:rPr>
        <w:drawing>
          <wp:inline distT="0" distB="0" distL="114300" distR="114300">
            <wp:extent cx="123825" cy="200025"/>
            <wp:effectExtent l="0" t="0" r="0" b="7620"/>
            <wp:docPr id="9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8"/>
                    <pic:cNvPicPr>
                      <a:picLocks noChangeAspect="1"/>
                    </pic:cNvPicPr>
                  </pic:nvPicPr>
                  <pic:blipFill>
                    <a:blip r:embed="rId73"/>
                    <a:stretch>
                      <a:fillRect/>
                    </a:stretch>
                  </pic:blipFill>
                  <pic:spPr>
                    <a:xfrm>
                      <a:off x="0" y="0"/>
                      <a:ext cx="123825" cy="2000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0"/>
        </w:rPr>
        <w:drawing>
          <wp:inline distT="0" distB="0" distL="114300" distR="114300">
            <wp:extent cx="142875" cy="161925"/>
            <wp:effectExtent l="0" t="0" r="0" b="7620"/>
            <wp:docPr id="9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9"/>
                    <pic:cNvPicPr>
                      <a:picLocks noChangeAspect="1"/>
                    </pic:cNvPicPr>
                  </pic:nvPicPr>
                  <pic:blipFill>
                    <a:blip r:embed="rId74"/>
                    <a:stretch>
                      <a:fillRect/>
                    </a:stretch>
                  </pic:blipFill>
                  <pic:spPr>
                    <a:xfrm>
                      <a:off x="0" y="0"/>
                      <a:ext cx="142875" cy="161925"/>
                    </a:xfrm>
                    <a:prstGeom prst="rect">
                      <a:avLst/>
                    </a:prstGeom>
                    <a:noFill/>
                    <a:ln>
                      <a:noFill/>
                    </a:ln>
                  </pic:spPr>
                </pic:pic>
              </a:graphicData>
            </a:graphic>
          </wp:inline>
        </w:drawing>
      </w:r>
      <w:r>
        <w:rPr>
          <w:rFonts w:ascii="Times New Roman" w:hAnsi="Times New Roman" w:cs="Times New Roman"/>
          <w:caps w:val="0"/>
          <w:smallCaps w:val="0"/>
        </w:rPr>
        <w:t>方向流速分量；</w:t>
      </w:r>
      <w:r>
        <w:rPr>
          <w:rFonts w:ascii="Times New Roman" w:hAnsi="Times New Roman" w:cs="Times New Roman"/>
          <w:caps w:val="0"/>
          <w:smallCaps w:val="0"/>
        </w:rPr>
        <w:drawing>
          <wp:inline distT="0" distB="0" distL="114300" distR="114300">
            <wp:extent cx="152400" cy="161925"/>
            <wp:effectExtent l="0" t="0" r="0" b="6350"/>
            <wp:docPr id="9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20"/>
                    <pic:cNvPicPr>
                      <a:picLocks noChangeAspect="1"/>
                    </pic:cNvPicPr>
                  </pic:nvPicPr>
                  <pic:blipFill>
                    <a:blip r:embed="rId75"/>
                    <a:stretch>
                      <a:fillRect/>
                    </a:stretch>
                  </pic:blipFill>
                  <pic:spPr>
                    <a:xfrm>
                      <a:off x="0" y="0"/>
                      <a:ext cx="152400" cy="161925"/>
                    </a:xfrm>
                    <a:prstGeom prst="rect">
                      <a:avLst/>
                    </a:prstGeom>
                    <a:noFill/>
                    <a:ln>
                      <a:noFill/>
                    </a:ln>
                  </pic:spPr>
                </pic:pic>
              </a:graphicData>
            </a:graphic>
          </wp:inline>
        </w:drawing>
      </w:r>
      <w:r>
        <w:rPr>
          <w:rFonts w:ascii="Times New Roman" w:hAnsi="Times New Roman" w:cs="Times New Roman"/>
          <w:caps w:val="0"/>
          <w:smallCaps w:val="0"/>
        </w:rPr>
        <w:t>为水位；</w:t>
      </w:r>
      <w:r>
        <w:rPr>
          <w:rFonts w:ascii="Times New Roman" w:hAnsi="Times New Roman" w:cs="Times New Roman"/>
          <w:caps w:val="0"/>
          <w:smallCaps w:val="0"/>
        </w:rPr>
        <w:drawing>
          <wp:inline distT="0" distB="0" distL="114300" distR="114300">
            <wp:extent cx="180975" cy="161925"/>
            <wp:effectExtent l="0" t="0" r="9525" b="6350"/>
            <wp:docPr id="8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21"/>
                    <pic:cNvPicPr>
                      <a:picLocks noChangeAspect="1"/>
                    </pic:cNvPicPr>
                  </pic:nvPicPr>
                  <pic:blipFill>
                    <a:blip r:embed="rId76"/>
                    <a:stretch>
                      <a:fillRect/>
                    </a:stretch>
                  </pic:blipFill>
                  <pic:spPr>
                    <a:xfrm>
                      <a:off x="0" y="0"/>
                      <a:ext cx="180975" cy="161925"/>
                    </a:xfrm>
                    <a:prstGeom prst="rect">
                      <a:avLst/>
                    </a:prstGeom>
                    <a:noFill/>
                    <a:ln>
                      <a:noFill/>
                    </a:ln>
                  </pic:spPr>
                </pic:pic>
              </a:graphicData>
            </a:graphic>
          </wp:inline>
        </w:drawing>
      </w:r>
      <w:r>
        <w:rPr>
          <w:rFonts w:ascii="Times New Roman" w:hAnsi="Times New Roman" w:cs="Times New Roman"/>
          <w:caps w:val="0"/>
          <w:smallCaps w:val="0"/>
        </w:rPr>
        <w:t>为水深；</w:t>
      </w:r>
      <w:r>
        <w:rPr>
          <w:rFonts w:ascii="Times New Roman" w:hAnsi="Times New Roman" w:cs="Times New Roman"/>
          <w:caps w:val="0"/>
          <w:smallCaps w:val="0"/>
          <w:position w:val="-6"/>
        </w:rPr>
        <w:drawing>
          <wp:inline distT="0" distB="0" distL="114300" distR="114300">
            <wp:extent cx="152400" cy="180975"/>
            <wp:effectExtent l="0" t="0" r="0" b="8890"/>
            <wp:docPr id="8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2"/>
                    <pic:cNvPicPr>
                      <a:picLocks noChangeAspect="1"/>
                    </pic:cNvPicPr>
                  </pic:nvPicPr>
                  <pic:blipFill>
                    <a:blip r:embed="rId77"/>
                    <a:stretch>
                      <a:fillRect/>
                    </a:stretch>
                  </pic:blipFill>
                  <pic:spPr>
                    <a:xfrm>
                      <a:off x="0" y="0"/>
                      <a:ext cx="152400" cy="180975"/>
                    </a:xfrm>
                    <a:prstGeom prst="rect">
                      <a:avLst/>
                    </a:prstGeom>
                    <a:noFill/>
                    <a:ln>
                      <a:noFill/>
                    </a:ln>
                  </pic:spPr>
                </pic:pic>
              </a:graphicData>
            </a:graphic>
          </wp:inline>
        </w:drawing>
      </w:r>
      <w:r>
        <w:rPr>
          <w:rFonts w:ascii="Times New Roman" w:hAnsi="Times New Roman" w:cs="Times New Roman"/>
          <w:caps w:val="0"/>
          <w:smallCaps w:val="0"/>
        </w:rPr>
        <w:t>为谢才系数；</w:t>
      </w:r>
    </w:p>
    <w:p>
      <w:pPr>
        <w:ind w:firstLine="480"/>
        <w:rPr>
          <w:rFonts w:ascii="Times New Roman" w:hAnsi="Times New Roman" w:cs="Times New Roman"/>
          <w:caps w:val="0"/>
          <w:smallCaps w:val="0"/>
        </w:rPr>
      </w:pPr>
      <w:r>
        <w:rPr>
          <w:rFonts w:ascii="Times New Roman" w:hAnsi="Times New Roman" w:cs="Times New Roman"/>
          <w:caps w:val="0"/>
          <w:smallCaps w:val="0"/>
        </w:rPr>
        <w:drawing>
          <wp:inline distT="0" distB="0" distL="114300" distR="114300">
            <wp:extent cx="257175" cy="238125"/>
            <wp:effectExtent l="0" t="0" r="0" b="6350"/>
            <wp:docPr id="8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23"/>
                    <pic:cNvPicPr>
                      <a:picLocks noChangeAspect="1"/>
                    </pic:cNvPicPr>
                  </pic:nvPicPr>
                  <pic:blipFill>
                    <a:blip r:embed="rId78"/>
                    <a:stretch>
                      <a:fillRect/>
                    </a:stretch>
                  </pic:blipFill>
                  <pic:spPr>
                    <a:xfrm>
                      <a:off x="0" y="0"/>
                      <a:ext cx="257175" cy="2381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257175" cy="238125"/>
            <wp:effectExtent l="0" t="0" r="9525" b="0"/>
            <wp:docPr id="8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4"/>
                    <pic:cNvPicPr>
                      <a:picLocks noChangeAspect="1"/>
                    </pic:cNvPicPr>
                  </pic:nvPicPr>
                  <pic:blipFill>
                    <a:blip r:embed="rId79"/>
                    <a:stretch>
                      <a:fillRect/>
                    </a:stretch>
                  </pic:blipFill>
                  <pic:spPr>
                    <a:xfrm>
                      <a:off x="0" y="0"/>
                      <a:ext cx="257175" cy="2381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257175" cy="238125"/>
            <wp:effectExtent l="0" t="0" r="0" b="6350"/>
            <wp:docPr id="8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25"/>
                    <pic:cNvPicPr>
                      <a:picLocks noChangeAspect="1"/>
                    </pic:cNvPicPr>
                  </pic:nvPicPr>
                  <pic:blipFill>
                    <a:blip r:embed="rId80"/>
                    <a:stretch>
                      <a:fillRect/>
                    </a:stretch>
                  </pic:blipFill>
                  <pic:spPr>
                    <a:xfrm>
                      <a:off x="0" y="0"/>
                      <a:ext cx="257175" cy="2381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257175" cy="238125"/>
            <wp:effectExtent l="0" t="0" r="8890" b="6350"/>
            <wp:docPr id="8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26"/>
                    <pic:cNvPicPr>
                      <a:picLocks noChangeAspect="1"/>
                    </pic:cNvPicPr>
                  </pic:nvPicPr>
                  <pic:blipFill>
                    <a:blip r:embed="rId81"/>
                    <a:stretch>
                      <a:fillRect/>
                    </a:stretch>
                  </pic:blipFill>
                  <pic:spPr>
                    <a:xfrm>
                      <a:off x="0" y="0"/>
                      <a:ext cx="257175" cy="238125"/>
                    </a:xfrm>
                    <a:prstGeom prst="rect">
                      <a:avLst/>
                    </a:prstGeom>
                    <a:noFill/>
                    <a:ln>
                      <a:noFill/>
                    </a:ln>
                  </pic:spPr>
                </pic:pic>
              </a:graphicData>
            </a:graphic>
          </wp:inline>
        </w:drawing>
      </w:r>
      <w:r>
        <w:rPr>
          <w:rFonts w:ascii="Times New Roman" w:hAnsi="Times New Roman" w:cs="Times New Roman"/>
          <w:caps w:val="0"/>
          <w:smallCaps w:val="0"/>
        </w:rPr>
        <w:t>为紊动切应力，可表示为：</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4"/>
        </w:rPr>
        <w:drawing>
          <wp:inline distT="0" distB="0" distL="114300" distR="114300">
            <wp:extent cx="1914525" cy="504825"/>
            <wp:effectExtent l="0" t="0" r="9525" b="8890"/>
            <wp:docPr id="8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27"/>
                    <pic:cNvPicPr>
                      <a:picLocks noChangeAspect="1"/>
                    </pic:cNvPicPr>
                  </pic:nvPicPr>
                  <pic:blipFill>
                    <a:blip r:embed="rId82"/>
                    <a:stretch>
                      <a:fillRect/>
                    </a:stretch>
                  </pic:blipFill>
                  <pic:spPr>
                    <a:xfrm>
                      <a:off x="0" y="0"/>
                      <a:ext cx="1914525" cy="50482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6</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4"/>
        </w:rPr>
        <w:drawing>
          <wp:inline distT="0" distB="0" distL="114300" distR="114300">
            <wp:extent cx="1943100" cy="504825"/>
            <wp:effectExtent l="0" t="0" r="0" b="8890"/>
            <wp:docPr id="8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28"/>
                    <pic:cNvPicPr>
                      <a:picLocks noChangeAspect="1"/>
                    </pic:cNvPicPr>
                  </pic:nvPicPr>
                  <pic:blipFill>
                    <a:blip r:embed="rId83"/>
                    <a:stretch>
                      <a:fillRect/>
                    </a:stretch>
                  </pic:blipFill>
                  <pic:spPr>
                    <a:xfrm>
                      <a:off x="0" y="0"/>
                      <a:ext cx="1943100" cy="50482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7</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6"/>
        </w:rPr>
        <w:drawing>
          <wp:inline distT="0" distB="0" distL="114300" distR="114300">
            <wp:extent cx="2705100" cy="533400"/>
            <wp:effectExtent l="0" t="0" r="0" b="0"/>
            <wp:docPr id="8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9"/>
                    <pic:cNvPicPr>
                      <a:picLocks noChangeAspect="1"/>
                    </pic:cNvPicPr>
                  </pic:nvPicPr>
                  <pic:blipFill>
                    <a:blip r:embed="rId84"/>
                    <a:stretch>
                      <a:fillRect/>
                    </a:stretch>
                  </pic:blipFill>
                  <pic:spPr>
                    <a:xfrm>
                      <a:off x="0" y="0"/>
                      <a:ext cx="2705100" cy="5334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8</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position w:val="-12"/>
        </w:rPr>
        <w:drawing>
          <wp:inline distT="0" distB="0" distL="114300" distR="114300">
            <wp:extent cx="142875" cy="228600"/>
            <wp:effectExtent l="0" t="0" r="9525" b="0"/>
            <wp:docPr id="8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0"/>
                    <pic:cNvPicPr>
                      <a:picLocks noChangeAspect="1"/>
                    </pic:cNvPicPr>
                  </pic:nvPicPr>
                  <pic:blipFill>
                    <a:blip r:embed="rId85"/>
                    <a:stretch>
                      <a:fillRect/>
                    </a:stretch>
                  </pic:blipFill>
                  <pic:spPr>
                    <a:xfrm>
                      <a:off x="0" y="0"/>
                      <a:ext cx="142875" cy="228600"/>
                    </a:xfrm>
                    <a:prstGeom prst="rect">
                      <a:avLst/>
                    </a:prstGeom>
                    <a:noFill/>
                    <a:ln>
                      <a:noFill/>
                    </a:ln>
                  </pic:spPr>
                </pic:pic>
              </a:graphicData>
            </a:graphic>
          </wp:inline>
        </w:drawing>
      </w:r>
      <w:r>
        <w:rPr>
          <w:rFonts w:ascii="Times New Roman" w:hAnsi="Times New Roman" w:cs="Times New Roman"/>
          <w:caps w:val="0"/>
          <w:smallCaps w:val="0"/>
        </w:rPr>
        <w:t>为紊动粘性系数，</w:t>
      </w:r>
      <w:r>
        <w:rPr>
          <w:rFonts w:ascii="Times New Roman" w:hAnsi="Times New Roman" w:cs="Times New Roman"/>
          <w:caps w:val="0"/>
          <w:smallCaps w:val="0"/>
          <w:position w:val="-24"/>
        </w:rPr>
        <w:drawing>
          <wp:inline distT="0" distB="0" distL="114300" distR="114300">
            <wp:extent cx="657225" cy="419100"/>
            <wp:effectExtent l="0" t="0" r="0" b="0"/>
            <wp:docPr id="7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1"/>
                    <pic:cNvPicPr>
                      <a:picLocks noChangeAspect="1"/>
                    </pic:cNvPicPr>
                  </pic:nvPicPr>
                  <pic:blipFill>
                    <a:blip r:embed="rId86"/>
                    <a:stretch>
                      <a:fillRect/>
                    </a:stretch>
                  </pic:blipFill>
                  <pic:spPr>
                    <a:xfrm>
                      <a:off x="0" y="0"/>
                      <a:ext cx="657225" cy="4191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6"/>
        </w:rPr>
        <w:drawing>
          <wp:inline distT="0" distB="0" distL="114300" distR="114300">
            <wp:extent cx="123825" cy="180975"/>
            <wp:effectExtent l="0" t="0" r="9525" b="8890"/>
            <wp:docPr id="7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2"/>
                    <pic:cNvPicPr>
                      <a:picLocks noChangeAspect="1"/>
                    </pic:cNvPicPr>
                  </pic:nvPicPr>
                  <pic:blipFill>
                    <a:blip r:embed="rId87"/>
                    <a:stretch>
                      <a:fillRect/>
                    </a:stretch>
                  </pic:blipFill>
                  <pic:spPr>
                    <a:xfrm>
                      <a:off x="0" y="0"/>
                      <a:ext cx="123825" cy="180975"/>
                    </a:xfrm>
                    <a:prstGeom prst="rect">
                      <a:avLst/>
                    </a:prstGeom>
                    <a:noFill/>
                    <a:ln>
                      <a:noFill/>
                    </a:ln>
                  </pic:spPr>
                </pic:pic>
              </a:graphicData>
            </a:graphic>
          </wp:inline>
        </w:drawing>
      </w:r>
      <w:r>
        <w:rPr>
          <w:rFonts w:ascii="Times New Roman" w:hAnsi="Times New Roman" w:cs="Times New Roman"/>
          <w:caps w:val="0"/>
          <w:smallCaps w:val="0"/>
        </w:rPr>
        <w:t>为紊动动能，</w:t>
      </w:r>
      <w:r>
        <w:rPr>
          <w:rFonts w:ascii="Times New Roman" w:hAnsi="Times New Roman" w:cs="Times New Roman"/>
          <w:caps w:val="0"/>
          <w:smallCaps w:val="0"/>
          <w:position w:val="-6"/>
        </w:rPr>
        <w:drawing>
          <wp:inline distT="0" distB="0" distL="114300" distR="114300">
            <wp:extent cx="123825" cy="142875"/>
            <wp:effectExtent l="0" t="0" r="9525" b="6985"/>
            <wp:docPr id="7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3"/>
                    <pic:cNvPicPr>
                      <a:picLocks noChangeAspect="1"/>
                    </pic:cNvPicPr>
                  </pic:nvPicPr>
                  <pic:blipFill>
                    <a:blip r:embed="rId88"/>
                    <a:stretch>
                      <a:fillRect/>
                    </a:stretch>
                  </pic:blipFill>
                  <pic:spPr>
                    <a:xfrm>
                      <a:off x="0" y="0"/>
                      <a:ext cx="123825" cy="142875"/>
                    </a:xfrm>
                    <a:prstGeom prst="rect">
                      <a:avLst/>
                    </a:prstGeom>
                    <a:noFill/>
                    <a:ln>
                      <a:noFill/>
                    </a:ln>
                  </pic:spPr>
                </pic:pic>
              </a:graphicData>
            </a:graphic>
          </wp:inline>
        </w:drawing>
      </w:r>
      <w:r>
        <w:rPr>
          <w:rFonts w:ascii="Times New Roman" w:hAnsi="Times New Roman" w:cs="Times New Roman"/>
          <w:caps w:val="0"/>
          <w:smallCaps w:val="0"/>
        </w:rPr>
        <w:t>为紊动动能耗散率，可应用</w:t>
      </w:r>
      <w:r>
        <w:rPr>
          <w:rFonts w:ascii="Times New Roman" w:hAnsi="Times New Roman" w:cs="Times New Roman"/>
          <w:caps w:val="0"/>
          <w:smallCaps w:val="0"/>
          <w:position w:val="-6"/>
        </w:rPr>
        <w:drawing>
          <wp:inline distT="0" distB="0" distL="114300" distR="114300">
            <wp:extent cx="342900" cy="180975"/>
            <wp:effectExtent l="0" t="0" r="0" b="8890"/>
            <wp:docPr id="7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4"/>
                    <pic:cNvPicPr>
                      <a:picLocks noChangeAspect="1"/>
                    </pic:cNvPicPr>
                  </pic:nvPicPr>
                  <pic:blipFill>
                    <a:blip r:embed="rId89"/>
                    <a:stretch>
                      <a:fillRect/>
                    </a:stretch>
                  </pic:blipFill>
                  <pic:spPr>
                    <a:xfrm>
                      <a:off x="0" y="0"/>
                      <a:ext cx="342900" cy="180975"/>
                    </a:xfrm>
                    <a:prstGeom prst="rect">
                      <a:avLst/>
                    </a:prstGeom>
                    <a:noFill/>
                    <a:ln>
                      <a:noFill/>
                    </a:ln>
                  </pic:spPr>
                </pic:pic>
              </a:graphicData>
            </a:graphic>
          </wp:inline>
        </w:drawing>
      </w:r>
      <w:r>
        <w:rPr>
          <w:rFonts w:ascii="Times New Roman" w:hAnsi="Times New Roman" w:cs="Times New Roman"/>
          <w:caps w:val="0"/>
          <w:smallCaps w:val="0"/>
        </w:rPr>
        <w:t>紊流模型计算确定；一般情况下，</w:t>
      </w:r>
      <w:r>
        <w:rPr>
          <w:rFonts w:ascii="Times New Roman" w:hAnsi="Times New Roman" w:cs="Times New Roman"/>
          <w:caps w:val="0"/>
          <w:smallCaps w:val="0"/>
          <w:position w:val="-12"/>
        </w:rPr>
        <w:drawing>
          <wp:inline distT="0" distB="0" distL="114300" distR="114300">
            <wp:extent cx="676275" cy="228600"/>
            <wp:effectExtent l="0" t="0" r="9525" b="0"/>
            <wp:docPr id="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5"/>
                    <pic:cNvPicPr>
                      <a:picLocks noChangeAspect="1"/>
                    </pic:cNvPicPr>
                  </pic:nvPicPr>
                  <pic:blipFill>
                    <a:blip r:embed="rId90"/>
                    <a:stretch>
                      <a:fillRect/>
                    </a:stretch>
                  </pic:blipFill>
                  <pic:spPr>
                    <a:xfrm>
                      <a:off x="0" y="0"/>
                      <a:ext cx="676275"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838200" cy="180975"/>
            <wp:effectExtent l="0" t="0" r="0" b="8890"/>
            <wp:docPr id="5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36"/>
                    <pic:cNvPicPr>
                      <a:picLocks noChangeAspect="1"/>
                    </pic:cNvPicPr>
                  </pic:nvPicPr>
                  <pic:blipFill>
                    <a:blip r:embed="rId91"/>
                    <a:stretch>
                      <a:fillRect/>
                    </a:stretch>
                  </pic:blipFill>
                  <pic:spPr>
                    <a:xfrm>
                      <a:off x="0" y="0"/>
                      <a:ext cx="838200" cy="18097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2"/>
        </w:rPr>
        <w:drawing>
          <wp:inline distT="0" distB="0" distL="114300" distR="114300">
            <wp:extent cx="152400" cy="228600"/>
            <wp:effectExtent l="0" t="0" r="0" b="0"/>
            <wp:docPr id="5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7"/>
                    <pic:cNvPicPr>
                      <a:picLocks noChangeAspect="1"/>
                    </pic:cNvPicPr>
                  </pic:nvPicPr>
                  <pic:blipFill>
                    <a:blip r:embed="rId92"/>
                    <a:stretch>
                      <a:fillRect/>
                    </a:stretch>
                  </pic:blipFill>
                  <pic:spPr>
                    <a:xfrm>
                      <a:off x="0" y="0"/>
                      <a:ext cx="152400" cy="228600"/>
                    </a:xfrm>
                    <a:prstGeom prst="rect">
                      <a:avLst/>
                    </a:prstGeom>
                    <a:noFill/>
                    <a:ln>
                      <a:noFill/>
                    </a:ln>
                  </pic:spPr>
                </pic:pic>
              </a:graphicData>
            </a:graphic>
          </wp:inline>
        </w:drawing>
      </w:r>
      <w:r>
        <w:rPr>
          <w:rFonts w:ascii="Times New Roman" w:hAnsi="Times New Roman" w:cs="Times New Roman"/>
          <w:caps w:val="0"/>
          <w:smallCaps w:val="0"/>
        </w:rPr>
        <w:t>为摩阻流速，或者取</w:t>
      </w:r>
      <w:r>
        <w:rPr>
          <w:rFonts w:ascii="Times New Roman" w:hAnsi="Times New Roman" w:cs="Times New Roman"/>
          <w:caps w:val="0"/>
          <w:smallCaps w:val="0"/>
          <w:position w:val="-12"/>
        </w:rPr>
        <w:drawing>
          <wp:inline distT="0" distB="0" distL="114300" distR="114300">
            <wp:extent cx="142875" cy="228600"/>
            <wp:effectExtent l="0" t="0" r="9525" b="0"/>
            <wp:docPr id="5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8"/>
                    <pic:cNvPicPr>
                      <a:picLocks noChangeAspect="1"/>
                    </pic:cNvPicPr>
                  </pic:nvPicPr>
                  <pic:blipFill>
                    <a:blip r:embed="rId93"/>
                    <a:stretch>
                      <a:fillRect/>
                    </a:stretch>
                  </pic:blipFill>
                  <pic:spPr>
                    <a:xfrm>
                      <a:off x="0" y="0"/>
                      <a:ext cx="142875" cy="228600"/>
                    </a:xfrm>
                    <a:prstGeom prst="rect">
                      <a:avLst/>
                    </a:prstGeom>
                    <a:noFill/>
                    <a:ln>
                      <a:noFill/>
                    </a:ln>
                  </pic:spPr>
                </pic:pic>
              </a:graphicData>
            </a:graphic>
          </wp:inline>
        </w:drawing>
      </w:r>
      <w:r>
        <w:rPr>
          <w:rFonts w:ascii="Times New Roman" w:hAnsi="Times New Roman" w:cs="Times New Roman"/>
          <w:caps w:val="0"/>
          <w:smallCaps w:val="0"/>
        </w:rPr>
        <w:t>为某一常数。</w:t>
      </w:r>
    </w:p>
    <w:p>
      <w:pPr>
        <w:adjustRightInd w:val="0"/>
        <w:snapToGrid w:val="0"/>
        <w:ind w:firstLine="482"/>
        <w:rPr>
          <w:rFonts w:ascii="Times New Roman" w:hAnsi="Times New Roman" w:cs="Times New Roman"/>
          <w:b/>
          <w:caps w:val="0"/>
          <w:smallCaps w:val="0"/>
        </w:rPr>
      </w:pPr>
      <w:bookmarkStart w:id="98" w:name="_Toc54792476"/>
      <w:bookmarkStart w:id="99" w:name="_Toc84949159"/>
      <w:r>
        <w:rPr>
          <w:rFonts w:ascii="Times New Roman" w:hAnsi="Times New Roman" w:cs="Times New Roman"/>
          <w:b/>
          <w:caps w:val="0"/>
          <w:smallCaps w:val="0"/>
        </w:rPr>
        <w:t>（2）基本方程的离散及求解</w:t>
      </w:r>
      <w:bookmarkEnd w:id="98"/>
      <w:bookmarkEnd w:id="99"/>
    </w:p>
    <w:p>
      <w:pPr>
        <w:ind w:firstLine="480"/>
        <w:rPr>
          <w:rFonts w:ascii="Times New Roman" w:hAnsi="Times New Roman" w:cs="Times New Roman"/>
          <w:caps w:val="0"/>
          <w:smallCaps w:val="0"/>
        </w:rPr>
      </w:pPr>
      <w:r>
        <w:rPr>
          <w:rFonts w:ascii="Times New Roman" w:hAnsi="Times New Roman" w:cs="Times New Roman"/>
          <w:caps w:val="0"/>
          <w:smallCaps w:val="0"/>
        </w:rPr>
        <w:t>区域转换方程(1)、(2)是一组椭圆型非线性方程组，可采用有限差分离散和TDMA技术求解。</w:t>
      </w:r>
    </w:p>
    <w:p>
      <w:pPr>
        <w:ind w:firstLine="480"/>
        <w:rPr>
          <w:rFonts w:ascii="Times New Roman" w:hAnsi="Times New Roman" w:cs="Times New Roman"/>
          <w:caps w:val="0"/>
          <w:smallCaps w:val="0"/>
        </w:rPr>
      </w:pPr>
      <w:r>
        <w:rPr>
          <w:rFonts w:ascii="Times New Roman" w:hAnsi="Times New Roman" w:cs="Times New Roman"/>
          <w:caps w:val="0"/>
          <w:smallCaps w:val="0"/>
        </w:rPr>
        <w:t>为数值求解平面二维水深平均水流运动方程组，必须将此方程组离散，由于控制体积法得到的离散方程具有良好的积分守恒性，为此本文采用控制体积法离散方程，并利用SIMPLER计算程式求解耦合方程，对于某一给定流量级，根据Partaker和Spalding提出的SIMPLER程式，反复迭代直到流场结果满足精度。</w:t>
      </w:r>
    </w:p>
    <w:p>
      <w:pPr>
        <w:ind w:firstLine="480"/>
        <w:rPr>
          <w:rFonts w:ascii="Times New Roman" w:hAnsi="Times New Roman" w:cs="Times New Roman"/>
          <w:caps w:val="0"/>
          <w:smallCaps w:val="0"/>
        </w:rPr>
      </w:pPr>
      <w:r>
        <w:rPr>
          <w:rFonts w:ascii="Times New Roman" w:hAnsi="Times New Roman" w:cs="Times New Roman"/>
          <w:caps w:val="0"/>
          <w:smallCaps w:val="0"/>
        </w:rPr>
        <w:t>1）通用方程的离散</w:t>
      </w:r>
    </w:p>
    <w:p>
      <w:pPr>
        <w:ind w:firstLine="480"/>
        <w:rPr>
          <w:rFonts w:ascii="Times New Roman" w:hAnsi="Times New Roman" w:cs="Times New Roman"/>
          <w:caps w:val="0"/>
          <w:smallCaps w:val="0"/>
        </w:rPr>
      </w:pPr>
      <w:r>
        <w:rPr>
          <w:rFonts w:ascii="Times New Roman" w:hAnsi="Times New Roman" w:cs="Times New Roman"/>
          <w:caps w:val="0"/>
          <w:smallCaps w:val="0"/>
        </w:rPr>
        <w:t>为便于应用同一种数值离散公式进行数值求解，应将水流运动方程组(3)、(4)、(5)写成统一的偏微分方程，以φ表示通用变量，Γ为扩散系数，S为源项，则非恒定状态的通用微分方程为</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position w:val="-32"/>
        </w:rPr>
        <w:drawing>
          <wp:inline distT="0" distB="0" distL="114300" distR="114300">
            <wp:extent cx="4867275" cy="504825"/>
            <wp:effectExtent l="0" t="0" r="9525" b="8255"/>
            <wp:docPr id="11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39"/>
                    <pic:cNvPicPr>
                      <a:picLocks noChangeAspect="1"/>
                    </pic:cNvPicPr>
                  </pic:nvPicPr>
                  <pic:blipFill>
                    <a:blip r:embed="rId94"/>
                    <a:stretch>
                      <a:fillRect/>
                    </a:stretch>
                  </pic:blipFill>
                  <pic:spPr>
                    <a:xfrm>
                      <a:off x="0" y="0"/>
                      <a:ext cx="4867275" cy="50482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9</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为易于求解及保证数值计算的收敛，应将源项负坡线性化，即</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923925" cy="228600"/>
            <wp:effectExtent l="0" t="0" r="0" b="0"/>
            <wp:docPr id="11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40"/>
                    <pic:cNvPicPr>
                      <a:picLocks noChangeAspect="1"/>
                    </pic:cNvPicPr>
                  </pic:nvPicPr>
                  <pic:blipFill>
                    <a:blip r:embed="rId95"/>
                    <a:stretch>
                      <a:fillRect/>
                    </a:stretch>
                  </pic:blipFill>
                  <pic:spPr>
                    <a:xfrm>
                      <a:off x="0" y="0"/>
                      <a:ext cx="923925"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10</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式中，</w:t>
      </w:r>
      <w:r>
        <w:rPr>
          <w:rFonts w:ascii="Times New Roman" w:hAnsi="Times New Roman" w:cs="Times New Roman"/>
          <w:caps w:val="0"/>
          <w:smallCaps w:val="0"/>
          <w:position w:val="-12"/>
        </w:rPr>
        <w:drawing>
          <wp:inline distT="0" distB="0" distL="114300" distR="114300">
            <wp:extent cx="200025" cy="228600"/>
            <wp:effectExtent l="0" t="0" r="9525" b="0"/>
            <wp:docPr id="11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41"/>
                    <pic:cNvPicPr>
                      <a:picLocks noChangeAspect="1"/>
                    </pic:cNvPicPr>
                  </pic:nvPicPr>
                  <pic:blipFill>
                    <a:blip r:embed="rId96"/>
                    <a:stretch>
                      <a:fillRect/>
                    </a:stretch>
                  </pic:blipFill>
                  <pic:spPr>
                    <a:xfrm>
                      <a:off x="0" y="0"/>
                      <a:ext cx="200025" cy="228600"/>
                    </a:xfrm>
                    <a:prstGeom prst="rect">
                      <a:avLst/>
                    </a:prstGeom>
                    <a:noFill/>
                    <a:ln>
                      <a:noFill/>
                    </a:ln>
                  </pic:spPr>
                </pic:pic>
              </a:graphicData>
            </a:graphic>
          </wp:inline>
        </w:drawing>
      </w:r>
      <w:r>
        <w:rPr>
          <w:rFonts w:ascii="Times New Roman" w:hAnsi="Times New Roman" w:cs="Times New Roman"/>
          <w:caps w:val="0"/>
          <w:smallCaps w:val="0"/>
        </w:rPr>
        <w:t>表示S的常数部分，而</w:t>
      </w:r>
      <w:r>
        <w:rPr>
          <w:rFonts w:ascii="Times New Roman" w:hAnsi="Times New Roman" w:cs="Times New Roman"/>
          <w:caps w:val="0"/>
          <w:smallCaps w:val="0"/>
          <w:position w:val="-10"/>
        </w:rPr>
        <w:drawing>
          <wp:inline distT="0" distB="0" distL="114300" distR="114300">
            <wp:extent cx="190500" cy="219075"/>
            <wp:effectExtent l="0" t="0" r="0" b="6350"/>
            <wp:docPr id="11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42"/>
                    <pic:cNvPicPr>
                      <a:picLocks noChangeAspect="1"/>
                    </pic:cNvPicPr>
                  </pic:nvPicPr>
                  <pic:blipFill>
                    <a:blip r:embed="rId97"/>
                    <a:stretch>
                      <a:fillRect/>
                    </a:stretch>
                  </pic:blipFill>
                  <pic:spPr>
                    <a:xfrm>
                      <a:off x="0" y="0"/>
                      <a:ext cx="190500" cy="219075"/>
                    </a:xfrm>
                    <a:prstGeom prst="rect">
                      <a:avLst/>
                    </a:prstGeom>
                    <a:noFill/>
                    <a:ln>
                      <a:noFill/>
                    </a:ln>
                  </pic:spPr>
                </pic:pic>
              </a:graphicData>
            </a:graphic>
          </wp:inline>
        </w:drawing>
      </w:r>
      <w:r>
        <w:rPr>
          <w:rFonts w:ascii="Times New Roman" w:hAnsi="Times New Roman" w:cs="Times New Roman"/>
          <w:caps w:val="0"/>
          <w:smallCaps w:val="0"/>
        </w:rPr>
        <w:t>为</w:t>
      </w:r>
      <w:r>
        <w:rPr>
          <w:rFonts w:ascii="Times New Roman" w:hAnsi="Times New Roman" w:cs="Times New Roman"/>
          <w:caps w:val="0"/>
          <w:smallCaps w:val="0"/>
          <w:position w:val="-10"/>
        </w:rPr>
        <w:drawing>
          <wp:inline distT="0" distB="0" distL="114300" distR="114300">
            <wp:extent cx="228600" cy="219075"/>
            <wp:effectExtent l="0" t="0" r="0" b="6985"/>
            <wp:docPr id="11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3"/>
                    <pic:cNvPicPr>
                      <a:picLocks noChangeAspect="1"/>
                    </pic:cNvPicPr>
                  </pic:nvPicPr>
                  <pic:blipFill>
                    <a:blip r:embed="rId98"/>
                    <a:stretch>
                      <a:fillRect/>
                    </a:stretch>
                  </pic:blipFill>
                  <pic:spPr>
                    <a:xfrm>
                      <a:off x="0" y="0"/>
                      <a:ext cx="228600" cy="219075"/>
                    </a:xfrm>
                    <a:prstGeom prst="rect">
                      <a:avLst/>
                    </a:prstGeom>
                    <a:noFill/>
                    <a:ln>
                      <a:noFill/>
                    </a:ln>
                  </pic:spPr>
                </pic:pic>
              </a:graphicData>
            </a:graphic>
          </wp:inline>
        </w:drawing>
      </w:r>
      <w:r>
        <w:rPr>
          <w:rFonts w:ascii="Times New Roman" w:hAnsi="Times New Roman" w:cs="Times New Roman"/>
          <w:caps w:val="0"/>
          <w:smallCaps w:val="0"/>
        </w:rPr>
        <w:t>的函数。</w:t>
      </w:r>
    </w:p>
    <w:p>
      <w:pPr>
        <w:ind w:firstLine="480"/>
        <w:rPr>
          <w:rFonts w:ascii="Times New Roman" w:hAnsi="Times New Roman" w:cs="Times New Roman"/>
          <w:caps w:val="0"/>
          <w:smallCaps w:val="0"/>
        </w:rPr>
      </w:pPr>
      <w:r>
        <w:rPr>
          <w:rFonts w:ascii="Times New Roman" w:hAnsi="Times New Roman" w:cs="Times New Roman"/>
          <w:caps w:val="0"/>
          <w:smallCaps w:val="0"/>
        </w:rPr>
        <w:t>根据控制体积法，将通用微分方程(9)在控制体积内积分，由对流扩散方程的特点，设节点之间物理量按幂函数规律变化，与对流及扩散强度有关，并利用方程(10)，可得方程式(9)的二维离散化方程如下：</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2638425" cy="228600"/>
            <wp:effectExtent l="0" t="0" r="9525" b="0"/>
            <wp:docPr id="11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44"/>
                    <pic:cNvPicPr>
                      <a:picLocks noChangeAspect="1"/>
                    </pic:cNvPicPr>
                  </pic:nvPicPr>
                  <pic:blipFill>
                    <a:blip r:embed="rId99"/>
                    <a:stretch>
                      <a:fillRect/>
                    </a:stretch>
                  </pic:blipFill>
                  <pic:spPr>
                    <a:xfrm>
                      <a:off x="0" y="0"/>
                      <a:ext cx="2638425"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11</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式中，</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4"/>
        </w:rPr>
        <w:drawing>
          <wp:inline distT="0" distB="0" distL="114300" distR="114300">
            <wp:extent cx="1838325" cy="257175"/>
            <wp:effectExtent l="0" t="0" r="9525" b="8255"/>
            <wp:docPr id="11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45"/>
                    <pic:cNvPicPr>
                      <a:picLocks noChangeAspect="1"/>
                    </pic:cNvPicPr>
                  </pic:nvPicPr>
                  <pic:blipFill>
                    <a:blip r:embed="rId100"/>
                    <a:stretch>
                      <a:fillRect/>
                    </a:stretch>
                  </pic:blipFill>
                  <pic:spPr>
                    <a:xfrm>
                      <a:off x="0" y="0"/>
                      <a:ext cx="1838325" cy="2571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12</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6"/>
        </w:rPr>
        <w:drawing>
          <wp:inline distT="0" distB="0" distL="114300" distR="114300">
            <wp:extent cx="2505075" cy="523875"/>
            <wp:effectExtent l="0" t="0" r="0" b="8890"/>
            <wp:docPr id="11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46"/>
                    <pic:cNvPicPr>
                      <a:picLocks noChangeAspect="1"/>
                    </pic:cNvPicPr>
                  </pic:nvPicPr>
                  <pic:blipFill>
                    <a:blip r:embed="rId101"/>
                    <a:stretch>
                      <a:fillRect/>
                    </a:stretch>
                  </pic:blipFill>
                  <pic:spPr>
                    <a:xfrm>
                      <a:off x="0" y="0"/>
                      <a:ext cx="2505075" cy="5238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13</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4"/>
        </w:rPr>
        <w:drawing>
          <wp:inline distT="0" distB="0" distL="114300" distR="114300">
            <wp:extent cx="1828800" cy="257175"/>
            <wp:effectExtent l="0" t="0" r="0" b="8255"/>
            <wp:docPr id="11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47"/>
                    <pic:cNvPicPr>
                      <a:picLocks noChangeAspect="1"/>
                    </pic:cNvPicPr>
                  </pic:nvPicPr>
                  <pic:blipFill>
                    <a:blip r:embed="rId102"/>
                    <a:stretch>
                      <a:fillRect/>
                    </a:stretch>
                  </pic:blipFill>
                  <pic:spPr>
                    <a:xfrm>
                      <a:off x="0" y="0"/>
                      <a:ext cx="1828800" cy="2571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14</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6"/>
        </w:rPr>
        <w:drawing>
          <wp:inline distT="0" distB="0" distL="114300" distR="114300">
            <wp:extent cx="2600325" cy="523875"/>
            <wp:effectExtent l="0" t="0" r="0" b="8890"/>
            <wp:docPr id="11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48"/>
                    <pic:cNvPicPr>
                      <a:picLocks noChangeAspect="1"/>
                    </pic:cNvPicPr>
                  </pic:nvPicPr>
                  <pic:blipFill>
                    <a:blip r:embed="rId103"/>
                    <a:stretch>
                      <a:fillRect/>
                    </a:stretch>
                  </pic:blipFill>
                  <pic:spPr>
                    <a:xfrm>
                      <a:off x="0" y="0"/>
                      <a:ext cx="2600325" cy="5238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15</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4"/>
        </w:rPr>
        <w:drawing>
          <wp:inline distT="0" distB="0" distL="114300" distR="114300">
            <wp:extent cx="1866900" cy="257175"/>
            <wp:effectExtent l="0" t="0" r="0" b="8255"/>
            <wp:docPr id="12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49"/>
                    <pic:cNvPicPr>
                      <a:picLocks noChangeAspect="1"/>
                    </pic:cNvPicPr>
                  </pic:nvPicPr>
                  <pic:blipFill>
                    <a:blip r:embed="rId104"/>
                    <a:stretch>
                      <a:fillRect/>
                    </a:stretch>
                  </pic:blipFill>
                  <pic:spPr>
                    <a:xfrm>
                      <a:off x="0" y="0"/>
                      <a:ext cx="1866900" cy="2571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16</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6"/>
        </w:rPr>
        <w:drawing>
          <wp:inline distT="0" distB="0" distL="114300" distR="114300">
            <wp:extent cx="2524125" cy="523875"/>
            <wp:effectExtent l="0" t="0" r="9525" b="8890"/>
            <wp:docPr id="12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0"/>
                    <pic:cNvPicPr>
                      <a:picLocks noChangeAspect="1"/>
                    </pic:cNvPicPr>
                  </pic:nvPicPr>
                  <pic:blipFill>
                    <a:blip r:embed="rId105"/>
                    <a:stretch>
                      <a:fillRect/>
                    </a:stretch>
                  </pic:blipFill>
                  <pic:spPr>
                    <a:xfrm>
                      <a:off x="0" y="0"/>
                      <a:ext cx="2524125" cy="5238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17</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4"/>
        </w:rPr>
        <w:drawing>
          <wp:inline distT="0" distB="0" distL="114300" distR="114300">
            <wp:extent cx="1743075" cy="257175"/>
            <wp:effectExtent l="0" t="0" r="9525" b="8255"/>
            <wp:docPr id="12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51"/>
                    <pic:cNvPicPr>
                      <a:picLocks noChangeAspect="1"/>
                    </pic:cNvPicPr>
                  </pic:nvPicPr>
                  <pic:blipFill>
                    <a:blip r:embed="rId106"/>
                    <a:stretch>
                      <a:fillRect/>
                    </a:stretch>
                  </pic:blipFill>
                  <pic:spPr>
                    <a:xfrm>
                      <a:off x="0" y="0"/>
                      <a:ext cx="1743075" cy="2571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18</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36"/>
        </w:rPr>
        <w:drawing>
          <wp:inline distT="0" distB="0" distL="114300" distR="114300">
            <wp:extent cx="2486025" cy="523875"/>
            <wp:effectExtent l="0" t="0" r="9525" b="8890"/>
            <wp:docPr id="12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52"/>
                    <pic:cNvPicPr>
                      <a:picLocks noChangeAspect="1"/>
                    </pic:cNvPicPr>
                  </pic:nvPicPr>
                  <pic:blipFill>
                    <a:blip r:embed="rId107"/>
                    <a:stretch>
                      <a:fillRect/>
                    </a:stretch>
                  </pic:blipFill>
                  <pic:spPr>
                    <a:xfrm>
                      <a:off x="0" y="0"/>
                      <a:ext cx="2486025" cy="5238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19</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24"/>
        </w:rPr>
        <w:drawing>
          <wp:inline distT="0" distB="0" distL="114300" distR="114300">
            <wp:extent cx="2600325" cy="428625"/>
            <wp:effectExtent l="0" t="0" r="9525" b="8890"/>
            <wp:docPr id="12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3"/>
                    <pic:cNvPicPr>
                      <a:picLocks noChangeAspect="1"/>
                    </pic:cNvPicPr>
                  </pic:nvPicPr>
                  <pic:blipFill>
                    <a:blip r:embed="rId108"/>
                    <a:stretch>
                      <a:fillRect/>
                    </a:stretch>
                  </pic:blipFill>
                  <pic:spPr>
                    <a:xfrm>
                      <a:off x="0" y="0"/>
                      <a:ext cx="2600325" cy="42862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20</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2047875" cy="228600"/>
            <wp:effectExtent l="0" t="0" r="9525" b="0"/>
            <wp:docPr id="12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54"/>
                    <pic:cNvPicPr>
                      <a:picLocks noChangeAspect="1"/>
                    </pic:cNvPicPr>
                  </pic:nvPicPr>
                  <pic:blipFill>
                    <a:blip r:embed="rId109"/>
                    <a:stretch>
                      <a:fillRect/>
                    </a:stretch>
                  </pic:blipFill>
                  <pic:spPr>
                    <a:xfrm>
                      <a:off x="0" y="0"/>
                      <a:ext cx="2047875"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21</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textAlignment w:val="bottom"/>
        <w:rPr>
          <w:rFonts w:ascii="Times New Roman" w:hAnsi="Times New Roman" w:cs="Times New Roman"/>
          <w:caps w:val="0"/>
          <w:smallCaps w:val="0"/>
        </w:rPr>
      </w:pPr>
      <w:r>
        <w:rPr>
          <w:rFonts w:ascii="Times New Roman" w:hAnsi="Times New Roman" w:cs="Times New Roman"/>
          <w:caps w:val="0"/>
          <w:smallCaps w:val="0"/>
          <w:position w:val="-10"/>
        </w:rPr>
        <w:drawing>
          <wp:inline distT="0" distB="0" distL="114300" distR="114300">
            <wp:extent cx="295275" cy="238125"/>
            <wp:effectExtent l="0" t="0" r="9525" b="825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pic:cNvPicPr>
                  </pic:nvPicPr>
                  <pic:blipFill>
                    <a:blip r:embed="rId110"/>
                    <a:stretch>
                      <a:fillRect/>
                    </a:stretch>
                  </pic:blipFill>
                  <pic:spPr>
                    <a:xfrm>
                      <a:off x="0" y="0"/>
                      <a:ext cx="295275" cy="238125"/>
                    </a:xfrm>
                    <a:prstGeom prst="rect">
                      <a:avLst/>
                    </a:prstGeom>
                    <a:noFill/>
                    <a:ln>
                      <a:noFill/>
                    </a:ln>
                  </pic:spPr>
                </pic:pic>
              </a:graphicData>
            </a:graphic>
          </wp:inline>
        </w:drawing>
      </w:r>
      <w:r>
        <w:rPr>
          <w:rFonts w:ascii="Times New Roman" w:hAnsi="Times New Roman" w:cs="Times New Roman"/>
          <w:caps w:val="0"/>
          <w:smallCaps w:val="0"/>
        </w:rPr>
        <w:t>和</w:t>
      </w:r>
      <w:r>
        <w:rPr>
          <w:rFonts w:ascii="Times New Roman" w:hAnsi="Times New Roman" w:cs="Times New Roman"/>
          <w:caps w:val="0"/>
          <w:smallCaps w:val="0"/>
          <w:position w:val="-10"/>
        </w:rPr>
        <w:drawing>
          <wp:inline distT="0" distB="0" distL="114300" distR="114300">
            <wp:extent cx="295275" cy="238125"/>
            <wp:effectExtent l="0" t="0" r="8890" b="8255"/>
            <wp:docPr id="12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56"/>
                    <pic:cNvPicPr>
                      <a:picLocks noChangeAspect="1"/>
                    </pic:cNvPicPr>
                  </pic:nvPicPr>
                  <pic:blipFill>
                    <a:blip r:embed="rId111"/>
                    <a:stretch>
                      <a:fillRect/>
                    </a:stretch>
                  </pic:blipFill>
                  <pic:spPr>
                    <a:xfrm>
                      <a:off x="0" y="0"/>
                      <a:ext cx="295275" cy="238125"/>
                    </a:xfrm>
                    <a:prstGeom prst="rect">
                      <a:avLst/>
                    </a:prstGeom>
                    <a:noFill/>
                    <a:ln>
                      <a:noFill/>
                    </a:ln>
                  </pic:spPr>
                </pic:pic>
              </a:graphicData>
            </a:graphic>
          </wp:inline>
        </w:drawing>
      </w:r>
      <w:r>
        <w:rPr>
          <w:rFonts w:ascii="Times New Roman" w:hAnsi="Times New Roman" w:cs="Times New Roman"/>
          <w:caps w:val="0"/>
          <w:smallCaps w:val="0"/>
        </w:rPr>
        <w:t>表示在时刻</w:t>
      </w:r>
      <w:r>
        <w:rPr>
          <w:rFonts w:ascii="Times New Roman" w:hAnsi="Times New Roman" w:cs="Times New Roman"/>
          <w:caps w:val="0"/>
          <w:smallCaps w:val="0"/>
        </w:rPr>
        <w:drawing>
          <wp:inline distT="0" distB="0" distL="114300" distR="114300">
            <wp:extent cx="85725" cy="152400"/>
            <wp:effectExtent l="0" t="0" r="9525" b="0"/>
            <wp:docPr id="12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57"/>
                    <pic:cNvPicPr>
                      <a:picLocks noChangeAspect="1"/>
                    </pic:cNvPicPr>
                  </pic:nvPicPr>
                  <pic:blipFill>
                    <a:blip r:embed="rId112"/>
                    <a:stretch>
                      <a:fillRect/>
                    </a:stretch>
                  </pic:blipFill>
                  <pic:spPr>
                    <a:xfrm>
                      <a:off x="0" y="0"/>
                      <a:ext cx="85725" cy="152400"/>
                    </a:xfrm>
                    <a:prstGeom prst="rect">
                      <a:avLst/>
                    </a:prstGeom>
                    <a:noFill/>
                    <a:ln>
                      <a:noFill/>
                    </a:ln>
                  </pic:spPr>
                </pic:pic>
              </a:graphicData>
            </a:graphic>
          </wp:inline>
        </w:drawing>
      </w:r>
      <w:r>
        <w:rPr>
          <w:rFonts w:ascii="Times New Roman" w:hAnsi="Times New Roman" w:cs="Times New Roman"/>
          <w:caps w:val="0"/>
          <w:smallCaps w:val="0"/>
        </w:rPr>
        <w:t>的已知值，而所有无上标的数值如</w:t>
      </w:r>
      <w:r>
        <w:rPr>
          <w:rFonts w:ascii="Times New Roman" w:hAnsi="Times New Roman" w:cs="Times New Roman"/>
          <w:caps w:val="0"/>
          <w:smallCaps w:val="0"/>
          <w:position w:val="-10"/>
        </w:rPr>
        <w:drawing>
          <wp:inline distT="0" distB="0" distL="114300" distR="114300">
            <wp:extent cx="238125" cy="219075"/>
            <wp:effectExtent l="0" t="0" r="0" b="6985"/>
            <wp:docPr id="12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58"/>
                    <pic:cNvPicPr>
                      <a:picLocks noChangeAspect="1"/>
                    </pic:cNvPicPr>
                  </pic:nvPicPr>
                  <pic:blipFill>
                    <a:blip r:embed="rId113"/>
                    <a:stretch>
                      <a:fillRect/>
                    </a:stretch>
                  </pic:blipFill>
                  <pic:spPr>
                    <a:xfrm>
                      <a:off x="0" y="0"/>
                      <a:ext cx="238125" cy="21907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0"/>
        </w:rPr>
        <w:drawing>
          <wp:inline distT="0" distB="0" distL="114300" distR="114300">
            <wp:extent cx="238125" cy="219075"/>
            <wp:effectExtent l="0" t="0" r="9525" b="6985"/>
            <wp:docPr id="13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59"/>
                    <pic:cNvPicPr>
                      <a:picLocks noChangeAspect="1"/>
                    </pic:cNvPicPr>
                  </pic:nvPicPr>
                  <pic:blipFill>
                    <a:blip r:embed="rId114"/>
                    <a:stretch>
                      <a:fillRect/>
                    </a:stretch>
                  </pic:blipFill>
                  <pic:spPr>
                    <a:xfrm>
                      <a:off x="0" y="0"/>
                      <a:ext cx="238125" cy="21907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2"/>
        </w:rPr>
        <w:drawing>
          <wp:inline distT="0" distB="0" distL="114300" distR="114300">
            <wp:extent cx="257175" cy="228600"/>
            <wp:effectExtent l="0" t="0" r="9525" b="0"/>
            <wp:docPr id="13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0"/>
                    <pic:cNvPicPr>
                      <a:picLocks noChangeAspect="1"/>
                    </pic:cNvPicPr>
                  </pic:nvPicPr>
                  <pic:blipFill>
                    <a:blip r:embed="rId115"/>
                    <a:stretch>
                      <a:fillRect/>
                    </a:stretch>
                  </pic:blipFill>
                  <pic:spPr>
                    <a:xfrm>
                      <a:off x="0" y="0"/>
                      <a:ext cx="257175"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2"/>
        </w:rPr>
        <w:drawing>
          <wp:inline distT="0" distB="0" distL="114300" distR="114300">
            <wp:extent cx="257175" cy="228600"/>
            <wp:effectExtent l="0" t="0" r="9525" b="0"/>
            <wp:docPr id="13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61"/>
                    <pic:cNvPicPr>
                      <a:picLocks noChangeAspect="1"/>
                    </pic:cNvPicPr>
                  </pic:nvPicPr>
                  <pic:blipFill>
                    <a:blip r:embed="rId116"/>
                    <a:stretch>
                      <a:fillRect/>
                    </a:stretch>
                  </pic:blipFill>
                  <pic:spPr>
                    <a:xfrm>
                      <a:off x="0" y="0"/>
                      <a:ext cx="257175"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2"/>
        </w:rPr>
        <w:drawing>
          <wp:inline distT="0" distB="0" distL="114300" distR="114300">
            <wp:extent cx="228600" cy="228600"/>
            <wp:effectExtent l="0" t="0" r="0" b="0"/>
            <wp:docPr id="13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62"/>
                    <pic:cNvPicPr>
                      <a:picLocks noChangeAspect="1"/>
                    </pic:cNvPicPr>
                  </pic:nvPicPr>
                  <pic:blipFill>
                    <a:blip r:embed="rId117"/>
                    <a:stretch>
                      <a:fillRect/>
                    </a:stretch>
                  </pic:blipFill>
                  <pic:spPr>
                    <a:xfrm>
                      <a:off x="0" y="0"/>
                      <a:ext cx="228600" cy="228600"/>
                    </a:xfrm>
                    <a:prstGeom prst="rect">
                      <a:avLst/>
                    </a:prstGeom>
                    <a:noFill/>
                    <a:ln>
                      <a:noFill/>
                    </a:ln>
                  </pic:spPr>
                </pic:pic>
              </a:graphicData>
            </a:graphic>
          </wp:inline>
        </w:drawing>
      </w:r>
      <w:r>
        <w:rPr>
          <w:rFonts w:ascii="Times New Roman" w:hAnsi="Times New Roman" w:cs="Times New Roman"/>
          <w:caps w:val="0"/>
          <w:smallCaps w:val="0"/>
        </w:rPr>
        <w:t>表示在时刻</w:t>
      </w:r>
      <w:r>
        <w:rPr>
          <w:rFonts w:ascii="Times New Roman" w:hAnsi="Times New Roman" w:cs="Times New Roman"/>
          <w:caps w:val="0"/>
          <w:smallCaps w:val="0"/>
        </w:rPr>
        <w:drawing>
          <wp:inline distT="0" distB="0" distL="114300" distR="114300">
            <wp:extent cx="381000" cy="180975"/>
            <wp:effectExtent l="0" t="0" r="0" b="7620"/>
            <wp:docPr id="13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63"/>
                    <pic:cNvPicPr>
                      <a:picLocks noChangeAspect="1"/>
                    </pic:cNvPicPr>
                  </pic:nvPicPr>
                  <pic:blipFill>
                    <a:blip r:embed="rId118"/>
                    <a:stretch>
                      <a:fillRect/>
                    </a:stretch>
                  </pic:blipFill>
                  <pic:spPr>
                    <a:xfrm>
                      <a:off x="0" y="0"/>
                      <a:ext cx="381000" cy="180975"/>
                    </a:xfrm>
                    <a:prstGeom prst="rect">
                      <a:avLst/>
                    </a:prstGeom>
                    <a:noFill/>
                    <a:ln>
                      <a:noFill/>
                    </a:ln>
                  </pic:spPr>
                </pic:pic>
              </a:graphicData>
            </a:graphic>
          </wp:inline>
        </w:drawing>
      </w:r>
      <w:r>
        <w:rPr>
          <w:rFonts w:ascii="Times New Roman" w:hAnsi="Times New Roman" w:cs="Times New Roman"/>
          <w:caps w:val="0"/>
          <w:smallCaps w:val="0"/>
        </w:rPr>
        <w:t>的未知值，</w:t>
      </w:r>
      <w:r>
        <w:rPr>
          <w:rFonts w:ascii="Times New Roman" w:hAnsi="Times New Roman" w:cs="Times New Roman"/>
          <w:caps w:val="0"/>
          <w:smallCaps w:val="0"/>
          <w:position w:val="-12"/>
        </w:rPr>
        <w:drawing>
          <wp:inline distT="0" distB="0" distL="114300" distR="114300">
            <wp:extent cx="161925" cy="228600"/>
            <wp:effectExtent l="0" t="0" r="8255" b="0"/>
            <wp:docPr id="13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64"/>
                    <pic:cNvPicPr>
                      <a:picLocks noChangeAspect="1"/>
                    </pic:cNvPicPr>
                  </pic:nvPicPr>
                  <pic:blipFill>
                    <a:blip r:embed="rId119"/>
                    <a:stretch>
                      <a:fillRect/>
                    </a:stretch>
                  </pic:blipFill>
                  <pic:spPr>
                    <a:xfrm>
                      <a:off x="0" y="0"/>
                      <a:ext cx="161925"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2"/>
        </w:rPr>
        <w:drawing>
          <wp:inline distT="0" distB="0" distL="114300" distR="114300">
            <wp:extent cx="180975" cy="228600"/>
            <wp:effectExtent l="0" t="0" r="9525" b="0"/>
            <wp:docPr id="13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65"/>
                    <pic:cNvPicPr>
                      <a:picLocks noChangeAspect="1"/>
                    </pic:cNvPicPr>
                  </pic:nvPicPr>
                  <pic:blipFill>
                    <a:blip r:embed="rId120"/>
                    <a:stretch>
                      <a:fillRect/>
                    </a:stretch>
                  </pic:blipFill>
                  <pic:spPr>
                    <a:xfrm>
                      <a:off x="0" y="0"/>
                      <a:ext cx="180975"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2"/>
        </w:rPr>
        <w:drawing>
          <wp:inline distT="0" distB="0" distL="114300" distR="114300">
            <wp:extent cx="161925" cy="228600"/>
            <wp:effectExtent l="0" t="0" r="8255" b="0"/>
            <wp:docPr id="13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66"/>
                    <pic:cNvPicPr>
                      <a:picLocks noChangeAspect="1"/>
                    </pic:cNvPicPr>
                  </pic:nvPicPr>
                  <pic:blipFill>
                    <a:blip r:embed="rId121"/>
                    <a:stretch>
                      <a:fillRect/>
                    </a:stretch>
                  </pic:blipFill>
                  <pic:spPr>
                    <a:xfrm>
                      <a:off x="0" y="0"/>
                      <a:ext cx="161925"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2"/>
        </w:rPr>
        <w:drawing>
          <wp:inline distT="0" distB="0" distL="114300" distR="114300">
            <wp:extent cx="161925" cy="228600"/>
            <wp:effectExtent l="0" t="0" r="8255" b="0"/>
            <wp:docPr id="13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67"/>
                    <pic:cNvPicPr>
                      <a:picLocks noChangeAspect="1"/>
                    </pic:cNvPicPr>
                  </pic:nvPicPr>
                  <pic:blipFill>
                    <a:blip r:embed="rId122"/>
                    <a:stretch>
                      <a:fillRect/>
                    </a:stretch>
                  </pic:blipFill>
                  <pic:spPr>
                    <a:xfrm>
                      <a:off x="0" y="0"/>
                      <a:ext cx="161925" cy="228600"/>
                    </a:xfrm>
                    <a:prstGeom prst="rect">
                      <a:avLst/>
                    </a:prstGeom>
                    <a:noFill/>
                    <a:ln>
                      <a:noFill/>
                    </a:ln>
                  </pic:spPr>
                </pic:pic>
              </a:graphicData>
            </a:graphic>
          </wp:inline>
        </w:drawing>
      </w:r>
      <w:r>
        <w:rPr>
          <w:rFonts w:ascii="Times New Roman" w:hAnsi="Times New Roman" w:cs="Times New Roman"/>
          <w:caps w:val="0"/>
          <w:smallCaps w:val="0"/>
        </w:rPr>
        <w:t>为派克里特数，取为</w:t>
      </w:r>
      <w:r>
        <w:rPr>
          <w:rFonts w:ascii="Times New Roman" w:hAnsi="Times New Roman" w:cs="Times New Roman"/>
          <w:caps w:val="0"/>
          <w:smallCaps w:val="0"/>
        </w:rPr>
        <w:drawing>
          <wp:inline distT="0" distB="0" distL="114300" distR="114300">
            <wp:extent cx="161925" cy="161925"/>
            <wp:effectExtent l="0" t="0" r="9525" b="6350"/>
            <wp:docPr id="13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68"/>
                    <pic:cNvPicPr>
                      <a:picLocks noChangeAspect="1"/>
                    </pic:cNvPicPr>
                  </pic:nvPicPr>
                  <pic:blipFill>
                    <a:blip r:embed="rId123"/>
                    <a:stretch>
                      <a:fillRect/>
                    </a:stretch>
                  </pic:blipFill>
                  <pic:spPr>
                    <a:xfrm>
                      <a:off x="0" y="0"/>
                      <a:ext cx="161925" cy="161925"/>
                    </a:xfrm>
                    <a:prstGeom prst="rect">
                      <a:avLst/>
                    </a:prstGeom>
                    <a:noFill/>
                    <a:ln>
                      <a:noFill/>
                    </a:ln>
                  </pic:spPr>
                </pic:pic>
              </a:graphicData>
            </a:graphic>
          </wp:inline>
        </w:drawing>
      </w:r>
      <w:r>
        <w:rPr>
          <w:rFonts w:ascii="Times New Roman" w:hAnsi="Times New Roman" w:cs="Times New Roman"/>
          <w:caps w:val="0"/>
          <w:smallCaps w:val="0"/>
        </w:rPr>
        <w:t>与</w:t>
      </w:r>
      <w:r>
        <w:rPr>
          <w:rFonts w:ascii="Times New Roman" w:hAnsi="Times New Roman" w:cs="Times New Roman"/>
          <w:caps w:val="0"/>
          <w:smallCaps w:val="0"/>
        </w:rPr>
        <w:drawing>
          <wp:inline distT="0" distB="0" distL="114300" distR="114300">
            <wp:extent cx="161925" cy="161925"/>
            <wp:effectExtent l="0" t="0" r="9525" b="6350"/>
            <wp:docPr id="14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9"/>
                    <pic:cNvPicPr>
                      <a:picLocks noChangeAspect="1"/>
                    </pic:cNvPicPr>
                  </pic:nvPicPr>
                  <pic:blipFill>
                    <a:blip r:embed="rId124"/>
                    <a:stretch>
                      <a:fillRect/>
                    </a:stretch>
                  </pic:blipFill>
                  <pic:spPr>
                    <a:xfrm>
                      <a:off x="0" y="0"/>
                      <a:ext cx="161925" cy="161925"/>
                    </a:xfrm>
                    <a:prstGeom prst="rect">
                      <a:avLst/>
                    </a:prstGeom>
                    <a:noFill/>
                    <a:ln>
                      <a:noFill/>
                    </a:ln>
                  </pic:spPr>
                </pic:pic>
              </a:graphicData>
            </a:graphic>
          </wp:inline>
        </w:drawing>
      </w:r>
      <w:r>
        <w:rPr>
          <w:rFonts w:ascii="Times New Roman" w:hAnsi="Times New Roman" w:cs="Times New Roman"/>
          <w:caps w:val="0"/>
          <w:smallCaps w:val="0"/>
        </w:rPr>
        <w:t>之比，例如</w:t>
      </w:r>
      <w:r>
        <w:rPr>
          <w:rFonts w:ascii="Times New Roman" w:hAnsi="Times New Roman" w:cs="Times New Roman"/>
          <w:caps w:val="0"/>
          <w:smallCaps w:val="0"/>
          <w:position w:val="-12"/>
        </w:rPr>
        <w:drawing>
          <wp:inline distT="0" distB="0" distL="114300" distR="114300">
            <wp:extent cx="723900" cy="228600"/>
            <wp:effectExtent l="0" t="0" r="0" b="0"/>
            <wp:docPr id="141"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70"/>
                    <pic:cNvPicPr>
                      <a:picLocks noChangeAspect="1"/>
                    </pic:cNvPicPr>
                  </pic:nvPicPr>
                  <pic:blipFill>
                    <a:blip r:embed="rId125"/>
                    <a:stretch>
                      <a:fillRect/>
                    </a:stretch>
                  </pic:blipFill>
                  <pic:spPr>
                    <a:xfrm>
                      <a:off x="0" y="0"/>
                      <a:ext cx="723900" cy="228600"/>
                    </a:xfrm>
                    <a:prstGeom prst="rect">
                      <a:avLst/>
                    </a:prstGeom>
                    <a:noFill/>
                    <a:ln>
                      <a:noFill/>
                    </a:ln>
                  </pic:spPr>
                </pic:pic>
              </a:graphicData>
            </a:graphic>
          </wp:inline>
        </w:drawing>
      </w:r>
      <w:r>
        <w:rPr>
          <w:rFonts w:ascii="Times New Roman" w:hAnsi="Times New Roman" w:cs="Times New Roman"/>
          <w:caps w:val="0"/>
          <w:smallCaps w:val="0"/>
        </w:rPr>
        <w:t>，其余可依次类推，而</w:t>
      </w:r>
      <w:r>
        <w:rPr>
          <w:rFonts w:ascii="Times New Roman" w:hAnsi="Times New Roman" w:cs="Times New Roman"/>
          <w:caps w:val="0"/>
          <w:smallCaps w:val="0"/>
          <w:position w:val="-14"/>
        </w:rPr>
        <w:drawing>
          <wp:inline distT="0" distB="0" distL="114300" distR="114300">
            <wp:extent cx="523875" cy="257175"/>
            <wp:effectExtent l="0" t="0" r="8890" b="8255"/>
            <wp:docPr id="14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71"/>
                    <pic:cNvPicPr>
                      <a:picLocks noChangeAspect="1"/>
                    </pic:cNvPicPr>
                  </pic:nvPicPr>
                  <pic:blipFill>
                    <a:blip r:embed="rId126"/>
                    <a:stretch>
                      <a:fillRect/>
                    </a:stretch>
                  </pic:blipFill>
                  <pic:spPr>
                    <a:xfrm>
                      <a:off x="0" y="0"/>
                      <a:ext cx="523875" cy="257175"/>
                    </a:xfrm>
                    <a:prstGeom prst="rect">
                      <a:avLst/>
                    </a:prstGeom>
                    <a:noFill/>
                    <a:ln>
                      <a:noFill/>
                    </a:ln>
                  </pic:spPr>
                </pic:pic>
              </a:graphicData>
            </a:graphic>
          </wp:inline>
        </w:drawing>
      </w:r>
      <w:r>
        <w:rPr>
          <w:rFonts w:ascii="Times New Roman" w:hAnsi="Times New Roman" w:cs="Times New Roman"/>
          <w:caps w:val="0"/>
          <w:smallCaps w:val="0"/>
        </w:rPr>
        <w:t>取如下幂函数公式</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20"/>
        </w:rPr>
        <w:drawing>
          <wp:inline distT="0" distB="0" distL="114300" distR="114300">
            <wp:extent cx="2085975" cy="333375"/>
            <wp:effectExtent l="0" t="0" r="9525" b="0"/>
            <wp:docPr id="14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2"/>
                    <pic:cNvPicPr>
                      <a:picLocks noChangeAspect="1"/>
                    </pic:cNvPicPr>
                  </pic:nvPicPr>
                  <pic:blipFill>
                    <a:blip r:embed="rId127"/>
                    <a:stretch>
                      <a:fillRect/>
                    </a:stretch>
                  </pic:blipFill>
                  <pic:spPr>
                    <a:xfrm>
                      <a:off x="0" y="0"/>
                      <a:ext cx="2085975" cy="3333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22</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position w:val="-10"/>
        </w:rPr>
        <w:drawing>
          <wp:inline distT="0" distB="0" distL="114300" distR="114300">
            <wp:extent cx="733425" cy="219075"/>
            <wp:effectExtent l="0" t="0" r="9525" b="9525"/>
            <wp:docPr id="14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73"/>
                    <pic:cNvPicPr>
                      <a:picLocks noChangeAspect="1"/>
                    </pic:cNvPicPr>
                  </pic:nvPicPr>
                  <pic:blipFill>
                    <a:blip r:embed="rId128"/>
                    <a:stretch>
                      <a:fillRect/>
                    </a:stretch>
                  </pic:blipFill>
                  <pic:spPr>
                    <a:xfrm>
                      <a:off x="0" y="0"/>
                      <a:ext cx="733425" cy="219075"/>
                    </a:xfrm>
                    <a:prstGeom prst="rect">
                      <a:avLst/>
                    </a:prstGeom>
                    <a:noFill/>
                    <a:ln>
                      <a:noFill/>
                    </a:ln>
                  </pic:spPr>
                </pic:pic>
              </a:graphicData>
            </a:graphic>
          </wp:inline>
        </w:drawing>
      </w:r>
      <w:r>
        <w:rPr>
          <w:rFonts w:ascii="Times New Roman" w:hAnsi="Times New Roman" w:cs="Times New Roman"/>
          <w:caps w:val="0"/>
          <w:smallCaps w:val="0"/>
        </w:rPr>
        <w:t>表示</w:t>
      </w:r>
      <w:r>
        <w:rPr>
          <w:rFonts w:ascii="Times New Roman" w:hAnsi="Times New Roman" w:cs="Times New Roman"/>
          <w:caps w:val="0"/>
          <w:smallCaps w:val="0"/>
        </w:rPr>
        <w:drawing>
          <wp:inline distT="0" distB="0" distL="114300" distR="114300">
            <wp:extent cx="152400" cy="161925"/>
            <wp:effectExtent l="0" t="0" r="0" b="6350"/>
            <wp:docPr id="145"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74"/>
                    <pic:cNvPicPr>
                      <a:picLocks noChangeAspect="1"/>
                    </pic:cNvPicPr>
                  </pic:nvPicPr>
                  <pic:blipFill>
                    <a:blip r:embed="rId129"/>
                    <a:stretch>
                      <a:fillRect/>
                    </a:stretch>
                  </pic:blipFill>
                  <pic:spPr>
                    <a:xfrm>
                      <a:off x="0" y="0"/>
                      <a:ext cx="152400" cy="1619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152400" cy="161925"/>
            <wp:effectExtent l="0" t="0" r="0" b="6350"/>
            <wp:docPr id="14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75"/>
                    <pic:cNvPicPr>
                      <a:picLocks noChangeAspect="1"/>
                    </pic:cNvPicPr>
                  </pic:nvPicPr>
                  <pic:blipFill>
                    <a:blip r:embed="rId130"/>
                    <a:stretch>
                      <a:fillRect/>
                    </a:stretch>
                  </pic:blipFill>
                  <pic:spPr>
                    <a:xfrm>
                      <a:off x="0" y="0"/>
                      <a:ext cx="152400" cy="161925"/>
                    </a:xfrm>
                    <a:prstGeom prst="rect">
                      <a:avLst/>
                    </a:prstGeom>
                    <a:noFill/>
                    <a:ln>
                      <a:noFill/>
                    </a:ln>
                  </pic:spPr>
                </pic:pic>
              </a:graphicData>
            </a:graphic>
          </wp:inline>
        </w:drawing>
      </w:r>
      <w:r>
        <w:rPr>
          <w:rFonts w:ascii="Times New Roman" w:hAnsi="Times New Roman" w:cs="Times New Roman"/>
          <w:caps w:val="0"/>
          <w:smallCaps w:val="0"/>
        </w:rPr>
        <w:t>中较大者。</w:t>
      </w:r>
    </w:p>
    <w:p>
      <w:pPr>
        <w:ind w:firstLine="480"/>
        <w:rPr>
          <w:rFonts w:ascii="Times New Roman" w:hAnsi="Times New Roman" w:cs="Times New Roman"/>
          <w:caps w:val="0"/>
          <w:smallCaps w:val="0"/>
        </w:rPr>
      </w:pPr>
      <w:r>
        <w:rPr>
          <w:rFonts w:ascii="Times New Roman" w:hAnsi="Times New Roman" w:cs="Times New Roman"/>
          <w:caps w:val="0"/>
          <w:smallCaps w:val="0"/>
        </w:rPr>
        <w:t>2）动量方程的离散化</w:t>
      </w:r>
    </w:p>
    <w:p>
      <w:pPr>
        <w:ind w:firstLine="480"/>
        <w:rPr>
          <w:rFonts w:ascii="Times New Roman" w:hAnsi="Times New Roman" w:cs="Times New Roman"/>
          <w:caps w:val="0"/>
          <w:smallCaps w:val="0"/>
        </w:rPr>
      </w:pPr>
      <w:r>
        <w:rPr>
          <w:rFonts w:ascii="Times New Roman" w:hAnsi="Times New Roman" w:cs="Times New Roman"/>
          <w:caps w:val="0"/>
          <w:smallCaps w:val="0"/>
        </w:rPr>
        <w:t>由于动量方程中包含有未知的流速u、v及水面梯度项</w:t>
      </w:r>
      <w:r>
        <w:rPr>
          <w:rFonts w:ascii="Times New Roman" w:hAnsi="Times New Roman" w:cs="Times New Roman"/>
          <w:caps w:val="0"/>
          <w:smallCaps w:val="0"/>
          <w:position w:val="-10"/>
        </w:rPr>
        <w:drawing>
          <wp:inline distT="0" distB="0" distL="114300" distR="114300">
            <wp:extent cx="714375" cy="209550"/>
            <wp:effectExtent l="0" t="0" r="0" b="0"/>
            <wp:docPr id="14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6"/>
                    <pic:cNvPicPr>
                      <a:picLocks noChangeAspect="1"/>
                    </pic:cNvPicPr>
                  </pic:nvPicPr>
                  <pic:blipFill>
                    <a:blip r:embed="rId131"/>
                    <a:stretch>
                      <a:fillRect/>
                    </a:stretch>
                  </pic:blipFill>
                  <pic:spPr>
                    <a:xfrm>
                      <a:off x="0" y="0"/>
                      <a:ext cx="714375" cy="20955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0"/>
        </w:rPr>
        <w:drawing>
          <wp:inline distT="0" distB="0" distL="114300" distR="114300">
            <wp:extent cx="733425" cy="209550"/>
            <wp:effectExtent l="0" t="0" r="9525" b="0"/>
            <wp:docPr id="148"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7"/>
                    <pic:cNvPicPr>
                      <a:picLocks noChangeAspect="1"/>
                    </pic:cNvPicPr>
                  </pic:nvPicPr>
                  <pic:blipFill>
                    <a:blip r:embed="rId132"/>
                    <a:stretch>
                      <a:fillRect/>
                    </a:stretch>
                  </pic:blipFill>
                  <pic:spPr>
                    <a:xfrm>
                      <a:off x="0" y="0"/>
                      <a:ext cx="733425" cy="209550"/>
                    </a:xfrm>
                    <a:prstGeom prst="rect">
                      <a:avLst/>
                    </a:prstGeom>
                    <a:noFill/>
                    <a:ln>
                      <a:noFill/>
                    </a:ln>
                  </pic:spPr>
                </pic:pic>
              </a:graphicData>
            </a:graphic>
          </wp:inline>
        </w:drawing>
      </w:r>
      <w:r>
        <w:rPr>
          <w:rFonts w:ascii="Times New Roman" w:hAnsi="Times New Roman" w:cs="Times New Roman"/>
          <w:caps w:val="0"/>
          <w:smallCaps w:val="0"/>
        </w:rPr>
        <w:t>，因此必须特殊考虑动量方程的离散。</w:t>
      </w:r>
    </w:p>
    <w:p>
      <w:pPr>
        <w:ind w:firstLine="480"/>
        <w:rPr>
          <w:rFonts w:ascii="Times New Roman" w:hAnsi="Times New Roman" w:cs="Times New Roman"/>
          <w:caps w:val="0"/>
          <w:smallCaps w:val="0"/>
        </w:rPr>
      </w:pPr>
      <w:r>
        <w:rPr>
          <w:rFonts w:ascii="Times New Roman" w:hAnsi="Times New Roman" w:cs="Times New Roman"/>
          <w:caps w:val="0"/>
          <w:smallCaps w:val="0"/>
        </w:rPr>
        <w:t>为了避免产生波状速度场，采用交错网格体系，即将流速计算点与其他计算点如水位、水深等错开半个网格，见插图1。</w:t>
      </w:r>
    </w:p>
    <w:p>
      <w:pPr>
        <w:adjustRightInd w:val="0"/>
        <w:snapToGrid w:val="0"/>
        <w:ind w:right="480" w:firstLine="480"/>
        <w:rPr>
          <w:rFonts w:ascii="Times New Roman" w:hAnsi="Times New Roman" w:cs="Times New Roman"/>
          <w:caps w:val="0"/>
          <w:smallCaps w:val="0"/>
        </w:rPr>
      </w:pPr>
      <w:r>
        <w:rPr>
          <w:rFonts w:ascii="Times New Roman" w:hAnsi="Times New Roman" w:cs="Times New Roman"/>
          <w:caps w:val="0"/>
          <w:smallCaps w:val="0"/>
        </w:rPr>
        <w:t>根据插图，可写出 方向及 方向的动量离散方程为：</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2028825" cy="228600"/>
            <wp:effectExtent l="0" t="0" r="9525" b="0"/>
            <wp:docPr id="14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78"/>
                    <pic:cNvPicPr>
                      <a:picLocks noChangeAspect="1"/>
                    </pic:cNvPicPr>
                  </pic:nvPicPr>
                  <pic:blipFill>
                    <a:blip r:embed="rId133"/>
                    <a:stretch>
                      <a:fillRect/>
                    </a:stretch>
                  </pic:blipFill>
                  <pic:spPr>
                    <a:xfrm>
                      <a:off x="0" y="0"/>
                      <a:ext cx="2028825"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23</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mc:AlternateContent>
          <mc:Choice Requires="wpg">
            <w:drawing>
              <wp:anchor distT="0" distB="0" distL="114300" distR="114300" simplePos="0" relativeHeight="251683840" behindDoc="0" locked="0" layoutInCell="1" allowOverlap="1">
                <wp:simplePos x="0" y="0"/>
                <wp:positionH relativeFrom="column">
                  <wp:posOffset>739775</wp:posOffset>
                </wp:positionH>
                <wp:positionV relativeFrom="paragraph">
                  <wp:posOffset>387985</wp:posOffset>
                </wp:positionV>
                <wp:extent cx="4285615" cy="2080260"/>
                <wp:effectExtent l="0" t="0" r="635" b="15240"/>
                <wp:wrapNone/>
                <wp:docPr id="150" name="组合 150"/>
                <wp:cNvGraphicFramePr/>
                <a:graphic xmlns:a="http://schemas.openxmlformats.org/drawingml/2006/main">
                  <a:graphicData uri="http://schemas.microsoft.com/office/word/2010/wordprocessingGroup">
                    <wpg:wgp>
                      <wpg:cNvGrpSpPr/>
                      <wpg:grpSpPr>
                        <a:xfrm>
                          <a:off x="0" y="0"/>
                          <a:ext cx="4285615" cy="2080260"/>
                          <a:chOff x="2402" y="3320"/>
                          <a:chExt cx="6749" cy="3276"/>
                        </a:xfrm>
                      </wpg:grpSpPr>
                      <pic:pic xmlns:pic="http://schemas.openxmlformats.org/drawingml/2006/picture">
                        <pic:nvPicPr>
                          <pic:cNvPr id="151" name="Picture 36"/>
                          <pic:cNvPicPr>
                            <a:picLocks noChangeAspect="1"/>
                          </pic:cNvPicPr>
                        </pic:nvPicPr>
                        <pic:blipFill>
                          <a:blip r:embed="rId134"/>
                          <a:stretch>
                            <a:fillRect/>
                          </a:stretch>
                        </pic:blipFill>
                        <pic:spPr>
                          <a:xfrm>
                            <a:off x="6076" y="3320"/>
                            <a:ext cx="3075" cy="3180"/>
                          </a:xfrm>
                          <a:prstGeom prst="rect">
                            <a:avLst/>
                          </a:prstGeom>
                          <a:noFill/>
                          <a:ln>
                            <a:noFill/>
                          </a:ln>
                        </pic:spPr>
                      </pic:pic>
                      <pic:pic xmlns:pic="http://schemas.openxmlformats.org/drawingml/2006/picture">
                        <pic:nvPicPr>
                          <pic:cNvPr id="152" name="Picture 37"/>
                          <pic:cNvPicPr>
                            <a:picLocks noChangeAspect="1"/>
                          </pic:cNvPicPr>
                        </pic:nvPicPr>
                        <pic:blipFill>
                          <a:blip r:embed="rId135"/>
                          <a:stretch>
                            <a:fillRect/>
                          </a:stretch>
                        </pic:blipFill>
                        <pic:spPr>
                          <a:xfrm>
                            <a:off x="2402" y="3446"/>
                            <a:ext cx="3015" cy="3150"/>
                          </a:xfrm>
                          <a:prstGeom prst="rect">
                            <a:avLst/>
                          </a:prstGeom>
                          <a:noFill/>
                          <a:ln>
                            <a:noFill/>
                          </a:ln>
                        </pic:spPr>
                      </pic:pic>
                    </wpg:wgp>
                  </a:graphicData>
                </a:graphic>
              </wp:anchor>
            </w:drawing>
          </mc:Choice>
          <mc:Fallback>
            <w:pict>
              <v:group id="_x0000_s1026" o:spid="_x0000_s1026" o:spt="203" style="position:absolute;left:0pt;margin-left:58.25pt;margin-top:30.55pt;height:163.8pt;width:337.45pt;z-index:251683840;mso-width-relative:page;mso-height-relative:page;" coordorigin="2402,3320" coordsize="6749,3276" o:gfxdata="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">
                <o:lock v:ext="edit" aspectratio="f"/>
                <v:shape id="Picture 36" o:spid="_x0000_s1026" o:spt="75" type="#_x0000_t75" style="position:absolute;left:6076;top:3320;height:3180;width:3075;" filled="f" o:preferrelative="t" stroked="f" coordsize="21600,21600" o:gfxdata="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P7TbLsAAADc&#10;AAAADwAAAAAAAAABACAAAAAiAAAAZHJzL2Rvd25yZXYueG1sUEsBAhQAFAAAAAgAh07iQDMvBZ47&#10;AAAAOQAAABAAAAAAAAAAAQAgAAAACgEAAGRycy9zaGFwZXhtbC54bWxQSwUGAAAAAAYABgBbAQAA&#10;tAMAAAAA&#10;">
                  <v:fill on="f" focussize="0,0"/>
                  <v:stroke on="f"/>
                  <v:imagedata r:id="rId134" o:title=""/>
                  <o:lock v:ext="edit" aspectratio="t"/>
                </v:shape>
                <v:shape id="Picture 37" o:spid="_x0000_s1026" o:spt="75" type="#_x0000_t75" style="position:absolute;left:2402;top:3446;height:3150;width:3015;" filled="f" o:preferrelative="t" stroked="f" coordsize="21600,21600" o:gfxdata="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8maYW8AAAA&#10;3AAAAA8AAAAAAAAAAQAgAAAAIgAAAGRycy9kb3ducmV2LnhtbFBLAQIUABQAAAAIAIdO4kAzLwWe&#10;OwAAADkAAAAQAAAAAAAAAAEAIAAAAAsBAABkcnMvc2hhcGV4bWwueG1sUEsFBgAAAAAGAAYAWwEA&#10;ALUDAAAAAA==&#10;">
                  <v:fill on="f" focussize="0,0"/>
                  <v:stroke on="f"/>
                  <v:imagedata r:id="rId135" o:title=""/>
                  <o:lock v:ext="edit" aspectratio="t"/>
                </v:shape>
              </v:group>
            </w:pict>
          </mc:Fallback>
        </mc:AlternateContent>
      </w: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2047875" cy="228600"/>
            <wp:effectExtent l="0" t="0" r="9525" b="0"/>
            <wp:docPr id="15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79"/>
                    <pic:cNvPicPr>
                      <a:picLocks noChangeAspect="1"/>
                    </pic:cNvPicPr>
                  </pic:nvPicPr>
                  <pic:blipFill>
                    <a:blip r:embed="rId136"/>
                    <a:stretch>
                      <a:fillRect/>
                    </a:stretch>
                  </pic:blipFill>
                  <pic:spPr>
                    <a:xfrm>
                      <a:off x="0" y="0"/>
                      <a:ext cx="2047875"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24</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p>
    <w:p>
      <w:pPr>
        <w:tabs>
          <w:tab w:val="center" w:pos="4540"/>
          <w:tab w:val="right" w:pos="9080"/>
        </w:tabs>
        <w:ind w:firstLine="480"/>
        <w:rPr>
          <w:rFonts w:ascii="Times New Roman" w:hAnsi="Times New Roman" w:cs="Times New Roman"/>
          <w:caps w:val="0"/>
          <w:smallCaps w:val="0"/>
        </w:rPr>
      </w:pPr>
    </w:p>
    <w:p>
      <w:pPr>
        <w:tabs>
          <w:tab w:val="center" w:pos="4540"/>
          <w:tab w:val="right" w:pos="9080"/>
        </w:tabs>
        <w:ind w:firstLine="480"/>
        <w:rPr>
          <w:rFonts w:ascii="Times New Roman" w:hAnsi="Times New Roman" w:cs="Times New Roman"/>
          <w:caps w:val="0"/>
          <w:smallCaps w:val="0"/>
        </w:rPr>
      </w:pPr>
    </w:p>
    <w:p>
      <w:pPr>
        <w:tabs>
          <w:tab w:val="center" w:pos="4540"/>
          <w:tab w:val="right" w:pos="9080"/>
        </w:tabs>
        <w:ind w:firstLine="480"/>
        <w:rPr>
          <w:rFonts w:ascii="Times New Roman" w:hAnsi="Times New Roman" w:cs="Times New Roman"/>
          <w:caps w:val="0"/>
          <w:smallCaps w:val="0"/>
        </w:rPr>
      </w:pPr>
    </w:p>
    <w:p>
      <w:pPr>
        <w:tabs>
          <w:tab w:val="center" w:pos="4540"/>
          <w:tab w:val="right" w:pos="9080"/>
        </w:tabs>
        <w:ind w:firstLine="480"/>
        <w:rPr>
          <w:rFonts w:ascii="Times New Roman" w:hAnsi="Times New Roman" w:cs="Times New Roman"/>
          <w:caps w:val="0"/>
          <w:smallCaps w:val="0"/>
        </w:rPr>
      </w:pPr>
    </w:p>
    <w:p>
      <w:pPr>
        <w:tabs>
          <w:tab w:val="center" w:pos="4540"/>
          <w:tab w:val="right" w:pos="9080"/>
        </w:tabs>
        <w:ind w:firstLine="480"/>
        <w:rPr>
          <w:rFonts w:ascii="Times New Roman" w:hAnsi="Times New Roman" w:cs="Times New Roman"/>
          <w:caps w:val="0"/>
          <w:smallCaps w:val="0"/>
        </w:rPr>
      </w:pPr>
    </w:p>
    <w:p>
      <w:pPr>
        <w:tabs>
          <w:tab w:val="center" w:pos="4540"/>
          <w:tab w:val="right" w:pos="9080"/>
        </w:tabs>
        <w:ind w:firstLine="480"/>
        <w:rPr>
          <w:rFonts w:ascii="Times New Roman" w:hAnsi="Times New Roman" w:cs="Times New Roman"/>
          <w:caps w:val="0"/>
          <w:smallCaps w:val="0"/>
        </w:rPr>
      </w:pPr>
    </w:p>
    <w:p>
      <w:pPr>
        <w:tabs>
          <w:tab w:val="center" w:pos="4540"/>
          <w:tab w:val="right" w:pos="9080"/>
        </w:tabs>
        <w:ind w:firstLine="480"/>
        <w:rPr>
          <w:rFonts w:ascii="Times New Roman" w:hAnsi="Times New Roman" w:cs="Times New Roman"/>
          <w:caps w:val="0"/>
          <w:smallCaps w:val="0"/>
        </w:rPr>
      </w:pPr>
    </w:p>
    <w:p>
      <w:pPr>
        <w:ind w:firstLine="480"/>
        <w:jc w:val="center"/>
        <w:rPr>
          <w:rFonts w:ascii="Times New Roman" w:hAnsi="Times New Roman" w:cs="Times New Roman"/>
          <w:caps w:val="0"/>
          <w:smallCaps w:val="0"/>
          <w:szCs w:val="20"/>
        </w:rPr>
      </w:pPr>
      <w:r>
        <w:rPr>
          <w:rFonts w:ascii="Times New Roman" w:hAnsi="Times New Roman" w:cs="Times New Roman"/>
          <w:caps w:val="0"/>
          <w:smallCaps w:val="0"/>
          <w:szCs w:val="20"/>
        </w:rPr>
        <w:t>插图1 二维水流计算的控制体积</w:t>
      </w:r>
    </w:p>
    <w:p>
      <w:pPr>
        <w:ind w:firstLine="480"/>
        <w:textAlignment w:val="bottom"/>
        <w:rPr>
          <w:rFonts w:ascii="Times New Roman" w:hAnsi="Times New Roman" w:cs="Times New Roman"/>
          <w:caps w:val="0"/>
          <w:smallCaps w:val="0"/>
        </w:rPr>
      </w:pPr>
      <w:r>
        <w:rPr>
          <w:rFonts w:ascii="Times New Roman" w:hAnsi="Times New Roman" w:cs="Times New Roman"/>
          <w:caps w:val="0"/>
          <w:smallCaps w:val="0"/>
        </w:rPr>
        <w:t>其中，</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8"/>
        </w:rPr>
        <w:drawing>
          <wp:inline distT="0" distB="0" distL="114300" distR="114300">
            <wp:extent cx="2295525" cy="295275"/>
            <wp:effectExtent l="0" t="0" r="0" b="7620"/>
            <wp:docPr id="15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80"/>
                    <pic:cNvPicPr>
                      <a:picLocks noChangeAspect="1"/>
                    </pic:cNvPicPr>
                  </pic:nvPicPr>
                  <pic:blipFill>
                    <a:blip r:embed="rId137"/>
                    <a:stretch>
                      <a:fillRect/>
                    </a:stretch>
                  </pic:blipFill>
                  <pic:spPr>
                    <a:xfrm>
                      <a:off x="0" y="0"/>
                      <a:ext cx="2295525" cy="2952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25</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textAlignment w:val="bottom"/>
        <w:rPr>
          <w:rFonts w:ascii="Times New Roman" w:hAnsi="Times New Roman" w:cs="Times New Roman"/>
          <w:caps w:val="0"/>
          <w:smallCaps w:val="0"/>
        </w:rPr>
      </w:pPr>
      <w:r>
        <w:rPr>
          <w:rFonts w:ascii="Times New Roman" w:hAnsi="Times New Roman" w:cs="Times New Roman"/>
          <w:caps w:val="0"/>
          <w:smallCaps w:val="0"/>
        </w:rPr>
        <w:t>将方程(23)、(24)改写成如下形式：</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1333500" cy="228600"/>
            <wp:effectExtent l="0" t="0" r="0" b="0"/>
            <wp:docPr id="155"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81"/>
                    <pic:cNvPicPr>
                      <a:picLocks noChangeAspect="1"/>
                    </pic:cNvPicPr>
                  </pic:nvPicPr>
                  <pic:blipFill>
                    <a:blip r:embed="rId138"/>
                    <a:stretch>
                      <a:fillRect/>
                    </a:stretch>
                  </pic:blipFill>
                  <pic:spPr>
                    <a:xfrm>
                      <a:off x="0" y="0"/>
                      <a:ext cx="1333500"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26</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1343025" cy="228600"/>
            <wp:effectExtent l="0" t="0" r="9525" b="0"/>
            <wp:docPr id="15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82"/>
                    <pic:cNvPicPr>
                      <a:picLocks noChangeAspect="1"/>
                    </pic:cNvPicPr>
                  </pic:nvPicPr>
                  <pic:blipFill>
                    <a:blip r:embed="rId139"/>
                    <a:stretch>
                      <a:fillRect/>
                    </a:stretch>
                  </pic:blipFill>
                  <pic:spPr>
                    <a:xfrm>
                      <a:off x="0" y="0"/>
                      <a:ext cx="1343025"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27</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式中，</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2752725" cy="228600"/>
            <wp:effectExtent l="0" t="0" r="9525" b="0"/>
            <wp:docPr id="15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83"/>
                    <pic:cNvPicPr>
                      <a:picLocks noChangeAspect="1"/>
                    </pic:cNvPicPr>
                  </pic:nvPicPr>
                  <pic:blipFill>
                    <a:blip r:embed="rId140"/>
                    <a:stretch>
                      <a:fillRect/>
                    </a:stretch>
                  </pic:blipFill>
                  <pic:spPr>
                    <a:xfrm>
                      <a:off x="0" y="0"/>
                      <a:ext cx="2752725"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28</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1514475" cy="228600"/>
            <wp:effectExtent l="0" t="0" r="9525" b="0"/>
            <wp:docPr id="15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84"/>
                    <pic:cNvPicPr>
                      <a:picLocks noChangeAspect="1"/>
                    </pic:cNvPicPr>
                  </pic:nvPicPr>
                  <pic:blipFill>
                    <a:blip r:embed="rId141"/>
                    <a:stretch>
                      <a:fillRect/>
                    </a:stretch>
                  </pic:blipFill>
                  <pic:spPr>
                    <a:xfrm>
                      <a:off x="0" y="0"/>
                      <a:ext cx="1514475"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29</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以</w:t>
      </w:r>
      <w:r>
        <w:rPr>
          <w:rFonts w:ascii="Times New Roman" w:hAnsi="Times New Roman" w:cs="Times New Roman"/>
          <w:caps w:val="0"/>
          <w:smallCaps w:val="0"/>
          <w:position w:val="-6"/>
        </w:rPr>
        <w:drawing>
          <wp:inline distT="0" distB="0" distL="114300" distR="114300">
            <wp:extent cx="180975" cy="200025"/>
            <wp:effectExtent l="0" t="0" r="9525" b="6985"/>
            <wp:docPr id="15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5"/>
                    <pic:cNvPicPr>
                      <a:picLocks noChangeAspect="1"/>
                    </pic:cNvPicPr>
                  </pic:nvPicPr>
                  <pic:blipFill>
                    <a:blip r:embed="rId142"/>
                    <a:stretch>
                      <a:fillRect/>
                    </a:stretch>
                  </pic:blipFill>
                  <pic:spPr>
                    <a:xfrm>
                      <a:off x="0" y="0"/>
                      <a:ext cx="180975" cy="20002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6"/>
        </w:rPr>
        <w:drawing>
          <wp:inline distT="0" distB="0" distL="114300" distR="114300">
            <wp:extent cx="161925" cy="200025"/>
            <wp:effectExtent l="0" t="0" r="9525" b="6985"/>
            <wp:docPr id="160"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86"/>
                    <pic:cNvPicPr>
                      <a:picLocks noChangeAspect="1"/>
                    </pic:cNvPicPr>
                  </pic:nvPicPr>
                  <pic:blipFill>
                    <a:blip r:embed="rId143"/>
                    <a:stretch>
                      <a:fillRect/>
                    </a:stretch>
                  </pic:blipFill>
                  <pic:spPr>
                    <a:xfrm>
                      <a:off x="0" y="0"/>
                      <a:ext cx="161925" cy="200025"/>
                    </a:xfrm>
                    <a:prstGeom prst="rect">
                      <a:avLst/>
                    </a:prstGeom>
                    <a:noFill/>
                    <a:ln>
                      <a:noFill/>
                    </a:ln>
                  </pic:spPr>
                </pic:pic>
              </a:graphicData>
            </a:graphic>
          </wp:inline>
        </w:drawing>
      </w:r>
      <w:r>
        <w:rPr>
          <w:rFonts w:ascii="Times New Roman" w:hAnsi="Times New Roman" w:cs="Times New Roman"/>
          <w:caps w:val="0"/>
          <w:smallCaps w:val="0"/>
        </w:rPr>
        <w:t>表示一个以估计的水位场</w:t>
      </w:r>
      <w:r>
        <w:rPr>
          <w:rFonts w:ascii="Times New Roman" w:hAnsi="Times New Roman" w:cs="Times New Roman"/>
          <w:caps w:val="0"/>
          <w:smallCaps w:val="0"/>
          <w:position w:val="-4"/>
        </w:rPr>
        <w:drawing>
          <wp:inline distT="0" distB="0" distL="114300" distR="114300">
            <wp:extent cx="180975" cy="190500"/>
            <wp:effectExtent l="0" t="0" r="9525" b="0"/>
            <wp:docPr id="161"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87"/>
                    <pic:cNvPicPr>
                      <a:picLocks noChangeAspect="1"/>
                    </pic:cNvPicPr>
                  </pic:nvPicPr>
                  <pic:blipFill>
                    <a:blip r:embed="rId144"/>
                    <a:stretch>
                      <a:fillRect/>
                    </a:stretch>
                  </pic:blipFill>
                  <pic:spPr>
                    <a:xfrm>
                      <a:off x="0" y="0"/>
                      <a:ext cx="180975" cy="190500"/>
                    </a:xfrm>
                    <a:prstGeom prst="rect">
                      <a:avLst/>
                    </a:prstGeom>
                    <a:noFill/>
                    <a:ln>
                      <a:noFill/>
                    </a:ln>
                  </pic:spPr>
                </pic:pic>
              </a:graphicData>
            </a:graphic>
          </wp:inline>
        </w:drawing>
      </w:r>
      <w:r>
        <w:rPr>
          <w:rFonts w:ascii="Times New Roman" w:hAnsi="Times New Roman" w:cs="Times New Roman"/>
          <w:caps w:val="0"/>
          <w:smallCaps w:val="0"/>
        </w:rPr>
        <w:t>为基础的不完善的速度场，这种带星号的速度场将由下列离散化方程的解求得：</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2019300" cy="238125"/>
            <wp:effectExtent l="0" t="0" r="0" b="8255"/>
            <wp:docPr id="162"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88"/>
                    <pic:cNvPicPr>
                      <a:picLocks noChangeAspect="1"/>
                    </pic:cNvPicPr>
                  </pic:nvPicPr>
                  <pic:blipFill>
                    <a:blip r:embed="rId145"/>
                    <a:stretch>
                      <a:fillRect/>
                    </a:stretch>
                  </pic:blipFill>
                  <pic:spPr>
                    <a:xfrm>
                      <a:off x="0" y="0"/>
                      <a:ext cx="2019300" cy="23812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30</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2028825" cy="238125"/>
            <wp:effectExtent l="0" t="0" r="9525" b="8255"/>
            <wp:docPr id="163"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89"/>
                    <pic:cNvPicPr>
                      <a:picLocks noChangeAspect="1"/>
                    </pic:cNvPicPr>
                  </pic:nvPicPr>
                  <pic:blipFill>
                    <a:blip r:embed="rId146"/>
                    <a:stretch>
                      <a:fillRect/>
                    </a:stretch>
                  </pic:blipFill>
                  <pic:spPr>
                    <a:xfrm>
                      <a:off x="0" y="0"/>
                      <a:ext cx="2028825" cy="23812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31</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为了使算得的带星号的速度场逐渐接近满足连续性方程，必须改进水位估计值使之接近正确值，假设正确的水位值Z由下式得到：</w:t>
      </w:r>
    </w:p>
    <w:p>
      <w:pPr>
        <w:ind w:firstLine="480"/>
        <w:rPr>
          <w:rFonts w:ascii="Times New Roman" w:hAnsi="Times New Roman" w:cs="Times New Roman"/>
          <w:caps w:val="0"/>
          <w:smallCaps w:val="0"/>
        </w:rPr>
      </w:pP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4"/>
        </w:rPr>
        <w:drawing>
          <wp:inline distT="0" distB="0" distL="114300" distR="114300">
            <wp:extent cx="771525" cy="257175"/>
            <wp:effectExtent l="0" t="0" r="0" b="0"/>
            <wp:docPr id="16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90"/>
                    <pic:cNvPicPr>
                      <a:picLocks noChangeAspect="1"/>
                    </pic:cNvPicPr>
                  </pic:nvPicPr>
                  <pic:blipFill>
                    <a:blip r:embed="rId147"/>
                    <a:stretch>
                      <a:fillRect/>
                    </a:stretch>
                  </pic:blipFill>
                  <pic:spPr>
                    <a:xfrm>
                      <a:off x="0" y="0"/>
                      <a:ext cx="771525" cy="2571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32</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其中Z＇称为水位校正值。</w:t>
      </w:r>
    </w:p>
    <w:p>
      <w:pPr>
        <w:ind w:firstLine="480"/>
        <w:rPr>
          <w:rFonts w:ascii="Times New Roman" w:hAnsi="Times New Roman" w:cs="Times New Roman"/>
          <w:caps w:val="0"/>
          <w:smallCaps w:val="0"/>
        </w:rPr>
      </w:pPr>
      <w:r>
        <w:rPr>
          <w:rFonts w:ascii="Times New Roman" w:hAnsi="Times New Roman" w:cs="Times New Roman"/>
          <w:caps w:val="0"/>
          <w:smallCaps w:val="0"/>
        </w:rPr>
        <w:t>相应地，速度分量校正可近似写成</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1333500" cy="238125"/>
            <wp:effectExtent l="0" t="0" r="0" b="8255"/>
            <wp:docPr id="16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91"/>
                    <pic:cNvPicPr>
                      <a:picLocks noChangeAspect="1"/>
                    </pic:cNvPicPr>
                  </pic:nvPicPr>
                  <pic:blipFill>
                    <a:blip r:embed="rId148"/>
                    <a:stretch>
                      <a:fillRect/>
                    </a:stretch>
                  </pic:blipFill>
                  <pic:spPr>
                    <a:xfrm>
                      <a:off x="0" y="0"/>
                      <a:ext cx="1333500" cy="23812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33</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1333500" cy="238125"/>
            <wp:effectExtent l="0" t="0" r="0" b="8255"/>
            <wp:docPr id="166"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92"/>
                    <pic:cNvPicPr>
                      <a:picLocks noChangeAspect="1"/>
                    </pic:cNvPicPr>
                  </pic:nvPicPr>
                  <pic:blipFill>
                    <a:blip r:embed="rId149"/>
                    <a:stretch>
                      <a:fillRect/>
                    </a:stretch>
                  </pic:blipFill>
                  <pic:spPr>
                    <a:xfrm>
                      <a:off x="0" y="0"/>
                      <a:ext cx="1333500" cy="23812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34</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至此，问题的关键是水位和水位修正的求解，对此应将连续方程转化为水位方程和水位校正方程。</w:t>
      </w:r>
    </w:p>
    <w:p>
      <w:pPr>
        <w:ind w:firstLine="480"/>
        <w:rPr>
          <w:rFonts w:ascii="Times New Roman" w:hAnsi="Times New Roman" w:cs="Times New Roman"/>
          <w:caps w:val="0"/>
          <w:smallCaps w:val="0"/>
        </w:rPr>
      </w:pPr>
      <w:r>
        <w:rPr>
          <w:rFonts w:ascii="Times New Roman" w:hAnsi="Times New Roman" w:cs="Times New Roman"/>
          <w:caps w:val="0"/>
          <w:smallCaps w:val="0"/>
        </w:rPr>
        <w:t>对连续方程离散，可得水位方程为</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2514600" cy="228600"/>
            <wp:effectExtent l="0" t="0" r="0" b="0"/>
            <wp:docPr id="16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93"/>
                    <pic:cNvPicPr>
                      <a:picLocks noChangeAspect="1"/>
                    </pic:cNvPicPr>
                  </pic:nvPicPr>
                  <pic:blipFill>
                    <a:blip r:embed="rId150"/>
                    <a:stretch>
                      <a:fillRect/>
                    </a:stretch>
                  </pic:blipFill>
                  <pic:spPr>
                    <a:xfrm>
                      <a:off x="0" y="0"/>
                      <a:ext cx="2514600"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35</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式中，</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4"/>
        </w:rPr>
        <w:drawing>
          <wp:inline distT="0" distB="0" distL="114300" distR="114300">
            <wp:extent cx="2705100" cy="257175"/>
            <wp:effectExtent l="0" t="0" r="0" b="0"/>
            <wp:docPr id="16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94"/>
                    <pic:cNvPicPr>
                      <a:picLocks noChangeAspect="1"/>
                    </pic:cNvPicPr>
                  </pic:nvPicPr>
                  <pic:blipFill>
                    <a:blip r:embed="rId151"/>
                    <a:stretch>
                      <a:fillRect/>
                    </a:stretch>
                  </pic:blipFill>
                  <pic:spPr>
                    <a:xfrm>
                      <a:off x="0" y="0"/>
                      <a:ext cx="2705100" cy="2571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36</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4"/>
        </w:rPr>
        <w:drawing>
          <wp:inline distT="0" distB="0" distL="114300" distR="114300">
            <wp:extent cx="2657475" cy="257175"/>
            <wp:effectExtent l="0" t="0" r="9525" b="8255"/>
            <wp:docPr id="16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95"/>
                    <pic:cNvPicPr>
                      <a:picLocks noChangeAspect="1"/>
                    </pic:cNvPicPr>
                  </pic:nvPicPr>
                  <pic:blipFill>
                    <a:blip r:embed="rId152"/>
                    <a:stretch>
                      <a:fillRect/>
                    </a:stretch>
                  </pic:blipFill>
                  <pic:spPr>
                    <a:xfrm>
                      <a:off x="0" y="0"/>
                      <a:ext cx="2657475" cy="2571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37</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24"/>
        </w:rPr>
        <w:drawing>
          <wp:inline distT="0" distB="0" distL="114300" distR="114300">
            <wp:extent cx="2771775" cy="419100"/>
            <wp:effectExtent l="0" t="0" r="9525" b="0"/>
            <wp:docPr id="17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96"/>
                    <pic:cNvPicPr>
                      <a:picLocks noChangeAspect="1"/>
                    </pic:cNvPicPr>
                  </pic:nvPicPr>
                  <pic:blipFill>
                    <a:blip r:embed="rId153"/>
                    <a:stretch>
                      <a:fillRect/>
                    </a:stretch>
                  </pic:blipFill>
                  <pic:spPr>
                    <a:xfrm>
                      <a:off x="0" y="0"/>
                      <a:ext cx="2771775" cy="4191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38</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8"/>
        </w:rPr>
        <w:drawing>
          <wp:inline distT="0" distB="0" distL="114300" distR="114300">
            <wp:extent cx="4276725" cy="295275"/>
            <wp:effectExtent l="0" t="0" r="9525" b="7620"/>
            <wp:docPr id="17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97"/>
                    <pic:cNvPicPr>
                      <a:picLocks noChangeAspect="1"/>
                    </pic:cNvPicPr>
                  </pic:nvPicPr>
                  <pic:blipFill>
                    <a:blip r:embed="rId154"/>
                    <a:stretch>
                      <a:fillRect/>
                    </a:stretch>
                  </pic:blipFill>
                  <pic:spPr>
                    <a:xfrm>
                      <a:off x="0" y="0"/>
                      <a:ext cx="4276725" cy="29527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39</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对于水位校正，可导出类似方程</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12"/>
        </w:rPr>
        <w:drawing>
          <wp:inline distT="0" distB="0" distL="114300" distR="114300">
            <wp:extent cx="2447925" cy="228600"/>
            <wp:effectExtent l="0" t="0" r="0" b="0"/>
            <wp:docPr id="172"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98"/>
                    <pic:cNvPicPr>
                      <a:picLocks noChangeAspect="1"/>
                    </pic:cNvPicPr>
                  </pic:nvPicPr>
                  <pic:blipFill>
                    <a:blip r:embed="rId155"/>
                    <a:stretch>
                      <a:fillRect/>
                    </a:stretch>
                  </pic:blipFill>
                  <pic:spPr>
                    <a:xfrm>
                      <a:off x="0" y="0"/>
                      <a:ext cx="2447925" cy="228600"/>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40</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式中，</w:t>
      </w:r>
      <w:r>
        <w:rPr>
          <w:rFonts w:ascii="Times New Roman" w:hAnsi="Times New Roman" w:cs="Times New Roman"/>
          <w:caps w:val="0"/>
          <w:smallCaps w:val="0"/>
        </w:rPr>
        <w:drawing>
          <wp:inline distT="0" distB="0" distL="114300" distR="114300">
            <wp:extent cx="190500" cy="219075"/>
            <wp:effectExtent l="0" t="0" r="0" b="5715"/>
            <wp:docPr id="17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99"/>
                    <pic:cNvPicPr>
                      <a:picLocks noChangeAspect="1"/>
                    </pic:cNvPicPr>
                  </pic:nvPicPr>
                  <pic:blipFill>
                    <a:blip r:embed="rId156"/>
                    <a:stretch>
                      <a:fillRect/>
                    </a:stretch>
                  </pic:blipFill>
                  <pic:spPr>
                    <a:xfrm>
                      <a:off x="0" y="0"/>
                      <a:ext cx="190500" cy="219075"/>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219075" cy="228600"/>
            <wp:effectExtent l="0" t="0" r="0" b="0"/>
            <wp:docPr id="174"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00"/>
                    <pic:cNvPicPr>
                      <a:picLocks noChangeAspect="1"/>
                    </pic:cNvPicPr>
                  </pic:nvPicPr>
                  <pic:blipFill>
                    <a:blip r:embed="rId157"/>
                    <a:stretch>
                      <a:fillRect/>
                    </a:stretch>
                  </pic:blipFill>
                  <pic:spPr>
                    <a:xfrm>
                      <a:off x="0" y="0"/>
                      <a:ext cx="219075"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200025" cy="228600"/>
            <wp:effectExtent l="0" t="0" r="9525" b="0"/>
            <wp:docPr id="175"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01"/>
                    <pic:cNvPicPr>
                      <a:picLocks noChangeAspect="1"/>
                    </pic:cNvPicPr>
                  </pic:nvPicPr>
                  <pic:blipFill>
                    <a:blip r:embed="rId158"/>
                    <a:stretch>
                      <a:fillRect/>
                    </a:stretch>
                  </pic:blipFill>
                  <pic:spPr>
                    <a:xfrm>
                      <a:off x="0" y="0"/>
                      <a:ext cx="200025"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190500" cy="228600"/>
            <wp:effectExtent l="0" t="0" r="0" b="0"/>
            <wp:docPr id="176"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02"/>
                    <pic:cNvPicPr>
                      <a:picLocks noChangeAspect="1"/>
                    </pic:cNvPicPr>
                  </pic:nvPicPr>
                  <pic:blipFill>
                    <a:blip r:embed="rId159"/>
                    <a:stretch>
                      <a:fillRect/>
                    </a:stretch>
                  </pic:blipFill>
                  <pic:spPr>
                    <a:xfrm>
                      <a:off x="0" y="0"/>
                      <a:ext cx="190500"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rPr>
        <w:drawing>
          <wp:inline distT="0" distB="0" distL="114300" distR="114300">
            <wp:extent cx="190500" cy="219075"/>
            <wp:effectExtent l="0" t="0" r="0" b="5715"/>
            <wp:docPr id="17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03"/>
                    <pic:cNvPicPr>
                      <a:picLocks noChangeAspect="1"/>
                    </pic:cNvPicPr>
                  </pic:nvPicPr>
                  <pic:blipFill>
                    <a:blip r:embed="rId160"/>
                    <a:stretch>
                      <a:fillRect/>
                    </a:stretch>
                  </pic:blipFill>
                  <pic:spPr>
                    <a:xfrm>
                      <a:off x="0" y="0"/>
                      <a:ext cx="190500" cy="219075"/>
                    </a:xfrm>
                    <a:prstGeom prst="rect">
                      <a:avLst/>
                    </a:prstGeom>
                    <a:noFill/>
                    <a:ln>
                      <a:noFill/>
                    </a:ln>
                  </pic:spPr>
                </pic:pic>
              </a:graphicData>
            </a:graphic>
          </wp:inline>
        </w:drawing>
      </w:r>
      <w:r>
        <w:rPr>
          <w:rFonts w:ascii="Times New Roman" w:hAnsi="Times New Roman" w:cs="Times New Roman"/>
          <w:caps w:val="0"/>
          <w:smallCaps w:val="0"/>
        </w:rPr>
        <w:t>同式（36）、（37）、（38），而b的计算式如下：</w:t>
      </w:r>
    </w:p>
    <w:p>
      <w:pPr>
        <w:tabs>
          <w:tab w:val="center" w:pos="4540"/>
          <w:tab w:val="right" w:pos="9080"/>
        </w:tabs>
        <w:ind w:firstLine="480"/>
        <w:rPr>
          <w:rFonts w:ascii="Times New Roman" w:hAnsi="Times New Roman" w:cs="Times New Roman"/>
          <w:caps w:val="0"/>
          <w:smallCaps w:val="0"/>
        </w:rPr>
      </w:pPr>
      <w:r>
        <w:rPr>
          <w:rFonts w:ascii="Times New Roman" w:hAnsi="Times New Roman" w:cs="Times New Roman"/>
          <w:caps w:val="0"/>
          <w:smallCaps w:val="0"/>
        </w:rPr>
        <w:tab/>
      </w:r>
      <w:r>
        <w:rPr>
          <w:rFonts w:ascii="Times New Roman" w:hAnsi="Times New Roman" w:cs="Times New Roman"/>
          <w:caps w:val="0"/>
          <w:smallCaps w:val="0"/>
          <w:position w:val="-40"/>
        </w:rPr>
        <w:drawing>
          <wp:inline distT="0" distB="0" distL="114300" distR="114300">
            <wp:extent cx="3886200" cy="581025"/>
            <wp:effectExtent l="0" t="0" r="0" b="8890"/>
            <wp:docPr id="178"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04"/>
                    <pic:cNvPicPr>
                      <a:picLocks noChangeAspect="1"/>
                    </pic:cNvPicPr>
                  </pic:nvPicPr>
                  <pic:blipFill>
                    <a:blip r:embed="rId161"/>
                    <a:stretch>
                      <a:fillRect/>
                    </a:stretch>
                  </pic:blipFill>
                  <pic:spPr>
                    <a:xfrm>
                      <a:off x="0" y="0"/>
                      <a:ext cx="3886200" cy="581025"/>
                    </a:xfrm>
                    <a:prstGeom prst="rect">
                      <a:avLst/>
                    </a:prstGeom>
                    <a:noFill/>
                    <a:ln>
                      <a:noFill/>
                    </a:ln>
                  </pic:spPr>
                </pic:pic>
              </a:graphicData>
            </a:graphic>
          </wp:inline>
        </w:drawing>
      </w:r>
      <w:r>
        <w:rPr>
          <w:rFonts w:ascii="Times New Roman" w:hAnsi="Times New Roman" w:cs="Times New Roman"/>
          <w:caps w:val="0"/>
          <w:smallCaps w:val="0"/>
        </w:rPr>
        <w:tab/>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MACROBUTTON MTPlaceRef \* MERGEFORMAT </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\h \* MERGEFORMAT </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 SEQ MTEqn \c \* Arabic \* MERGEFORMAT </w:instrText>
      </w:r>
      <w:r>
        <w:rPr>
          <w:rFonts w:ascii="Times New Roman" w:hAnsi="Times New Roman" w:cs="Times New Roman"/>
          <w:caps w:val="0"/>
          <w:smallCaps w:val="0"/>
        </w:rPr>
        <w:fldChar w:fldCharType="separate"/>
      </w:r>
      <w:r>
        <w:rPr>
          <w:rFonts w:ascii="Times New Roman" w:hAnsi="Times New Roman" w:cs="Times New Roman"/>
          <w:caps w:val="0"/>
          <w:smallCaps w:val="0"/>
        </w:rPr>
        <w:instrText xml:space="preserve">41</w:instrText>
      </w:r>
      <w:r>
        <w:rPr>
          <w:rFonts w:ascii="Times New Roman" w:hAnsi="Times New Roman" w:cs="Times New Roman"/>
          <w:caps w:val="0"/>
          <w:smallCaps w:val="0"/>
        </w:rPr>
        <w:fldChar w:fldCharType="end"/>
      </w:r>
      <w:r>
        <w:rPr>
          <w:rFonts w:ascii="Times New Roman" w:hAnsi="Times New Roman" w:cs="Times New Roman"/>
          <w:caps w:val="0"/>
          <w:smallCaps w:val="0"/>
        </w:rPr>
        <w:instrText xml:space="preserve">)</w:instrText>
      </w:r>
      <w:r>
        <w:rPr>
          <w:rFonts w:ascii="Times New Roman" w:hAnsi="Times New Roman" w:cs="Times New Roman"/>
          <w:caps w:val="0"/>
          <w:smallCaps w:val="0"/>
        </w:rPr>
        <w:fldChar w:fldCharType="end"/>
      </w:r>
    </w:p>
    <w:p>
      <w:pPr>
        <w:ind w:firstLine="480"/>
        <w:rPr>
          <w:rFonts w:ascii="Times New Roman" w:hAnsi="Times New Roman" w:cs="Times New Roman"/>
          <w:caps w:val="0"/>
          <w:smallCaps w:val="0"/>
        </w:rPr>
      </w:pPr>
      <w:r>
        <w:rPr>
          <w:rFonts w:ascii="Times New Roman" w:hAnsi="Times New Roman" w:cs="Times New Roman"/>
          <w:caps w:val="0"/>
          <w:smallCaps w:val="0"/>
        </w:rPr>
        <w:t>3）求解程式</w:t>
      </w:r>
    </w:p>
    <w:p>
      <w:pPr>
        <w:ind w:firstLine="480"/>
        <w:rPr>
          <w:rFonts w:ascii="Times New Roman" w:hAnsi="Times New Roman" w:cs="Times New Roman"/>
          <w:caps w:val="0"/>
          <w:smallCaps w:val="0"/>
        </w:rPr>
      </w:pPr>
      <w:r>
        <w:rPr>
          <w:rFonts w:ascii="Times New Roman" w:hAnsi="Times New Roman" w:cs="Times New Roman"/>
          <w:caps w:val="0"/>
          <w:smallCaps w:val="0"/>
        </w:rPr>
        <w:t>本数学模型采用SIMPLER计算程式进行求解，具体运算步骤为</w:t>
      </w:r>
    </w:p>
    <w:p>
      <w:pPr>
        <w:ind w:firstLine="480"/>
        <w:rPr>
          <w:rFonts w:ascii="Times New Roman" w:hAnsi="Times New Roman" w:cs="Times New Roman"/>
          <w:caps w:val="0"/>
          <w:smallCaps w:val="0"/>
        </w:rPr>
      </w:pPr>
      <w:r>
        <w:rPr>
          <w:rFonts w:hint="eastAsia" w:ascii="Times New Roman" w:hAnsi="Times New Roman" w:cs="Times New Roman"/>
          <w:caps w:val="0"/>
          <w:smallCaps w:val="0"/>
        </w:rPr>
        <w:t>①</w:t>
      </w:r>
      <w:r>
        <w:rPr>
          <w:rFonts w:ascii="Times New Roman" w:hAnsi="Times New Roman" w:cs="Times New Roman"/>
          <w:caps w:val="0"/>
          <w:smallCaps w:val="0"/>
        </w:rPr>
        <w:t>对速度场赋以初始猜测值。</w:t>
      </w:r>
    </w:p>
    <w:p>
      <w:pPr>
        <w:ind w:firstLine="480"/>
        <w:rPr>
          <w:rFonts w:ascii="Times New Roman" w:hAnsi="Times New Roman" w:cs="Times New Roman"/>
          <w:caps w:val="0"/>
          <w:smallCaps w:val="0"/>
        </w:rPr>
      </w:pPr>
      <w:r>
        <w:rPr>
          <w:rFonts w:hint="eastAsia" w:ascii="Times New Roman" w:hAnsi="Times New Roman" w:cs="Times New Roman"/>
          <w:caps w:val="0"/>
          <w:smallCaps w:val="0"/>
        </w:rPr>
        <w:t>②</w:t>
      </w:r>
      <w:r>
        <w:rPr>
          <w:rFonts w:ascii="Times New Roman" w:hAnsi="Times New Roman" w:cs="Times New Roman"/>
          <w:caps w:val="0"/>
          <w:smallCaps w:val="0"/>
        </w:rPr>
        <w:t>计算动量方程的系数，再根据方程（28），代入邻点速度u</w:t>
      </w:r>
      <w:r>
        <w:rPr>
          <w:rFonts w:ascii="Times New Roman" w:hAnsi="Times New Roman" w:cs="Times New Roman"/>
          <w:caps w:val="0"/>
          <w:smallCaps w:val="0"/>
          <w:vertAlign w:val="subscript"/>
        </w:rPr>
        <w:t>nb</w:t>
      </w:r>
      <w:r>
        <w:rPr>
          <w:rFonts w:ascii="Times New Roman" w:hAnsi="Times New Roman" w:cs="Times New Roman"/>
          <w:caps w:val="0"/>
          <w:smallCaps w:val="0"/>
        </w:rPr>
        <w:t>及v</w:t>
      </w:r>
      <w:r>
        <w:rPr>
          <w:rFonts w:ascii="Times New Roman" w:hAnsi="Times New Roman" w:cs="Times New Roman"/>
          <w:caps w:val="0"/>
          <w:smallCaps w:val="0"/>
          <w:vertAlign w:val="subscript"/>
        </w:rPr>
        <w:t>nb</w:t>
      </w:r>
      <w:r>
        <w:rPr>
          <w:rFonts w:ascii="Times New Roman" w:hAnsi="Times New Roman" w:cs="Times New Roman"/>
          <w:caps w:val="0"/>
          <w:smallCaps w:val="0"/>
        </w:rPr>
        <w:t>的数值，计算</w:t>
      </w:r>
      <w:r>
        <w:rPr>
          <w:rFonts w:ascii="Times New Roman" w:hAnsi="Times New Roman" w:cs="Times New Roman"/>
          <w:caps w:val="0"/>
          <w:smallCaps w:val="0"/>
          <w:position w:val="-12"/>
        </w:rPr>
        <w:drawing>
          <wp:inline distT="0" distB="0" distL="114300" distR="114300">
            <wp:extent cx="161925" cy="228600"/>
            <wp:effectExtent l="0" t="0" r="9525" b="0"/>
            <wp:docPr id="179"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05"/>
                    <pic:cNvPicPr>
                      <a:picLocks noChangeAspect="1"/>
                    </pic:cNvPicPr>
                  </pic:nvPicPr>
                  <pic:blipFill>
                    <a:blip r:embed="rId162"/>
                    <a:stretch>
                      <a:fillRect/>
                    </a:stretch>
                  </pic:blipFill>
                  <pic:spPr>
                    <a:xfrm>
                      <a:off x="0" y="0"/>
                      <a:ext cx="161925" cy="228600"/>
                    </a:xfrm>
                    <a:prstGeom prst="rect">
                      <a:avLst/>
                    </a:prstGeom>
                    <a:noFill/>
                    <a:ln>
                      <a:noFill/>
                    </a:ln>
                  </pic:spPr>
                </pic:pic>
              </a:graphicData>
            </a:graphic>
          </wp:inline>
        </w:drawing>
      </w:r>
      <w:r>
        <w:rPr>
          <w:rFonts w:ascii="Times New Roman" w:hAnsi="Times New Roman" w:cs="Times New Roman"/>
          <w:caps w:val="0"/>
          <w:smallCaps w:val="0"/>
        </w:rPr>
        <w:t>、</w:t>
      </w:r>
      <w:r>
        <w:rPr>
          <w:rFonts w:ascii="Times New Roman" w:hAnsi="Times New Roman" w:cs="Times New Roman"/>
          <w:caps w:val="0"/>
          <w:smallCaps w:val="0"/>
          <w:position w:val="-12"/>
        </w:rPr>
        <w:drawing>
          <wp:inline distT="0" distB="0" distL="114300" distR="114300">
            <wp:extent cx="161925" cy="228600"/>
            <wp:effectExtent l="0" t="0" r="9525" b="0"/>
            <wp:docPr id="180"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06"/>
                    <pic:cNvPicPr>
                      <a:picLocks noChangeAspect="1"/>
                    </pic:cNvPicPr>
                  </pic:nvPicPr>
                  <pic:blipFill>
                    <a:blip r:embed="rId163"/>
                    <a:stretch>
                      <a:fillRect/>
                    </a:stretch>
                  </pic:blipFill>
                  <pic:spPr>
                    <a:xfrm>
                      <a:off x="0" y="0"/>
                      <a:ext cx="161925" cy="228600"/>
                    </a:xfrm>
                    <a:prstGeom prst="rect">
                      <a:avLst/>
                    </a:prstGeom>
                    <a:noFill/>
                    <a:ln>
                      <a:noFill/>
                    </a:ln>
                  </pic:spPr>
                </pic:pic>
              </a:graphicData>
            </a:graphic>
          </wp:inline>
        </w:drawing>
      </w:r>
      <w:r>
        <w:rPr>
          <w:rFonts w:ascii="Times New Roman" w:hAnsi="Times New Roman" w:cs="Times New Roman"/>
          <w:caps w:val="0"/>
          <w:smallCaps w:val="0"/>
        </w:rPr>
        <w:t>。</w:t>
      </w:r>
    </w:p>
    <w:p>
      <w:pPr>
        <w:ind w:firstLine="480"/>
        <w:rPr>
          <w:rFonts w:ascii="Times New Roman" w:hAnsi="Times New Roman" w:cs="Times New Roman"/>
          <w:caps w:val="0"/>
          <w:smallCaps w:val="0"/>
        </w:rPr>
      </w:pPr>
      <w:r>
        <w:rPr>
          <w:rFonts w:hint="eastAsia" w:ascii="Times New Roman" w:hAnsi="Times New Roman" w:cs="Times New Roman"/>
          <w:caps w:val="0"/>
          <w:smallCaps w:val="0"/>
        </w:rPr>
        <w:t>③</w:t>
      </w:r>
      <w:r>
        <w:rPr>
          <w:rFonts w:ascii="Times New Roman" w:hAnsi="Times New Roman" w:cs="Times New Roman"/>
          <w:caps w:val="0"/>
          <w:smallCaps w:val="0"/>
        </w:rPr>
        <w:t>计算水位方程(35)的系数，解此方程得出水位场。</w:t>
      </w:r>
    </w:p>
    <w:p>
      <w:pPr>
        <w:ind w:firstLine="480"/>
        <w:rPr>
          <w:rFonts w:ascii="Times New Roman" w:hAnsi="Times New Roman" w:cs="Times New Roman"/>
          <w:caps w:val="0"/>
          <w:smallCaps w:val="0"/>
        </w:rPr>
      </w:pPr>
      <w:r>
        <w:rPr>
          <w:rFonts w:hint="eastAsia" w:ascii="Times New Roman" w:hAnsi="Times New Roman" w:cs="Times New Roman"/>
          <w:caps w:val="0"/>
          <w:smallCaps w:val="0"/>
        </w:rPr>
        <w:t>④</w:t>
      </w:r>
      <w:r>
        <w:rPr>
          <w:rFonts w:ascii="Times New Roman" w:hAnsi="Times New Roman" w:cs="Times New Roman"/>
          <w:caps w:val="0"/>
          <w:smallCaps w:val="0"/>
        </w:rPr>
        <w:t>把算得的水位场作为Z*，求解动量方程得出u*、v*。</w:t>
      </w:r>
    </w:p>
    <w:p>
      <w:pPr>
        <w:ind w:firstLine="480"/>
        <w:rPr>
          <w:rFonts w:ascii="Times New Roman" w:hAnsi="Times New Roman" w:cs="Times New Roman"/>
          <w:caps w:val="0"/>
          <w:smallCaps w:val="0"/>
        </w:rPr>
      </w:pPr>
      <w:r>
        <w:rPr>
          <w:rFonts w:hint="eastAsia" w:ascii="Times New Roman" w:hAnsi="Times New Roman" w:cs="Times New Roman"/>
          <w:caps w:val="0"/>
          <w:smallCaps w:val="0"/>
        </w:rPr>
        <w:t>⑤</w:t>
      </w:r>
      <w:r>
        <w:rPr>
          <w:rFonts w:ascii="Times New Roman" w:hAnsi="Times New Roman" w:cs="Times New Roman"/>
          <w:caps w:val="0"/>
          <w:smallCaps w:val="0"/>
        </w:rPr>
        <w:t>按(41)式计算质量源b，再解水位校正方程(40)。</w:t>
      </w:r>
    </w:p>
    <w:p>
      <w:pPr>
        <w:ind w:firstLine="480"/>
        <w:rPr>
          <w:rFonts w:ascii="Times New Roman" w:hAnsi="Times New Roman" w:cs="Times New Roman"/>
          <w:caps w:val="0"/>
          <w:smallCaps w:val="0"/>
        </w:rPr>
      </w:pPr>
      <w:r>
        <w:rPr>
          <w:rFonts w:hint="eastAsia" w:ascii="Times New Roman" w:hAnsi="Times New Roman" w:cs="Times New Roman"/>
          <w:caps w:val="0"/>
          <w:smallCaps w:val="0"/>
        </w:rPr>
        <w:t>⑥</w:t>
      </w:r>
      <w:r>
        <w:rPr>
          <w:rFonts w:ascii="Times New Roman" w:hAnsi="Times New Roman" w:cs="Times New Roman"/>
          <w:caps w:val="0"/>
          <w:smallCaps w:val="0"/>
        </w:rPr>
        <w:t>用方程(33)、(34)校正速度场，但不校正水位。</w:t>
      </w:r>
    </w:p>
    <w:p>
      <w:pPr>
        <w:ind w:firstLine="480"/>
        <w:rPr>
          <w:rFonts w:ascii="Times New Roman" w:hAnsi="Times New Roman" w:cs="Times New Roman"/>
          <w:caps w:val="0"/>
          <w:smallCaps w:val="0"/>
        </w:rPr>
      </w:pPr>
      <w:r>
        <w:rPr>
          <w:rFonts w:hint="eastAsia" w:ascii="Times New Roman" w:hAnsi="Times New Roman" w:cs="Times New Roman"/>
          <w:caps w:val="0"/>
          <w:smallCaps w:val="0"/>
        </w:rPr>
        <w:t>⑦</w:t>
      </w:r>
      <w:r>
        <w:rPr>
          <w:rFonts w:ascii="Times New Roman" w:hAnsi="Times New Roman" w:cs="Times New Roman"/>
          <w:caps w:val="0"/>
          <w:smallCaps w:val="0"/>
        </w:rPr>
        <w:t>返回第二步，重复计算直至收敛为止。</w:t>
      </w:r>
    </w:p>
    <w:p>
      <w:pPr>
        <w:adjustRightInd w:val="0"/>
        <w:snapToGrid w:val="0"/>
        <w:ind w:firstLine="482"/>
        <w:rPr>
          <w:rFonts w:ascii="Times New Roman" w:hAnsi="Times New Roman" w:cs="Times New Roman"/>
          <w:b/>
          <w:caps w:val="0"/>
          <w:smallCaps w:val="0"/>
        </w:rPr>
      </w:pPr>
      <w:bookmarkStart w:id="100" w:name="_Toc65933020"/>
      <w:bookmarkStart w:id="101" w:name="_Toc54792477"/>
      <w:bookmarkStart w:id="102" w:name="_Toc84949160"/>
      <w:r>
        <w:rPr>
          <w:rFonts w:ascii="Times New Roman" w:hAnsi="Times New Roman" w:cs="Times New Roman"/>
          <w:b/>
          <w:caps w:val="0"/>
          <w:smallCaps w:val="0"/>
        </w:rPr>
        <w:t>（3）初始条件、边界条件及动边界技术</w:t>
      </w:r>
      <w:bookmarkEnd w:id="100"/>
      <w:bookmarkEnd w:id="101"/>
      <w:bookmarkEnd w:id="102"/>
    </w:p>
    <w:p>
      <w:pPr>
        <w:adjustRightInd w:val="0"/>
        <w:snapToGrid w:val="0"/>
        <w:ind w:firstLine="480"/>
        <w:rPr>
          <w:rFonts w:ascii="Times New Roman" w:hAnsi="Times New Roman" w:cs="Times New Roman"/>
          <w:caps w:val="0"/>
          <w:smallCaps w:val="0"/>
        </w:rPr>
      </w:pPr>
      <w:r>
        <w:rPr>
          <w:rFonts w:ascii="Times New Roman" w:hAnsi="Times New Roman" w:cs="Times New Roman"/>
          <w:caps w:val="0"/>
          <w:smallCaps w:val="0"/>
        </w:rPr>
        <w:t>计算初始流速为零，初始水位可由推求一维水面线给出或给出一固定值。计算进口给出流量，出口给出水位，岸边界的法向流速为零，切向流速满足其法向导数为零的条件，为便于计算中自动判别水岸边界，采用干湿判断技巧，当网格水深小于某一定数时，认为此网格露出水面，可令动量方程的源项为一大数，同时为使计算进行下去，在露出单元水深点给定微小水深（0.05m），当网格水深大于某一定数时，则认为此网格将淹没在水中，并纳入正常的运算。</w:t>
      </w:r>
    </w:p>
    <w:p>
      <w:pPr>
        <w:pStyle w:val="7"/>
        <w:bidi w:val="0"/>
        <w:rPr>
          <w:rFonts w:ascii="Times New Roman" w:hAnsi="Times New Roman" w:cs="Times New Roman"/>
          <w:caps w:val="0"/>
          <w:smallCaps w:val="0"/>
        </w:rPr>
      </w:pPr>
      <w:r>
        <w:rPr>
          <w:rFonts w:ascii="Times New Roman" w:hAnsi="Times New Roman" w:cs="Times New Roman"/>
          <w:caps w:val="0"/>
          <w:smallCaps w:val="0"/>
        </w:rPr>
        <w:t>计算条件的选取</w:t>
      </w:r>
    </w:p>
    <w:p>
      <w:pPr>
        <w:adjustRightInd w:val="0"/>
        <w:snapToGrid w:val="0"/>
        <w:ind w:firstLine="480"/>
        <w:rPr>
          <w:rFonts w:ascii="Times New Roman" w:hAnsi="Times New Roman" w:cs="Times New Roman"/>
          <w:caps w:val="0"/>
          <w:smallCaps w:val="0"/>
        </w:rPr>
      </w:pPr>
      <w:bookmarkStart w:id="103" w:name="_Toc84949163"/>
      <w:bookmarkStart w:id="104" w:name="_Toc65932862"/>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1</w:t>
      </w:r>
      <w:r>
        <w:rPr>
          <w:rFonts w:hint="eastAsia" w:ascii="Times New Roman" w:hAnsi="Times New Roman" w:cs="Times New Roman"/>
          <w:caps w:val="0"/>
          <w:smallCaps w:val="0"/>
          <w:lang w:val="en-US" w:eastAsia="zh-CN"/>
        </w:rPr>
        <w:t>）计算河段网格布置</w:t>
      </w:r>
    </w:p>
    <w:p>
      <w:pPr>
        <w:adjustRightInd w:val="0"/>
        <w:snapToGrid w:val="0"/>
        <w:ind w:firstLine="480"/>
        <w:rPr>
          <w:rFonts w:ascii="Times New Roman" w:hAnsi="Times New Roman" w:cs="Times New Roman"/>
          <w:caps w:val="0"/>
          <w:smallCaps w:val="0"/>
        </w:rPr>
      </w:pPr>
      <w:r>
        <w:rPr>
          <w:rFonts w:hint="eastAsia" w:ascii="Times New Roman" w:hAnsi="Times New Roman" w:cs="Times New Roman"/>
          <w:caps w:val="0"/>
          <w:smallCaps w:val="0"/>
          <w:lang w:val="en-US" w:eastAsia="zh-CN"/>
        </w:rPr>
        <w:t>计算河段为营田洲洲头上游至沉沙港附近，长约</w:t>
      </w:r>
      <w:r>
        <w:rPr>
          <w:rFonts w:hint="default" w:ascii="Times New Roman" w:hAnsi="Times New Roman" w:cs="Times New Roman"/>
          <w:caps w:val="0"/>
          <w:smallCaps w:val="0"/>
          <w:lang w:val="en-US" w:eastAsia="zh-CN"/>
        </w:rPr>
        <w:t>15km</w:t>
      </w:r>
      <w:r>
        <w:rPr>
          <w:rFonts w:hint="eastAsia" w:ascii="Times New Roman" w:hAnsi="Times New Roman" w:cs="Times New Roman"/>
          <w:caps w:val="0"/>
          <w:smallCaps w:val="0"/>
          <w:lang w:val="en-US" w:eastAsia="zh-CN"/>
        </w:rPr>
        <w:t>。二维计算网格采用无结构三角形和四边形混合网格形式，计算区域网格节点数为</w:t>
      </w:r>
      <w:r>
        <w:rPr>
          <w:rFonts w:hint="default" w:ascii="Times New Roman" w:hAnsi="Times New Roman" w:cs="Times New Roman"/>
          <w:caps w:val="0"/>
          <w:smallCaps w:val="0"/>
          <w:lang w:val="en-US" w:eastAsia="zh-CN"/>
        </w:rPr>
        <w:t>6737</w:t>
      </w:r>
      <w:r>
        <w:rPr>
          <w:rFonts w:hint="eastAsia" w:ascii="Times New Roman" w:hAnsi="Times New Roman" w:cs="Times New Roman"/>
          <w:caps w:val="0"/>
          <w:smallCaps w:val="0"/>
          <w:lang w:val="en-US" w:eastAsia="zh-CN"/>
        </w:rPr>
        <w:t>个，单元总数为</w:t>
      </w:r>
      <w:r>
        <w:rPr>
          <w:rFonts w:hint="default" w:ascii="Times New Roman" w:hAnsi="Times New Roman" w:cs="Times New Roman"/>
          <w:caps w:val="0"/>
          <w:smallCaps w:val="0"/>
          <w:lang w:val="en-US" w:eastAsia="zh-CN"/>
        </w:rPr>
        <w:t>9053</w:t>
      </w:r>
      <w:r>
        <w:rPr>
          <w:rFonts w:hint="eastAsia" w:ascii="Times New Roman" w:hAnsi="Times New Roman" w:cs="Times New Roman"/>
          <w:caps w:val="0"/>
          <w:smallCaps w:val="0"/>
          <w:lang w:val="en-US" w:eastAsia="zh-CN"/>
        </w:rPr>
        <w:t>个。网格长度约为</w:t>
      </w:r>
      <w:r>
        <w:rPr>
          <w:rFonts w:hint="default" w:ascii="Times New Roman" w:hAnsi="Times New Roman" w:cs="Times New Roman"/>
          <w:caps w:val="0"/>
          <w:smallCaps w:val="0"/>
          <w:lang w:val="en-US" w:eastAsia="zh-CN"/>
        </w:rPr>
        <w:t>30</w:t>
      </w: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120m</w:t>
      </w:r>
      <w:r>
        <w:rPr>
          <w:rFonts w:hint="eastAsia" w:ascii="Times New Roman" w:hAnsi="Times New Roman" w:cs="Times New Roman"/>
          <w:caps w:val="0"/>
          <w:smallCaps w:val="0"/>
          <w:lang w:val="en-US" w:eastAsia="zh-CN"/>
        </w:rPr>
        <w:t>，拟建工程局部区域网格长度约为</w:t>
      </w:r>
      <w:r>
        <w:rPr>
          <w:rFonts w:hint="default" w:ascii="Times New Roman" w:hAnsi="Times New Roman" w:cs="Times New Roman"/>
          <w:caps w:val="0"/>
          <w:smallCaps w:val="0"/>
          <w:lang w:val="en-US" w:eastAsia="zh-CN"/>
        </w:rPr>
        <w:t>4</w:t>
      </w: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10m</w:t>
      </w:r>
      <w:r>
        <w:rPr>
          <w:rFonts w:hint="eastAsia" w:ascii="Times New Roman" w:hAnsi="Times New Roman" w:cs="Times New Roman"/>
          <w:caps w:val="0"/>
          <w:smallCaps w:val="0"/>
          <w:lang w:val="en-US" w:eastAsia="zh-CN"/>
        </w:rPr>
        <w:t>。</w:t>
      </w:r>
    </w:p>
    <w:p>
      <w:pPr>
        <w:adjustRightInd w:val="0"/>
        <w:snapToGrid w:val="0"/>
        <w:ind w:firstLine="48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2</w:t>
      </w:r>
      <w:r>
        <w:rPr>
          <w:rFonts w:hint="eastAsia" w:ascii="Times New Roman" w:hAnsi="Times New Roman" w:cs="Times New Roman"/>
          <w:caps w:val="0"/>
          <w:smallCaps w:val="0"/>
          <w:lang w:val="en-US" w:eastAsia="zh-CN"/>
        </w:rPr>
        <w:t>）动边界模拟</w:t>
      </w:r>
    </w:p>
    <w:p>
      <w:pPr>
        <w:adjustRightInd w:val="0"/>
        <w:snapToGrid w:val="0"/>
        <w:ind w:firstLine="480"/>
        <w:rPr>
          <w:rFonts w:ascii="Times New Roman" w:hAnsi="Times New Roman" w:cs="Times New Roman"/>
          <w:caps w:val="0"/>
          <w:smallCaps w:val="0"/>
        </w:rPr>
      </w:pPr>
      <w:r>
        <w:rPr>
          <w:rFonts w:hint="eastAsia" w:ascii="Times New Roman" w:hAnsi="Times New Roman" w:cs="Times New Roman"/>
          <w:caps w:val="0"/>
          <w:smallCaps w:val="0"/>
          <w:lang w:val="en-US" w:eastAsia="zh-CN"/>
        </w:rPr>
        <w:t>在计算过程中，网格区域内的部分单元在涨水时被</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淹没</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，在落水时则</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干出</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。为正确反映这些单元的干湿变化，模型中采用了如下的动边界模拟技术：选定一临界水深（</w:t>
      </w:r>
      <w:r>
        <w:rPr>
          <w:rFonts w:ascii="Times New Roman" w:hAnsi="Times New Roman" w:cs="Times New Roman"/>
          <w:caps w:val="0"/>
          <w:smallCaps w:val="0"/>
          <w:lang w:val="en-US" w:eastAsia="zh-CN"/>
        </w:rPr>
        <w:t>h</w:t>
      </w:r>
      <w:r>
        <w:rPr>
          <w:rFonts w:hint="default" w:ascii="Times New Roman" w:hAnsi="Times New Roman" w:cs="Times New Roman"/>
          <w:caps w:val="0"/>
          <w:smallCaps w:val="0"/>
          <w:lang w:val="en-US" w:eastAsia="zh-CN"/>
        </w:rPr>
        <w:t>min</w:t>
      </w:r>
      <w:r>
        <w:rPr>
          <w:rFonts w:hint="eastAsia" w:ascii="Times New Roman" w:hAnsi="Times New Roman" w:cs="Times New Roman"/>
          <w:caps w:val="0"/>
          <w:smallCaps w:val="0"/>
          <w:lang w:val="en-US" w:eastAsia="zh-CN"/>
        </w:rPr>
        <w:t>一般取为</w:t>
      </w:r>
      <w:r>
        <w:rPr>
          <w:rFonts w:hint="default" w:ascii="Times New Roman" w:hAnsi="Times New Roman" w:cs="Times New Roman"/>
          <w:caps w:val="0"/>
          <w:smallCaps w:val="0"/>
          <w:lang w:val="en-US" w:eastAsia="zh-CN"/>
        </w:rPr>
        <w:t>0.001m</w:t>
      </w:r>
      <w:r>
        <w:rPr>
          <w:rFonts w:hint="eastAsia" w:ascii="Times New Roman" w:hAnsi="Times New Roman" w:cs="Times New Roman"/>
          <w:caps w:val="0"/>
          <w:smallCaps w:val="0"/>
          <w:lang w:val="en-US" w:eastAsia="zh-CN"/>
        </w:rPr>
        <w:t>），当某时刻某湿单元的实际水深（水位减去河底高程）小于</w:t>
      </w:r>
      <w:r>
        <w:rPr>
          <w:rFonts w:hint="default" w:ascii="Times New Roman" w:hAnsi="Times New Roman" w:cs="Times New Roman"/>
          <w:caps w:val="0"/>
          <w:smallCaps w:val="0"/>
          <w:lang w:val="en-US" w:eastAsia="zh-CN"/>
        </w:rPr>
        <w:t>hmin</w:t>
      </w:r>
      <w:r>
        <w:rPr>
          <w:rFonts w:hint="eastAsia" w:ascii="Times New Roman" w:hAnsi="Times New Roman" w:cs="Times New Roman"/>
          <w:caps w:val="0"/>
          <w:smallCaps w:val="0"/>
          <w:lang w:val="en-US" w:eastAsia="zh-CN"/>
        </w:rPr>
        <w:t>时，认为该单元</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干出</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，令该点流速为零，水深为临界水深，水位值由附近非“干出”点水位值外插值得到；当某时刻某节点实际水深大于临界水深时，则恢复程序计算。</w:t>
      </w:r>
    </w:p>
    <w:p>
      <w:pPr>
        <w:adjustRightInd w:val="0"/>
        <w:snapToGrid w:val="0"/>
        <w:ind w:firstLine="48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3</w:t>
      </w:r>
      <w:r>
        <w:rPr>
          <w:rFonts w:hint="eastAsia" w:ascii="Times New Roman" w:hAnsi="Times New Roman" w:cs="Times New Roman"/>
          <w:caps w:val="0"/>
          <w:smallCaps w:val="0"/>
          <w:lang w:val="en-US" w:eastAsia="zh-CN"/>
        </w:rPr>
        <w:t>）参系数取值</w:t>
      </w:r>
    </w:p>
    <w:p>
      <w:pPr>
        <w:adjustRightInd w:val="0"/>
        <w:snapToGrid w:val="0"/>
        <w:ind w:firstLine="480"/>
        <w:rPr>
          <w:rFonts w:ascii="Times New Roman" w:hAnsi="Times New Roman" w:cs="Times New Roman"/>
          <w:caps w:val="0"/>
          <w:smallCaps w:val="0"/>
        </w:rPr>
      </w:pPr>
      <w:r>
        <w:rPr>
          <w:rFonts w:hint="eastAsia" w:ascii="Times New Roman" w:hAnsi="Times New Roman" w:cs="Times New Roman"/>
          <w:caps w:val="0"/>
          <w:smallCaps w:val="0"/>
          <w:lang w:val="en-US" w:eastAsia="zh-CN"/>
        </w:rPr>
        <w:t>二维水流数模计算涉及的主要参数有动量方程中的糙率、紊动粘性系数等。河道糙率实际上是一个综合阻力系数，反映了计算河段的河床河岸阻力、河道形态变化、植被及河道地形概化等因素的综合影响。计算所采用的河道糙率主要由实测水面线资料率定。</w:t>
      </w:r>
    </w:p>
    <w:p>
      <w:pPr>
        <w:adjustRightInd w:val="0"/>
        <w:snapToGrid w:val="0"/>
        <w:ind w:firstLine="480"/>
        <w:rPr>
          <w:rFonts w:ascii="Times New Roman" w:hAnsi="Times New Roman" w:cs="Times New Roman"/>
          <w:caps w:val="0"/>
          <w:smallCaps w:val="0"/>
        </w:rPr>
      </w:pPr>
      <w:r>
        <w:rPr>
          <w:rFonts w:hint="eastAsia" w:ascii="Times New Roman" w:hAnsi="Times New Roman" w:cs="Times New Roman"/>
          <w:caps w:val="0"/>
          <w:smallCaps w:val="0"/>
          <w:lang w:val="en-US" w:eastAsia="zh-CN"/>
        </w:rPr>
        <w:t>紊动粘性系数采用</w:t>
      </w:r>
      <w:r>
        <w:rPr>
          <w:rFonts w:hint="default" w:ascii="Times New Roman" w:hAnsi="Times New Roman" w:cs="Times New Roman"/>
          <w:caps w:val="0"/>
          <w:smallCaps w:val="0"/>
          <w:lang w:val="en-US" w:eastAsia="zh-CN"/>
        </w:rPr>
        <w:t>t=</w:t>
      </w:r>
      <w:r>
        <w:rPr>
          <w:rFonts w:hint="eastAsia" w:ascii="Times New Roman" w:hAnsi="Times New Roman" w:cs="Times New Roman"/>
          <w:caps w:val="0"/>
          <w:smallCaps w:val="0"/>
          <w:lang w:val="en-US" w:eastAsia="zh-CN"/>
        </w:rPr>
        <w:t>a</w:t>
      </w:r>
      <w:r>
        <w:rPr>
          <w:rFonts w:hint="default" w:ascii="Times New Roman" w:hAnsi="Times New Roman" w:cs="Times New Roman"/>
          <w:caps w:val="0"/>
          <w:smallCaps w:val="0"/>
          <w:lang w:val="en-US" w:eastAsia="zh-CN"/>
        </w:rPr>
        <w:t>u</w:t>
      </w: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h</w:t>
      </w:r>
      <w:r>
        <w:rPr>
          <w:rFonts w:hint="eastAsia" w:ascii="Times New Roman" w:hAnsi="Times New Roman" w:cs="Times New Roman"/>
          <w:caps w:val="0"/>
          <w:smallCaps w:val="0"/>
          <w:lang w:val="en-US" w:eastAsia="zh-CN"/>
        </w:rPr>
        <w:t>公式计算，a常数，一般取</w:t>
      </w:r>
      <w:r>
        <w:rPr>
          <w:rFonts w:hint="default" w:ascii="Times New Roman" w:hAnsi="Times New Roman" w:cs="Times New Roman"/>
          <w:caps w:val="0"/>
          <w:smallCaps w:val="0"/>
          <w:lang w:val="en-US" w:eastAsia="zh-CN"/>
        </w:rPr>
        <w:t>0.5</w:t>
      </w: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u</w:t>
      </w:r>
      <w:r>
        <w:rPr>
          <w:rFonts w:hint="eastAsia" w:ascii="Times New Roman" w:hAnsi="Times New Roman" w:cs="Times New Roman"/>
          <w:caps w:val="0"/>
          <w:smallCaps w:val="0"/>
          <w:lang w:val="en-US" w:eastAsia="zh-CN"/>
        </w:rPr>
        <w:t>为摩阻流速。</w:t>
      </w:r>
    </w:p>
    <w:p>
      <w:pPr>
        <w:pStyle w:val="7"/>
        <w:bidi w:val="0"/>
        <w:rPr>
          <w:rFonts w:ascii="Times New Roman" w:hAnsi="Times New Roman" w:cs="Times New Roman"/>
          <w:caps w:val="0"/>
          <w:smallCaps w:val="0"/>
        </w:rPr>
      </w:pPr>
      <w:r>
        <w:rPr>
          <w:rFonts w:ascii="Times New Roman" w:hAnsi="Times New Roman" w:cs="Times New Roman"/>
          <w:caps w:val="0"/>
          <w:smallCaps w:val="0"/>
        </w:rPr>
        <w:t>数学模型率定与验证</w:t>
      </w:r>
      <w:bookmarkEnd w:id="103"/>
      <w:bookmarkEnd w:id="104"/>
    </w:p>
    <w:p>
      <w:pPr>
        <w:adjustRightInd w:val="0"/>
        <w:snapToGrid w:val="0"/>
        <w:ind w:firstLine="480"/>
        <w:rPr>
          <w:rFonts w:ascii="Times New Roman" w:hAnsi="Times New Roman" w:cs="Times New Roman"/>
          <w:caps w:val="0"/>
          <w:smallCaps w:val="0"/>
        </w:rPr>
      </w:pPr>
      <w:r>
        <w:rPr>
          <w:rFonts w:ascii="Times New Roman" w:hAnsi="Times New Roman" w:cs="Times New Roman"/>
          <w:caps w:val="0"/>
          <w:smallCaps w:val="0"/>
        </w:rPr>
        <w:t>模型率定是对模型中的参数进行调整，使模型能较好地重现实测水流过程。模型验证则是利用另一次实测水文资料对模型的适用性和有效性进行检验。本次率定、验证的主要内容包括水位和断面流速分布。</w:t>
      </w:r>
    </w:p>
    <w:p>
      <w:pPr>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选取</w:t>
      </w:r>
      <w:r>
        <w:rPr>
          <w:rFonts w:hint="default" w:ascii="Times New Roman" w:hAnsi="Times New Roman" w:cs="Times New Roman"/>
          <w:caps w:val="0"/>
          <w:smallCaps w:val="0"/>
          <w:lang w:val="en-US" w:eastAsia="zh-CN"/>
        </w:rPr>
        <w:t>2017</w:t>
      </w:r>
      <w:r>
        <w:rPr>
          <w:rFonts w:hint="eastAsia" w:ascii="Times New Roman" w:hAnsi="Times New Roman" w:cs="Times New Roman"/>
          <w:caps w:val="0"/>
          <w:smallCaps w:val="0"/>
          <w:lang w:val="en-US" w:eastAsia="zh-CN"/>
        </w:rPr>
        <w:t>年</w:t>
      </w:r>
      <w:r>
        <w:rPr>
          <w:rFonts w:hint="default" w:ascii="Times New Roman" w:hAnsi="Times New Roman" w:cs="Times New Roman"/>
          <w:caps w:val="0"/>
          <w:smallCaps w:val="0"/>
          <w:lang w:val="en-US" w:eastAsia="zh-CN"/>
        </w:rPr>
        <w:t>6</w:t>
      </w:r>
      <w:r>
        <w:rPr>
          <w:rFonts w:hint="eastAsia" w:ascii="Times New Roman" w:hAnsi="Times New Roman" w:cs="Times New Roman"/>
          <w:caps w:val="0"/>
          <w:smallCaps w:val="0"/>
          <w:lang w:val="en-US" w:eastAsia="zh-CN"/>
        </w:rPr>
        <w:t>月</w:t>
      </w:r>
      <w:r>
        <w:rPr>
          <w:rFonts w:hint="default" w:ascii="Times New Roman" w:hAnsi="Times New Roman" w:cs="Times New Roman"/>
          <w:caps w:val="0"/>
          <w:smallCaps w:val="0"/>
          <w:lang w:val="en-US" w:eastAsia="zh-CN"/>
        </w:rPr>
        <w:t>4</w:t>
      </w:r>
      <w:r>
        <w:rPr>
          <w:rFonts w:hint="eastAsia" w:ascii="Times New Roman" w:hAnsi="Times New Roman" w:cs="Times New Roman"/>
          <w:caps w:val="0"/>
          <w:smallCaps w:val="0"/>
          <w:lang w:val="en-US" w:eastAsia="zh-CN"/>
        </w:rPr>
        <w:t>日实测水文资料进行率定模型参数，在计算河段内布置有</w:t>
      </w:r>
      <w:r>
        <w:rPr>
          <w:rFonts w:hint="default" w:ascii="Times New Roman" w:hAnsi="Times New Roman" w:cs="Times New Roman"/>
          <w:caps w:val="0"/>
          <w:smallCaps w:val="0"/>
          <w:lang w:val="en-US" w:eastAsia="zh-CN"/>
        </w:rPr>
        <w:t>2</w:t>
      </w:r>
      <w:r>
        <w:rPr>
          <w:rFonts w:hint="eastAsia" w:ascii="Times New Roman" w:hAnsi="Times New Roman" w:cs="Times New Roman"/>
          <w:caps w:val="0"/>
          <w:smallCaps w:val="0"/>
          <w:lang w:val="en-US" w:eastAsia="zh-CN"/>
        </w:rPr>
        <w:t>个水尺，采用</w:t>
      </w:r>
      <w:r>
        <w:rPr>
          <w:rFonts w:hint="default" w:ascii="Times New Roman" w:hAnsi="Times New Roman" w:cs="Times New Roman"/>
          <w:caps w:val="0"/>
          <w:smallCaps w:val="0"/>
          <w:lang w:val="en-US" w:eastAsia="zh-CN"/>
        </w:rPr>
        <w:t>2017</w:t>
      </w:r>
      <w:r>
        <w:rPr>
          <w:rFonts w:hint="eastAsia" w:ascii="Times New Roman" w:hAnsi="Times New Roman" w:cs="Times New Roman"/>
          <w:caps w:val="0"/>
          <w:smallCaps w:val="0"/>
          <w:lang w:val="en-US" w:eastAsia="zh-CN"/>
        </w:rPr>
        <w:t>年</w:t>
      </w:r>
      <w:r>
        <w:rPr>
          <w:rFonts w:hint="default" w:ascii="Times New Roman" w:hAnsi="Times New Roman" w:cs="Times New Roman"/>
          <w:caps w:val="0"/>
          <w:smallCaps w:val="0"/>
          <w:lang w:val="en-US" w:eastAsia="zh-CN"/>
        </w:rPr>
        <w:t>11</w:t>
      </w:r>
      <w:r>
        <w:rPr>
          <w:rFonts w:hint="eastAsia" w:ascii="Times New Roman" w:hAnsi="Times New Roman" w:cs="Times New Roman"/>
          <w:caps w:val="0"/>
          <w:smallCaps w:val="0"/>
          <w:lang w:val="en-US" w:eastAsia="zh-CN"/>
        </w:rPr>
        <w:t>月</w:t>
      </w:r>
      <w:r>
        <w:rPr>
          <w:rFonts w:hint="default" w:ascii="Times New Roman" w:hAnsi="Times New Roman" w:cs="Times New Roman"/>
          <w:caps w:val="0"/>
          <w:smallCaps w:val="0"/>
          <w:lang w:val="en-US" w:eastAsia="zh-CN"/>
        </w:rPr>
        <w:t>20</w:t>
      </w:r>
      <w:r>
        <w:rPr>
          <w:rFonts w:hint="eastAsia" w:ascii="Times New Roman" w:hAnsi="Times New Roman" w:cs="Times New Roman"/>
          <w:caps w:val="0"/>
          <w:smallCaps w:val="0"/>
          <w:lang w:val="en-US" w:eastAsia="zh-CN"/>
        </w:rPr>
        <w:t>日实测水文资料进行模型验证，率定、验证计算条件见表</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2。</w:t>
      </w:r>
    </w:p>
    <w:p>
      <w:pPr>
        <w:keepNext w:val="0"/>
        <w:keepLines w:val="0"/>
        <w:widowControl/>
        <w:suppressLineNumbers w:val="0"/>
        <w:jc w:val="center"/>
        <w:rPr>
          <w:rFonts w:ascii="Times New Roman" w:hAnsi="Times New Roman" w:cs="Times New Roman"/>
          <w:caps w:val="0"/>
          <w:smallCaps w:val="0"/>
        </w:rPr>
      </w:pPr>
      <w:r>
        <w:rPr>
          <w:rFonts w:hint="eastAsia" w:ascii="Times New Roman" w:hAnsi="Times New Roman" w:eastAsia="宋体" w:cs="Times New Roman"/>
          <w:caps w:val="0"/>
          <w:smallCaps w:val="0"/>
          <w:color w:val="000000"/>
          <w:kern w:val="0"/>
          <w:sz w:val="28"/>
          <w:szCs w:val="28"/>
          <w:lang w:val="en-US" w:eastAsia="zh-CN" w:bidi="ar"/>
        </w:rPr>
        <w:t xml:space="preserve">表 </w:t>
      </w:r>
      <w:r>
        <w:rPr>
          <w:rFonts w:hint="default" w:ascii="Times New Roman" w:hAnsi="Times New Roman" w:eastAsia="宋体" w:cs="Times New Roman"/>
          <w:caps w:val="0"/>
          <w:smallCaps w:val="0"/>
          <w:color w:val="000000"/>
          <w:kern w:val="0"/>
          <w:sz w:val="28"/>
          <w:szCs w:val="28"/>
          <w:lang w:val="en-US" w:eastAsia="zh-CN" w:bidi="ar"/>
        </w:rPr>
        <w:t>5.</w:t>
      </w:r>
      <w:r>
        <w:rPr>
          <w:rFonts w:hint="eastAsia" w:ascii="Times New Roman" w:hAnsi="Times New Roman" w:eastAsia="宋体" w:cs="Times New Roman"/>
          <w:caps w:val="0"/>
          <w:smallCaps w:val="0"/>
          <w:color w:val="000000"/>
          <w:kern w:val="0"/>
          <w:sz w:val="28"/>
          <w:szCs w:val="28"/>
          <w:lang w:val="en-US" w:eastAsia="zh-CN" w:bidi="ar"/>
        </w:rPr>
        <w:t>1</w:t>
      </w:r>
      <w:r>
        <w:rPr>
          <w:rFonts w:hint="default" w:ascii="Times New Roman" w:hAnsi="Times New Roman" w:eastAsia="宋体" w:cs="Times New Roman"/>
          <w:caps w:val="0"/>
          <w:smallCaps w:val="0"/>
          <w:color w:val="000000"/>
          <w:kern w:val="0"/>
          <w:sz w:val="28"/>
          <w:szCs w:val="28"/>
          <w:lang w:val="en-US" w:eastAsia="zh-CN" w:bidi="ar"/>
        </w:rPr>
        <w:t>-</w:t>
      </w:r>
      <w:r>
        <w:rPr>
          <w:rFonts w:hint="eastAsia" w:ascii="Times New Roman" w:hAnsi="Times New Roman" w:eastAsia="宋体" w:cs="Times New Roman"/>
          <w:caps w:val="0"/>
          <w:smallCaps w:val="0"/>
          <w:color w:val="000000"/>
          <w:kern w:val="0"/>
          <w:sz w:val="28"/>
          <w:szCs w:val="28"/>
          <w:lang w:val="en-US" w:eastAsia="zh-CN" w:bidi="ar"/>
        </w:rPr>
        <w:t>2</w:t>
      </w:r>
      <w:r>
        <w:rPr>
          <w:rFonts w:hint="default" w:ascii="Times New Roman" w:hAnsi="Times New Roman" w:eastAsia="宋体" w:cs="Times New Roman"/>
          <w:caps w:val="0"/>
          <w:smallCaps w:val="0"/>
          <w:color w:val="000000"/>
          <w:kern w:val="0"/>
          <w:sz w:val="28"/>
          <w:szCs w:val="28"/>
          <w:lang w:val="en-US" w:eastAsia="zh-CN" w:bidi="ar"/>
        </w:rPr>
        <w:t xml:space="preserve"> </w:t>
      </w:r>
      <w:r>
        <w:rPr>
          <w:rFonts w:hint="eastAsia" w:ascii="Times New Roman" w:hAnsi="Times New Roman" w:eastAsia="宋体" w:cs="Times New Roman"/>
          <w:caps w:val="0"/>
          <w:smallCaps w:val="0"/>
          <w:color w:val="000000"/>
          <w:kern w:val="0"/>
          <w:sz w:val="28"/>
          <w:szCs w:val="28"/>
          <w:lang w:val="en-US" w:eastAsia="zh-CN" w:bidi="ar"/>
        </w:rPr>
        <w:t>数模率定、验证计算条件列表</w:t>
      </w:r>
    </w:p>
    <w:p>
      <w:pPr>
        <w:keepNext w:val="0"/>
        <w:keepLines w:val="0"/>
        <w:widowControl/>
        <w:suppressLineNumbers w:val="0"/>
        <w:ind w:left="0" w:leftChars="0" w:firstLine="0" w:firstLineChars="0"/>
        <w:jc w:val="left"/>
        <w:rPr>
          <w:rFonts w:ascii="Times New Roman" w:hAnsi="Times New Roman" w:cs="Times New Roman"/>
          <w:caps w:val="0"/>
          <w:smallCaps w:val="0"/>
        </w:rPr>
      </w:pPr>
      <w:r>
        <w:rPr>
          <w:rFonts w:ascii="Times New Roman" w:hAnsi="Times New Roman" w:eastAsia="宋体" w:cs="Times New Roman"/>
          <w:caps w:val="0"/>
          <w:smallCaps w:val="0"/>
          <w:kern w:val="0"/>
          <w:sz w:val="24"/>
          <w:szCs w:val="24"/>
          <w:lang w:val="en-US" w:eastAsia="zh-CN" w:bidi="ar"/>
        </w:rPr>
        <w:drawing>
          <wp:inline distT="0" distB="0" distL="114300" distR="114300">
            <wp:extent cx="5450205" cy="2018665"/>
            <wp:effectExtent l="0" t="0" r="17145" b="635"/>
            <wp:docPr id="181" name="图片 18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81" descr="IMG_256"/>
                    <pic:cNvPicPr>
                      <a:picLocks noChangeAspect="1"/>
                    </pic:cNvPicPr>
                  </pic:nvPicPr>
                  <pic:blipFill>
                    <a:blip r:embed="rId164"/>
                    <a:stretch>
                      <a:fillRect/>
                    </a:stretch>
                  </pic:blipFill>
                  <pic:spPr>
                    <a:xfrm>
                      <a:off x="0" y="0"/>
                      <a:ext cx="5450205" cy="2018665"/>
                    </a:xfrm>
                    <a:prstGeom prst="rect">
                      <a:avLst/>
                    </a:prstGeom>
                    <a:noFill/>
                    <a:ln w="9525">
                      <a:noFill/>
                    </a:ln>
                  </pic:spPr>
                </pic:pic>
              </a:graphicData>
            </a:graphic>
          </wp:inline>
        </w:drawing>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1</w:t>
      </w:r>
      <w:r>
        <w:rPr>
          <w:rFonts w:hint="eastAsia" w:ascii="Times New Roman" w:hAnsi="Times New Roman" w:cs="Times New Roman"/>
          <w:caps w:val="0"/>
          <w:smallCaps w:val="0"/>
          <w:lang w:val="en-US" w:eastAsia="zh-CN"/>
        </w:rPr>
        <w:t xml:space="preserve">）水位率定、验证结果分析 </w:t>
      </w:r>
    </w:p>
    <w:p>
      <w:pPr>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 xml:space="preserve">从表 </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3</w:t>
      </w:r>
      <w:r>
        <w:rPr>
          <w:rFonts w:hint="default" w:ascii="Times New Roman" w:hAnsi="Times New Roman" w:cs="Times New Roman"/>
          <w:caps w:val="0"/>
          <w:smallCaps w:val="0"/>
          <w:lang w:val="en-US" w:eastAsia="zh-CN"/>
        </w:rPr>
        <w:t xml:space="preserve"> </w:t>
      </w:r>
      <w:r>
        <w:rPr>
          <w:rFonts w:hint="eastAsia" w:ascii="Times New Roman" w:hAnsi="Times New Roman" w:cs="Times New Roman"/>
          <w:caps w:val="0"/>
          <w:smallCaps w:val="0"/>
          <w:lang w:val="en-US" w:eastAsia="zh-CN"/>
        </w:rPr>
        <w:t xml:space="preserve">可看出：各流量级下，率定、验证误差在 </w:t>
      </w:r>
      <w:r>
        <w:rPr>
          <w:rFonts w:hint="default" w:ascii="Times New Roman" w:hAnsi="Times New Roman" w:cs="Times New Roman"/>
          <w:caps w:val="0"/>
          <w:smallCaps w:val="0"/>
          <w:lang w:val="en-US" w:eastAsia="zh-CN"/>
        </w:rPr>
        <w:t xml:space="preserve">3.0cm </w:t>
      </w:r>
      <w:r>
        <w:rPr>
          <w:rFonts w:hint="eastAsia" w:ascii="Times New Roman" w:hAnsi="Times New Roman" w:cs="Times New Roman"/>
          <w:caps w:val="0"/>
          <w:smallCaps w:val="0"/>
          <w:lang w:val="en-US" w:eastAsia="zh-CN"/>
        </w:rPr>
        <w:t>以内，计算值与实测值相差较小。因此，水位率定验证结果较好。</w:t>
      </w:r>
    </w:p>
    <w:p>
      <w:pPr>
        <w:keepNext w:val="0"/>
        <w:keepLines w:val="0"/>
        <w:widowControl/>
        <w:suppressLineNumbers w:val="0"/>
        <w:jc w:val="center"/>
        <w:rPr>
          <w:rFonts w:ascii="Times New Roman" w:hAnsi="Times New Roman" w:cs="Times New Roman"/>
          <w:caps w:val="0"/>
          <w:smallCaps w:val="0"/>
        </w:rPr>
      </w:pPr>
      <w:r>
        <w:rPr>
          <w:rFonts w:hint="eastAsia" w:ascii="Times New Roman" w:hAnsi="Times New Roman" w:eastAsia="宋体" w:cs="Times New Roman"/>
          <w:caps w:val="0"/>
          <w:smallCaps w:val="0"/>
          <w:color w:val="000000"/>
          <w:kern w:val="0"/>
          <w:sz w:val="28"/>
          <w:szCs w:val="28"/>
          <w:lang w:val="en-US" w:eastAsia="zh-CN" w:bidi="ar"/>
        </w:rPr>
        <w:t xml:space="preserve">表 </w:t>
      </w:r>
      <w:r>
        <w:rPr>
          <w:rFonts w:hint="default" w:ascii="Times New Roman" w:hAnsi="Times New Roman" w:eastAsia="宋体" w:cs="Times New Roman"/>
          <w:caps w:val="0"/>
          <w:smallCaps w:val="0"/>
          <w:color w:val="000000"/>
          <w:kern w:val="0"/>
          <w:sz w:val="28"/>
          <w:szCs w:val="28"/>
          <w:lang w:val="en-US" w:eastAsia="zh-CN" w:bidi="ar"/>
        </w:rPr>
        <w:t>5.</w:t>
      </w:r>
      <w:r>
        <w:rPr>
          <w:rFonts w:hint="eastAsia" w:ascii="Times New Roman" w:hAnsi="Times New Roman" w:eastAsia="宋体" w:cs="Times New Roman"/>
          <w:caps w:val="0"/>
          <w:smallCaps w:val="0"/>
          <w:color w:val="000000"/>
          <w:kern w:val="0"/>
          <w:sz w:val="28"/>
          <w:szCs w:val="28"/>
          <w:lang w:val="en-US" w:eastAsia="zh-CN" w:bidi="ar"/>
        </w:rPr>
        <w:t>1</w:t>
      </w:r>
      <w:r>
        <w:rPr>
          <w:rFonts w:hint="default" w:ascii="Times New Roman" w:hAnsi="Times New Roman" w:eastAsia="宋体" w:cs="Times New Roman"/>
          <w:caps w:val="0"/>
          <w:smallCaps w:val="0"/>
          <w:color w:val="000000"/>
          <w:kern w:val="0"/>
          <w:sz w:val="28"/>
          <w:szCs w:val="28"/>
          <w:lang w:val="en-US" w:eastAsia="zh-CN" w:bidi="ar"/>
        </w:rPr>
        <w:t>-</w:t>
      </w:r>
      <w:r>
        <w:rPr>
          <w:rFonts w:hint="eastAsia" w:ascii="Times New Roman" w:hAnsi="Times New Roman" w:eastAsia="宋体" w:cs="Times New Roman"/>
          <w:caps w:val="0"/>
          <w:smallCaps w:val="0"/>
          <w:color w:val="000000"/>
          <w:kern w:val="0"/>
          <w:sz w:val="28"/>
          <w:szCs w:val="28"/>
          <w:lang w:val="en-US" w:eastAsia="zh-CN" w:bidi="ar"/>
        </w:rPr>
        <w:t>3</w:t>
      </w:r>
      <w:r>
        <w:rPr>
          <w:rFonts w:hint="default" w:ascii="Times New Roman" w:hAnsi="Times New Roman" w:eastAsia="宋体" w:cs="Times New Roman"/>
          <w:caps w:val="0"/>
          <w:smallCaps w:val="0"/>
          <w:color w:val="000000"/>
          <w:kern w:val="0"/>
          <w:sz w:val="28"/>
          <w:szCs w:val="28"/>
          <w:lang w:val="en-US" w:eastAsia="zh-CN" w:bidi="ar"/>
        </w:rPr>
        <w:t xml:space="preserve"> </w:t>
      </w:r>
      <w:r>
        <w:rPr>
          <w:rFonts w:hint="eastAsia" w:ascii="Times New Roman" w:hAnsi="Times New Roman" w:eastAsia="宋体" w:cs="Times New Roman"/>
          <w:caps w:val="0"/>
          <w:smallCaps w:val="0"/>
          <w:color w:val="000000"/>
          <w:kern w:val="0"/>
          <w:sz w:val="28"/>
          <w:szCs w:val="28"/>
          <w:lang w:val="en-US" w:eastAsia="zh-CN" w:bidi="ar"/>
        </w:rPr>
        <w:t>营田河段沿程水位验证结果表（单位：</w:t>
      </w:r>
      <w:r>
        <w:rPr>
          <w:rFonts w:hint="default" w:ascii="Times New Roman" w:hAnsi="Times New Roman" w:eastAsia="宋体" w:cs="Times New Roman"/>
          <w:caps w:val="0"/>
          <w:smallCaps w:val="0"/>
          <w:color w:val="000000"/>
          <w:kern w:val="0"/>
          <w:sz w:val="28"/>
          <w:szCs w:val="28"/>
          <w:lang w:val="en-US" w:eastAsia="zh-CN" w:bidi="ar"/>
        </w:rPr>
        <w:t>m</w:t>
      </w:r>
      <w:r>
        <w:rPr>
          <w:rFonts w:hint="eastAsia" w:ascii="Times New Roman" w:hAnsi="Times New Roman" w:eastAsia="宋体" w:cs="Times New Roman"/>
          <w:caps w:val="0"/>
          <w:smallCaps w:val="0"/>
          <w:color w:val="000000"/>
          <w:kern w:val="0"/>
          <w:sz w:val="28"/>
          <w:szCs w:val="28"/>
          <w:lang w:val="en-US" w:eastAsia="zh-CN" w:bidi="ar"/>
        </w:rPr>
        <w:t>）</w:t>
      </w:r>
    </w:p>
    <w:p>
      <w:pPr>
        <w:keepNext w:val="0"/>
        <w:keepLines w:val="0"/>
        <w:widowControl/>
        <w:suppressLineNumbers w:val="0"/>
        <w:ind w:left="0" w:leftChars="0" w:firstLine="0" w:firstLineChars="0"/>
        <w:jc w:val="left"/>
        <w:rPr>
          <w:rFonts w:ascii="Times New Roman" w:hAnsi="Times New Roman" w:cs="Times New Roman"/>
          <w:caps w:val="0"/>
          <w:smallCaps w:val="0"/>
        </w:rPr>
      </w:pPr>
      <w:r>
        <w:rPr>
          <w:rFonts w:ascii="Times New Roman" w:hAnsi="Times New Roman" w:eastAsia="宋体" w:cs="Times New Roman"/>
          <w:caps w:val="0"/>
          <w:smallCaps w:val="0"/>
          <w:kern w:val="0"/>
          <w:sz w:val="24"/>
          <w:szCs w:val="24"/>
          <w:lang w:val="en-US" w:eastAsia="zh-CN" w:bidi="ar"/>
        </w:rPr>
        <w:drawing>
          <wp:inline distT="0" distB="0" distL="114300" distR="114300">
            <wp:extent cx="5419090" cy="1014730"/>
            <wp:effectExtent l="0" t="0" r="10160" b="13970"/>
            <wp:docPr id="182" name="图片 18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82" descr="IMG_256"/>
                    <pic:cNvPicPr>
                      <a:picLocks noChangeAspect="1"/>
                    </pic:cNvPicPr>
                  </pic:nvPicPr>
                  <pic:blipFill>
                    <a:blip r:embed="rId165"/>
                    <a:stretch>
                      <a:fillRect/>
                    </a:stretch>
                  </pic:blipFill>
                  <pic:spPr>
                    <a:xfrm>
                      <a:off x="0" y="0"/>
                      <a:ext cx="5419090" cy="1014730"/>
                    </a:xfrm>
                    <a:prstGeom prst="rect">
                      <a:avLst/>
                    </a:prstGeom>
                    <a:noFill/>
                    <a:ln w="9525">
                      <a:noFill/>
                    </a:ln>
                  </pic:spPr>
                </pic:pic>
              </a:graphicData>
            </a:graphic>
          </wp:inline>
        </w:drawing>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2</w:t>
      </w:r>
      <w:r>
        <w:rPr>
          <w:rFonts w:hint="eastAsia" w:ascii="Times New Roman" w:hAnsi="Times New Roman" w:cs="Times New Roman"/>
          <w:caps w:val="0"/>
          <w:smallCaps w:val="0"/>
          <w:lang w:val="en-US" w:eastAsia="zh-CN"/>
        </w:rPr>
        <w:t xml:space="preserve">）断面流速分布率定验证结果分析 </w:t>
      </w:r>
    </w:p>
    <w:p>
      <w:pPr>
        <w:keepNext w:val="0"/>
        <w:keepLines w:val="0"/>
        <w:widowControl/>
        <w:suppressLineNumbers w:val="0"/>
        <w:jc w:val="center"/>
        <w:rPr>
          <w:rFonts w:ascii="Times New Roman" w:hAnsi="Times New Roman" w:cs="Times New Roman"/>
          <w:caps w:val="0"/>
          <w:smallCaps w:val="0"/>
        </w:rPr>
      </w:pPr>
      <w:r>
        <w:rPr>
          <w:rFonts w:hint="eastAsia" w:ascii="Times New Roman" w:hAnsi="Times New Roman" w:eastAsia="宋体" w:cs="Times New Roman"/>
          <w:caps w:val="0"/>
          <w:smallCaps w:val="0"/>
          <w:color w:val="000000"/>
          <w:kern w:val="0"/>
          <w:sz w:val="28"/>
          <w:szCs w:val="28"/>
          <w:lang w:val="en-US" w:eastAsia="zh-CN" w:bidi="ar"/>
        </w:rPr>
        <w:t xml:space="preserve">表 </w:t>
      </w:r>
      <w:r>
        <w:rPr>
          <w:rFonts w:hint="default" w:ascii="Times New Roman" w:hAnsi="Times New Roman" w:eastAsia="宋体" w:cs="Times New Roman"/>
          <w:caps w:val="0"/>
          <w:smallCaps w:val="0"/>
          <w:color w:val="000000"/>
          <w:kern w:val="0"/>
          <w:sz w:val="28"/>
          <w:szCs w:val="28"/>
          <w:lang w:val="en-US" w:eastAsia="zh-CN" w:bidi="ar"/>
        </w:rPr>
        <w:t>5.</w:t>
      </w:r>
      <w:r>
        <w:rPr>
          <w:rFonts w:hint="eastAsia" w:ascii="Times New Roman" w:hAnsi="Times New Roman" w:eastAsia="宋体" w:cs="Times New Roman"/>
          <w:caps w:val="0"/>
          <w:smallCaps w:val="0"/>
          <w:color w:val="000000"/>
          <w:kern w:val="0"/>
          <w:sz w:val="28"/>
          <w:szCs w:val="28"/>
          <w:lang w:val="en-US" w:eastAsia="zh-CN" w:bidi="ar"/>
        </w:rPr>
        <w:t>1</w:t>
      </w:r>
      <w:r>
        <w:rPr>
          <w:rFonts w:hint="default" w:ascii="Times New Roman" w:hAnsi="Times New Roman" w:eastAsia="宋体" w:cs="Times New Roman"/>
          <w:caps w:val="0"/>
          <w:smallCaps w:val="0"/>
          <w:color w:val="000000"/>
          <w:kern w:val="0"/>
          <w:sz w:val="28"/>
          <w:szCs w:val="28"/>
          <w:lang w:val="en-US" w:eastAsia="zh-CN" w:bidi="ar"/>
        </w:rPr>
        <w:t>-</w:t>
      </w:r>
      <w:r>
        <w:rPr>
          <w:rFonts w:hint="eastAsia" w:ascii="Times New Roman" w:hAnsi="Times New Roman" w:eastAsia="宋体" w:cs="Times New Roman"/>
          <w:caps w:val="0"/>
          <w:smallCaps w:val="0"/>
          <w:color w:val="000000"/>
          <w:kern w:val="0"/>
          <w:sz w:val="28"/>
          <w:szCs w:val="28"/>
          <w:lang w:val="en-US" w:eastAsia="zh-CN" w:bidi="ar"/>
        </w:rPr>
        <w:t>4</w:t>
      </w:r>
      <w:r>
        <w:rPr>
          <w:rFonts w:hint="default" w:ascii="Times New Roman" w:hAnsi="Times New Roman" w:eastAsia="宋体" w:cs="Times New Roman"/>
          <w:caps w:val="0"/>
          <w:smallCaps w:val="0"/>
          <w:color w:val="000000"/>
          <w:kern w:val="0"/>
          <w:sz w:val="28"/>
          <w:szCs w:val="28"/>
          <w:lang w:val="en-US" w:eastAsia="zh-CN" w:bidi="ar"/>
        </w:rPr>
        <w:t xml:space="preserve"> </w:t>
      </w:r>
      <w:r>
        <w:rPr>
          <w:rFonts w:hint="eastAsia" w:ascii="Times New Roman" w:hAnsi="Times New Roman" w:eastAsia="宋体" w:cs="Times New Roman"/>
          <w:caps w:val="0"/>
          <w:smallCaps w:val="0"/>
          <w:color w:val="000000"/>
          <w:kern w:val="0"/>
          <w:sz w:val="28"/>
          <w:szCs w:val="28"/>
          <w:lang w:val="en-US" w:eastAsia="zh-CN" w:bidi="ar"/>
        </w:rPr>
        <w:t>营田河段沿程断面流速验证结果表（单位：</w:t>
      </w:r>
      <w:r>
        <w:rPr>
          <w:rFonts w:hint="default" w:ascii="Times New Roman" w:hAnsi="Times New Roman" w:eastAsia="宋体" w:cs="Times New Roman"/>
          <w:caps w:val="0"/>
          <w:smallCaps w:val="0"/>
          <w:color w:val="000000"/>
          <w:kern w:val="0"/>
          <w:sz w:val="28"/>
          <w:szCs w:val="28"/>
          <w:lang w:val="en-US" w:eastAsia="zh-CN" w:bidi="ar"/>
        </w:rPr>
        <w:t>m/s</w:t>
      </w:r>
      <w:r>
        <w:rPr>
          <w:rFonts w:hint="eastAsia" w:ascii="Times New Roman" w:hAnsi="Times New Roman" w:eastAsia="宋体" w:cs="Times New Roman"/>
          <w:caps w:val="0"/>
          <w:smallCaps w:val="0"/>
          <w:color w:val="000000"/>
          <w:kern w:val="0"/>
          <w:sz w:val="28"/>
          <w:szCs w:val="28"/>
          <w:lang w:val="en-US" w:eastAsia="zh-CN" w:bidi="ar"/>
        </w:rPr>
        <w:t>）</w:t>
      </w:r>
    </w:p>
    <w:p>
      <w:pPr>
        <w:keepNext w:val="0"/>
        <w:keepLines w:val="0"/>
        <w:widowControl/>
        <w:suppressLineNumbers w:val="0"/>
        <w:ind w:left="0" w:leftChars="0" w:firstLine="0" w:firstLineChars="0"/>
        <w:jc w:val="left"/>
        <w:rPr>
          <w:rFonts w:ascii="Times New Roman" w:hAnsi="Times New Roman" w:cs="Times New Roman"/>
          <w:caps w:val="0"/>
          <w:smallCaps w:val="0"/>
        </w:rPr>
      </w:pPr>
      <w:r>
        <w:rPr>
          <w:rFonts w:ascii="Times New Roman" w:hAnsi="Times New Roman" w:eastAsia="宋体" w:cs="Times New Roman"/>
          <w:caps w:val="0"/>
          <w:smallCaps w:val="0"/>
          <w:kern w:val="0"/>
          <w:sz w:val="24"/>
          <w:szCs w:val="24"/>
          <w:lang w:val="en-US" w:eastAsia="zh-CN" w:bidi="ar"/>
        </w:rPr>
        <w:drawing>
          <wp:inline distT="0" distB="0" distL="114300" distR="114300">
            <wp:extent cx="5437505" cy="1172210"/>
            <wp:effectExtent l="0" t="0" r="10795" b="8890"/>
            <wp:docPr id="183" name="图片 18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IMG_256"/>
                    <pic:cNvPicPr>
                      <a:picLocks noChangeAspect="1"/>
                    </pic:cNvPicPr>
                  </pic:nvPicPr>
                  <pic:blipFill>
                    <a:blip r:embed="rId166"/>
                    <a:stretch>
                      <a:fillRect/>
                    </a:stretch>
                  </pic:blipFill>
                  <pic:spPr>
                    <a:xfrm>
                      <a:off x="0" y="0"/>
                      <a:ext cx="5437505" cy="1172210"/>
                    </a:xfrm>
                    <a:prstGeom prst="rect">
                      <a:avLst/>
                    </a:prstGeom>
                    <a:noFill/>
                    <a:ln w="9525">
                      <a:noFill/>
                    </a:ln>
                  </pic:spPr>
                </pic:pic>
              </a:graphicData>
            </a:graphic>
          </wp:inline>
        </w:drawing>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3</w:t>
      </w:r>
      <w:r>
        <w:rPr>
          <w:rFonts w:hint="eastAsia" w:ascii="Times New Roman" w:hAnsi="Times New Roman" w:cs="Times New Roman"/>
          <w:caps w:val="0"/>
          <w:smallCaps w:val="0"/>
          <w:lang w:val="en-US" w:eastAsia="zh-CN"/>
        </w:rPr>
        <w:t xml:space="preserve">）分流比验证分析 </w:t>
      </w:r>
    </w:p>
    <w:p>
      <w:pPr>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 xml:space="preserve">表 </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5</w:t>
      </w:r>
      <w:r>
        <w:rPr>
          <w:rFonts w:hint="default" w:ascii="Times New Roman" w:hAnsi="Times New Roman" w:cs="Times New Roman"/>
          <w:caps w:val="0"/>
          <w:smallCaps w:val="0"/>
          <w:lang w:val="en-US" w:eastAsia="zh-CN"/>
        </w:rPr>
        <w:t xml:space="preserve"> </w:t>
      </w:r>
      <w:r>
        <w:rPr>
          <w:rFonts w:hint="eastAsia" w:ascii="Times New Roman" w:hAnsi="Times New Roman" w:cs="Times New Roman"/>
          <w:caps w:val="0"/>
          <w:smallCaps w:val="0"/>
          <w:lang w:val="en-US" w:eastAsia="zh-CN"/>
        </w:rPr>
        <w:t>为分流比对比结果。</w:t>
      </w:r>
    </w:p>
    <w:p>
      <w:pPr>
        <w:keepNext w:val="0"/>
        <w:keepLines w:val="0"/>
        <w:widowControl/>
        <w:suppressLineNumbers w:val="0"/>
        <w:jc w:val="center"/>
        <w:rPr>
          <w:rFonts w:ascii="Times New Roman" w:hAnsi="Times New Roman" w:cs="Times New Roman"/>
          <w:caps w:val="0"/>
          <w:smallCaps w:val="0"/>
        </w:rPr>
      </w:pPr>
      <w:r>
        <w:rPr>
          <w:rFonts w:hint="eastAsia" w:ascii="Times New Roman" w:hAnsi="Times New Roman" w:eastAsia="宋体" w:cs="Times New Roman"/>
          <w:caps w:val="0"/>
          <w:smallCaps w:val="0"/>
          <w:color w:val="000000"/>
          <w:kern w:val="0"/>
          <w:sz w:val="28"/>
          <w:szCs w:val="28"/>
          <w:lang w:val="en-US" w:eastAsia="zh-CN" w:bidi="ar"/>
        </w:rPr>
        <w:t xml:space="preserve">表 </w:t>
      </w:r>
      <w:r>
        <w:rPr>
          <w:rFonts w:hint="default" w:ascii="Times New Roman" w:hAnsi="Times New Roman" w:eastAsia="宋体" w:cs="Times New Roman"/>
          <w:caps w:val="0"/>
          <w:smallCaps w:val="0"/>
          <w:color w:val="000000"/>
          <w:kern w:val="0"/>
          <w:sz w:val="28"/>
          <w:szCs w:val="28"/>
          <w:lang w:val="en-US" w:eastAsia="zh-CN" w:bidi="ar"/>
        </w:rPr>
        <w:t>5.</w:t>
      </w:r>
      <w:r>
        <w:rPr>
          <w:rFonts w:hint="eastAsia" w:ascii="Times New Roman" w:hAnsi="Times New Roman" w:eastAsia="宋体" w:cs="Times New Roman"/>
          <w:caps w:val="0"/>
          <w:smallCaps w:val="0"/>
          <w:color w:val="000000"/>
          <w:kern w:val="0"/>
          <w:sz w:val="28"/>
          <w:szCs w:val="28"/>
          <w:lang w:val="en-US" w:eastAsia="zh-CN" w:bidi="ar"/>
        </w:rPr>
        <w:t>1</w:t>
      </w:r>
      <w:r>
        <w:rPr>
          <w:rFonts w:hint="default" w:ascii="Times New Roman" w:hAnsi="Times New Roman" w:eastAsia="宋体" w:cs="Times New Roman"/>
          <w:caps w:val="0"/>
          <w:smallCaps w:val="0"/>
          <w:color w:val="000000"/>
          <w:kern w:val="0"/>
          <w:sz w:val="28"/>
          <w:szCs w:val="28"/>
          <w:lang w:val="en-US" w:eastAsia="zh-CN" w:bidi="ar"/>
        </w:rPr>
        <w:t>-</w:t>
      </w:r>
      <w:r>
        <w:rPr>
          <w:rFonts w:hint="eastAsia" w:ascii="Times New Roman" w:hAnsi="Times New Roman" w:eastAsia="宋体" w:cs="Times New Roman"/>
          <w:caps w:val="0"/>
          <w:smallCaps w:val="0"/>
          <w:color w:val="000000"/>
          <w:kern w:val="0"/>
          <w:sz w:val="28"/>
          <w:szCs w:val="28"/>
          <w:lang w:val="en-US" w:eastAsia="zh-CN" w:bidi="ar"/>
        </w:rPr>
        <w:t>5</w:t>
      </w:r>
      <w:r>
        <w:rPr>
          <w:rFonts w:hint="default" w:ascii="Times New Roman" w:hAnsi="Times New Roman" w:eastAsia="宋体" w:cs="Times New Roman"/>
          <w:caps w:val="0"/>
          <w:smallCaps w:val="0"/>
          <w:color w:val="000000"/>
          <w:kern w:val="0"/>
          <w:sz w:val="28"/>
          <w:szCs w:val="28"/>
          <w:lang w:val="en-US" w:eastAsia="zh-CN" w:bidi="ar"/>
        </w:rPr>
        <w:t xml:space="preserve"> </w:t>
      </w:r>
      <w:r>
        <w:rPr>
          <w:rFonts w:hint="eastAsia" w:ascii="Times New Roman" w:hAnsi="Times New Roman" w:eastAsia="宋体" w:cs="Times New Roman"/>
          <w:caps w:val="0"/>
          <w:smallCaps w:val="0"/>
          <w:color w:val="000000"/>
          <w:kern w:val="0"/>
          <w:sz w:val="28"/>
          <w:szCs w:val="28"/>
          <w:lang w:val="en-US" w:eastAsia="zh-CN" w:bidi="ar"/>
        </w:rPr>
        <w:t>营田洲分流比验证结果表（单位：</w:t>
      </w:r>
      <w:r>
        <w:rPr>
          <w:rFonts w:hint="default" w:ascii="Times New Roman" w:hAnsi="Times New Roman" w:eastAsia="宋体" w:cs="Times New Roman"/>
          <w:caps w:val="0"/>
          <w:smallCaps w:val="0"/>
          <w:color w:val="000000"/>
          <w:kern w:val="0"/>
          <w:sz w:val="28"/>
          <w:szCs w:val="28"/>
          <w:lang w:val="en-US" w:eastAsia="zh-CN" w:bidi="ar"/>
        </w:rPr>
        <w:t>%</w:t>
      </w:r>
      <w:r>
        <w:rPr>
          <w:rFonts w:hint="eastAsia" w:ascii="Times New Roman" w:hAnsi="Times New Roman" w:eastAsia="宋体" w:cs="Times New Roman"/>
          <w:caps w:val="0"/>
          <w:smallCaps w:val="0"/>
          <w:color w:val="000000"/>
          <w:kern w:val="0"/>
          <w:sz w:val="28"/>
          <w:szCs w:val="28"/>
          <w:lang w:val="en-US" w:eastAsia="zh-CN" w:bidi="ar"/>
        </w:rPr>
        <w:t>）</w:t>
      </w:r>
    </w:p>
    <w:p>
      <w:pPr>
        <w:keepNext w:val="0"/>
        <w:keepLines w:val="0"/>
        <w:widowControl/>
        <w:suppressLineNumbers w:val="0"/>
        <w:ind w:left="0" w:leftChars="0" w:firstLine="0" w:firstLineChars="0"/>
        <w:jc w:val="left"/>
        <w:rPr>
          <w:rFonts w:ascii="Times New Roman" w:hAnsi="Times New Roman" w:cs="Times New Roman"/>
          <w:caps w:val="0"/>
          <w:smallCaps w:val="0"/>
        </w:rPr>
      </w:pPr>
      <w:r>
        <w:rPr>
          <w:rFonts w:ascii="Times New Roman" w:hAnsi="Times New Roman" w:eastAsia="宋体" w:cs="Times New Roman"/>
          <w:caps w:val="0"/>
          <w:smallCaps w:val="0"/>
          <w:kern w:val="0"/>
          <w:sz w:val="24"/>
          <w:szCs w:val="24"/>
          <w:lang w:val="en-US" w:eastAsia="zh-CN" w:bidi="ar"/>
        </w:rPr>
        <w:drawing>
          <wp:inline distT="0" distB="0" distL="114300" distR="114300">
            <wp:extent cx="5561330" cy="924560"/>
            <wp:effectExtent l="0" t="0" r="1270" b="8890"/>
            <wp:docPr id="184" name="图片 18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84" descr="IMG_256"/>
                    <pic:cNvPicPr>
                      <a:picLocks noChangeAspect="1"/>
                    </pic:cNvPicPr>
                  </pic:nvPicPr>
                  <pic:blipFill>
                    <a:blip r:embed="rId167"/>
                    <a:stretch>
                      <a:fillRect/>
                    </a:stretch>
                  </pic:blipFill>
                  <pic:spPr>
                    <a:xfrm>
                      <a:off x="0" y="0"/>
                      <a:ext cx="5561330" cy="924560"/>
                    </a:xfrm>
                    <a:prstGeom prst="rect">
                      <a:avLst/>
                    </a:prstGeom>
                    <a:noFill/>
                    <a:ln w="9525">
                      <a:noFill/>
                    </a:ln>
                  </pic:spPr>
                </pic:pic>
              </a:graphicData>
            </a:graphic>
          </wp:inline>
        </w:drawing>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4</w:t>
      </w:r>
      <w:r>
        <w:rPr>
          <w:rFonts w:hint="eastAsia" w:ascii="Times New Roman" w:hAnsi="Times New Roman" w:cs="Times New Roman"/>
          <w:caps w:val="0"/>
          <w:smallCaps w:val="0"/>
          <w:lang w:val="en-US" w:eastAsia="zh-CN"/>
        </w:rPr>
        <w:t xml:space="preserve">）数模率定验证计算小结 </w:t>
      </w:r>
    </w:p>
    <w:p>
      <w:pPr>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 xml:space="preserve">数模率定验证结果表明，本报告采用的河道平面二维水流数学模型能较好模拟工程计算河段的水流运动，验证结果与实测情况符合较好，说明该数学模型计算方法可行，参系数取值合理，它可用于计算和分析拟建工程对河道水位及流场的影响。 </w:t>
      </w:r>
    </w:p>
    <w:p>
      <w:pPr>
        <w:pStyle w:val="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工程影响计算分析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本报告主要通过计算拟建工程兴建前、后河道水位、流场的变化，来评估工程对河道行洪及河势的影响。工程影响计算的范围为营田洲洲头上游至沉沙港附近，长约 </w:t>
      </w:r>
      <w:r>
        <w:rPr>
          <w:rFonts w:hint="default" w:ascii="Times New Roman" w:hAnsi="Times New Roman" w:cs="Times New Roman"/>
          <w:caps w:val="0"/>
          <w:smallCaps w:val="0"/>
          <w:lang w:val="en-US" w:eastAsia="zh-CN"/>
        </w:rPr>
        <w:t xml:space="preserve">15km </w:t>
      </w:r>
      <w:r>
        <w:rPr>
          <w:rFonts w:hint="eastAsia" w:ascii="Times New Roman" w:hAnsi="Times New Roman" w:cs="Times New Roman"/>
          <w:caps w:val="0"/>
          <w:smallCaps w:val="0"/>
          <w:lang w:val="en-US" w:eastAsia="zh-CN"/>
        </w:rPr>
        <w:t xml:space="preserve">的河段。主要参、系数的取值与数学模型率定验证计算的取值相同。拟建工程实施后，主要通过改变工程局部河道地形来反映它对河道水位、流速的影响。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1、工程计算条件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拟建工程位于拟建码头位于湖南省岳阳市汨罗市屈原管理区湘江右岸，岳阳港汨罗港区推山咀作业区一期工程码头上游约 </w:t>
      </w:r>
      <w:r>
        <w:rPr>
          <w:rFonts w:hint="default" w:ascii="Times New Roman" w:hAnsi="Times New Roman" w:cs="Times New Roman"/>
          <w:caps w:val="0"/>
          <w:smallCaps w:val="0"/>
          <w:lang w:val="en-US" w:eastAsia="zh-CN"/>
        </w:rPr>
        <w:t xml:space="preserve">500m </w:t>
      </w:r>
      <w:r>
        <w:rPr>
          <w:rFonts w:hint="eastAsia" w:ascii="Times New Roman" w:hAnsi="Times New Roman" w:cs="Times New Roman"/>
          <w:caps w:val="0"/>
          <w:smallCaps w:val="0"/>
          <w:lang w:val="en-US" w:eastAsia="zh-CN"/>
        </w:rPr>
        <w:t xml:space="preserve">处。为评估拟建工程对河道行洪的最不利影响，采用洪水流量和多年平均流量两组计算条件，分别进行拟建工程对河道行洪水位及流速影响的计算分析。模型计算水文条件如表 </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6</w:t>
      </w:r>
      <w:r>
        <w:rPr>
          <w:rFonts w:hint="default" w:ascii="Times New Roman" w:hAnsi="Times New Roman" w:cs="Times New Roman"/>
          <w:caps w:val="0"/>
          <w:smallCaps w:val="0"/>
          <w:lang w:val="en-US" w:eastAsia="zh-CN"/>
        </w:rPr>
        <w:t xml:space="preserve"> </w:t>
      </w:r>
      <w:r>
        <w:rPr>
          <w:rFonts w:hint="eastAsia" w:ascii="Times New Roman" w:hAnsi="Times New Roman" w:cs="Times New Roman"/>
          <w:caps w:val="0"/>
          <w:smallCaps w:val="0"/>
          <w:lang w:val="en-US" w:eastAsia="zh-CN"/>
        </w:rPr>
        <w:t xml:space="preserve">所示。 </w:t>
      </w:r>
    </w:p>
    <w:p>
      <w:pPr>
        <w:bidi w:val="0"/>
        <w:jc w:val="center"/>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表 </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6</w:t>
      </w:r>
      <w:r>
        <w:rPr>
          <w:rFonts w:hint="default" w:ascii="Times New Roman" w:hAnsi="Times New Roman" w:cs="Times New Roman"/>
          <w:caps w:val="0"/>
          <w:smallCaps w:val="0"/>
          <w:lang w:val="en-US" w:eastAsia="zh-CN"/>
        </w:rPr>
        <w:t xml:space="preserve"> </w:t>
      </w:r>
      <w:r>
        <w:rPr>
          <w:rFonts w:hint="eastAsia" w:ascii="Times New Roman" w:hAnsi="Times New Roman" w:cs="Times New Roman"/>
          <w:caps w:val="0"/>
          <w:smallCaps w:val="0"/>
          <w:lang w:val="en-US" w:eastAsia="zh-CN"/>
        </w:rPr>
        <w:t>工程计算水流条件表（现状地形条件）</w:t>
      </w:r>
    </w:p>
    <w:p>
      <w:pPr>
        <w:keepNext w:val="0"/>
        <w:keepLines w:val="0"/>
        <w:widowControl/>
        <w:suppressLineNumbers w:val="0"/>
        <w:ind w:left="0" w:leftChars="0" w:firstLine="0" w:firstLineChars="0"/>
        <w:jc w:val="left"/>
        <w:rPr>
          <w:rFonts w:ascii="Times New Roman" w:hAnsi="Times New Roman" w:cs="Times New Roman"/>
          <w:caps w:val="0"/>
          <w:smallCaps w:val="0"/>
        </w:rPr>
      </w:pPr>
      <w:r>
        <w:rPr>
          <w:rFonts w:ascii="Times New Roman" w:hAnsi="Times New Roman" w:eastAsia="宋体" w:cs="Times New Roman"/>
          <w:caps w:val="0"/>
          <w:smallCaps w:val="0"/>
          <w:kern w:val="0"/>
          <w:sz w:val="24"/>
          <w:szCs w:val="24"/>
          <w:lang w:val="en-US" w:eastAsia="zh-CN" w:bidi="ar"/>
        </w:rPr>
        <w:drawing>
          <wp:inline distT="0" distB="0" distL="114300" distR="114300">
            <wp:extent cx="5522595" cy="1087755"/>
            <wp:effectExtent l="0" t="0" r="1905" b="17145"/>
            <wp:docPr id="185" name="图片 1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12" descr="IMG_256"/>
                    <pic:cNvPicPr>
                      <a:picLocks noChangeAspect="1"/>
                    </pic:cNvPicPr>
                  </pic:nvPicPr>
                  <pic:blipFill>
                    <a:blip r:embed="rId168"/>
                    <a:stretch>
                      <a:fillRect/>
                    </a:stretch>
                  </pic:blipFill>
                  <pic:spPr>
                    <a:xfrm>
                      <a:off x="0" y="0"/>
                      <a:ext cx="5522595" cy="1087755"/>
                    </a:xfrm>
                    <a:prstGeom prst="rect">
                      <a:avLst/>
                    </a:prstGeom>
                    <a:noFill/>
                    <a:ln w="9525">
                      <a:noFill/>
                    </a:ln>
                  </pic:spPr>
                </pic:pic>
              </a:graphicData>
            </a:graphic>
          </wp:inline>
        </w:drawing>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2、工程概化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拟建工程的主要阻水结构为码头平台，为使数模计算能反映拟建工程对河道水流的影响，一方面在网格划分时尽可能对工程局部进行网格加密处理，另一方面由于码头平台平面尺寸相对网格尺度仍较小，因此需采用一些概化处理方法来反映工程对河道水流的影响。工程概化的基本原则是使计算结果偏于安全，主要方法为局部糙率修正。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1</w:t>
      </w:r>
      <w:r>
        <w:rPr>
          <w:rFonts w:hint="eastAsia" w:ascii="Times New Roman" w:hAnsi="Times New Roman" w:cs="Times New Roman"/>
          <w:caps w:val="0"/>
          <w:smallCaps w:val="0"/>
          <w:lang w:val="en-US" w:eastAsia="zh-CN"/>
        </w:rPr>
        <w:t xml:space="preserve">）本报告数学模型采用混合网格剖分计算区域，网格大小与形状适应性能强。在布置阻水建筑物局部区域的计算网格时，根据阻水建筑物的位置和形状进行合理剖分，使该区域内网格单元与阻水建筑物在平面上重合；采用局部加密技术以提高阻水建筑物及其附近区域的模拟精度。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2</w:t>
      </w:r>
      <w:r>
        <w:rPr>
          <w:rFonts w:hint="eastAsia" w:ascii="Times New Roman" w:hAnsi="Times New Roman" w:cs="Times New Roman"/>
          <w:caps w:val="0"/>
          <w:smallCaps w:val="0"/>
          <w:lang w:val="en-US" w:eastAsia="zh-CN"/>
        </w:rPr>
        <w:t xml:space="preserve">）由于阻水建筑物与其范围内的计算网格单元在平面上重合，可直接根据建筑物高度修改相应网格节点的河底高程以反映工程兴建的影响。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3、工程行洪影响分析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1</w:t>
      </w:r>
      <w:r>
        <w:rPr>
          <w:rFonts w:hint="eastAsia" w:ascii="Times New Roman" w:hAnsi="Times New Roman" w:cs="Times New Roman"/>
          <w:caps w:val="0"/>
          <w:smallCaps w:val="0"/>
          <w:lang w:val="en-US" w:eastAsia="zh-CN"/>
        </w:rPr>
        <w:t>）水位影响分析</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表</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7为工程后水位最大变化值及主要壅水影响范围统计表。从表中可知，工程对行洪水位的影响较小，壅水影响主要集中在主桥墩上游局部水域内。</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在现状地形基础上，遭遇洪水流量条件，壅水最大值约</w:t>
      </w:r>
      <w:r>
        <w:rPr>
          <w:rFonts w:hint="default" w:ascii="Times New Roman" w:hAnsi="Times New Roman" w:cs="Times New Roman"/>
          <w:caps w:val="0"/>
          <w:smallCaps w:val="0"/>
          <w:lang w:val="en-US" w:eastAsia="zh-CN"/>
        </w:rPr>
        <w:t>1.1cm</w:t>
      </w:r>
      <w:r>
        <w:rPr>
          <w:rFonts w:hint="eastAsia" w:ascii="Times New Roman" w:hAnsi="Times New Roman" w:cs="Times New Roman"/>
          <w:caps w:val="0"/>
          <w:smallCaps w:val="0"/>
          <w:lang w:val="en-US" w:eastAsia="zh-CN"/>
        </w:rPr>
        <w:t>，壅水影响（大于</w:t>
      </w:r>
      <w:r>
        <w:rPr>
          <w:rFonts w:hint="default" w:ascii="Times New Roman" w:hAnsi="Times New Roman" w:cs="Times New Roman"/>
          <w:caps w:val="0"/>
          <w:smallCaps w:val="0"/>
          <w:lang w:val="en-US" w:eastAsia="zh-CN"/>
        </w:rPr>
        <w:t>0.3cm</w:t>
      </w:r>
      <w:r>
        <w:rPr>
          <w:rFonts w:hint="eastAsia" w:ascii="Times New Roman" w:hAnsi="Times New Roman" w:cs="Times New Roman"/>
          <w:caps w:val="0"/>
          <w:smallCaps w:val="0"/>
          <w:lang w:val="en-US" w:eastAsia="zh-CN"/>
        </w:rPr>
        <w:t>）主要集中在趸船上游</w:t>
      </w:r>
      <w:r>
        <w:rPr>
          <w:rFonts w:hint="default" w:ascii="Times New Roman" w:hAnsi="Times New Roman" w:cs="Times New Roman"/>
          <w:caps w:val="0"/>
          <w:smallCaps w:val="0"/>
          <w:lang w:val="en-US" w:eastAsia="zh-CN"/>
        </w:rPr>
        <w:t>65m</w:t>
      </w:r>
      <w:r>
        <w:rPr>
          <w:rFonts w:hint="eastAsia" w:ascii="Times New Roman" w:hAnsi="Times New Roman" w:cs="Times New Roman"/>
          <w:caps w:val="0"/>
          <w:smallCaps w:val="0"/>
          <w:lang w:val="en-US" w:eastAsia="zh-CN"/>
        </w:rPr>
        <w:t>，趸船外侧</w:t>
      </w:r>
      <w:r>
        <w:rPr>
          <w:rFonts w:hint="default" w:ascii="Times New Roman" w:hAnsi="Times New Roman" w:cs="Times New Roman"/>
          <w:caps w:val="0"/>
          <w:smallCaps w:val="0"/>
          <w:lang w:val="en-US" w:eastAsia="zh-CN"/>
        </w:rPr>
        <w:t>60m</w:t>
      </w:r>
      <w:r>
        <w:rPr>
          <w:rFonts w:hint="eastAsia" w:ascii="Times New Roman" w:hAnsi="Times New Roman" w:cs="Times New Roman"/>
          <w:caps w:val="0"/>
          <w:smallCaps w:val="0"/>
          <w:lang w:val="en-US" w:eastAsia="zh-CN"/>
        </w:rPr>
        <w:t>范围内；遭遇多年平均流量洪水条件，壅水最大值约</w:t>
      </w:r>
      <w:r>
        <w:rPr>
          <w:rFonts w:hint="default" w:ascii="Times New Roman" w:hAnsi="Times New Roman" w:cs="Times New Roman"/>
          <w:caps w:val="0"/>
          <w:smallCaps w:val="0"/>
          <w:lang w:val="en-US" w:eastAsia="zh-CN"/>
        </w:rPr>
        <w:t>0.7cm</w:t>
      </w:r>
      <w:r>
        <w:rPr>
          <w:rFonts w:hint="eastAsia" w:ascii="Times New Roman" w:hAnsi="Times New Roman" w:cs="Times New Roman"/>
          <w:caps w:val="0"/>
          <w:smallCaps w:val="0"/>
          <w:lang w:val="en-US" w:eastAsia="zh-CN"/>
        </w:rPr>
        <w:t>，壅水影响（大于</w:t>
      </w:r>
      <w:r>
        <w:rPr>
          <w:rFonts w:hint="default" w:ascii="Times New Roman" w:hAnsi="Times New Roman" w:cs="Times New Roman"/>
          <w:caps w:val="0"/>
          <w:smallCaps w:val="0"/>
          <w:lang w:val="en-US" w:eastAsia="zh-CN"/>
        </w:rPr>
        <w:t>0.3cm</w:t>
      </w:r>
      <w:r>
        <w:rPr>
          <w:rFonts w:hint="eastAsia" w:ascii="Times New Roman" w:hAnsi="Times New Roman" w:cs="Times New Roman"/>
          <w:caps w:val="0"/>
          <w:smallCaps w:val="0"/>
          <w:lang w:val="en-US" w:eastAsia="zh-CN"/>
        </w:rPr>
        <w:t>）主要集中在趸船上游</w:t>
      </w:r>
      <w:r>
        <w:rPr>
          <w:rFonts w:hint="default" w:ascii="Times New Roman" w:hAnsi="Times New Roman" w:cs="Times New Roman"/>
          <w:caps w:val="0"/>
          <w:smallCaps w:val="0"/>
          <w:lang w:val="en-US" w:eastAsia="zh-CN"/>
        </w:rPr>
        <w:t>35m</w:t>
      </w:r>
      <w:r>
        <w:rPr>
          <w:rFonts w:hint="eastAsia" w:ascii="Times New Roman" w:hAnsi="Times New Roman" w:cs="Times New Roman"/>
          <w:caps w:val="0"/>
          <w:smallCaps w:val="0"/>
          <w:lang w:val="en-US" w:eastAsia="zh-CN"/>
        </w:rPr>
        <w:t>，趸船外侧</w:t>
      </w:r>
      <w:r>
        <w:rPr>
          <w:rFonts w:hint="default" w:ascii="Times New Roman" w:hAnsi="Times New Roman" w:cs="Times New Roman"/>
          <w:caps w:val="0"/>
          <w:smallCaps w:val="0"/>
          <w:lang w:val="en-US" w:eastAsia="zh-CN"/>
        </w:rPr>
        <w:t>55m</w:t>
      </w:r>
      <w:r>
        <w:rPr>
          <w:rFonts w:hint="eastAsia" w:ascii="Times New Roman" w:hAnsi="Times New Roman" w:cs="Times New Roman"/>
          <w:caps w:val="0"/>
          <w:smallCaps w:val="0"/>
          <w:lang w:val="en-US" w:eastAsia="zh-CN"/>
        </w:rPr>
        <w:t>范围内。工程下游水位降低，遭遇洪水流量条件，最大降低值约</w:t>
      </w:r>
      <w:r>
        <w:rPr>
          <w:rFonts w:hint="default" w:ascii="Times New Roman" w:hAnsi="Times New Roman" w:cs="Times New Roman"/>
          <w:caps w:val="0"/>
          <w:smallCaps w:val="0"/>
          <w:lang w:val="en-US" w:eastAsia="zh-CN"/>
        </w:rPr>
        <w:t>1.1cm</w:t>
      </w:r>
      <w:r>
        <w:rPr>
          <w:rFonts w:hint="eastAsia" w:ascii="Times New Roman" w:hAnsi="Times New Roman" w:cs="Times New Roman"/>
          <w:caps w:val="0"/>
          <w:smallCaps w:val="0"/>
          <w:lang w:val="en-US" w:eastAsia="zh-CN"/>
        </w:rPr>
        <w:t>，降水影响范围（大于</w:t>
      </w:r>
      <w:r>
        <w:rPr>
          <w:rFonts w:hint="default" w:ascii="Times New Roman" w:hAnsi="Times New Roman" w:cs="Times New Roman"/>
          <w:caps w:val="0"/>
          <w:smallCaps w:val="0"/>
          <w:lang w:val="en-US" w:eastAsia="zh-CN"/>
        </w:rPr>
        <w:t>0.3cm</w:t>
      </w:r>
      <w:r>
        <w:rPr>
          <w:rFonts w:hint="eastAsia" w:ascii="Times New Roman" w:hAnsi="Times New Roman" w:cs="Times New Roman"/>
          <w:caps w:val="0"/>
          <w:smallCaps w:val="0"/>
          <w:lang w:val="en-US" w:eastAsia="zh-CN"/>
        </w:rPr>
        <w:t>）主要集中在趸船外侧</w:t>
      </w:r>
      <w:r>
        <w:rPr>
          <w:rFonts w:hint="default" w:ascii="Times New Roman" w:hAnsi="Times New Roman" w:cs="Times New Roman"/>
          <w:caps w:val="0"/>
          <w:smallCaps w:val="0"/>
          <w:lang w:val="en-US" w:eastAsia="zh-CN"/>
        </w:rPr>
        <w:t>90m</w:t>
      </w:r>
      <w:r>
        <w:rPr>
          <w:rFonts w:hint="eastAsia" w:ascii="Times New Roman" w:hAnsi="Times New Roman" w:cs="Times New Roman"/>
          <w:caps w:val="0"/>
          <w:smallCaps w:val="0"/>
          <w:lang w:val="en-US" w:eastAsia="zh-CN"/>
        </w:rPr>
        <w:t>范围内；遭遇多年平均流量洪水条件，最大降低值约</w:t>
      </w:r>
      <w:r>
        <w:rPr>
          <w:rFonts w:hint="default" w:ascii="Times New Roman" w:hAnsi="Times New Roman" w:cs="Times New Roman"/>
          <w:caps w:val="0"/>
          <w:smallCaps w:val="0"/>
          <w:lang w:val="en-US" w:eastAsia="zh-CN"/>
        </w:rPr>
        <w:t>0.8cm</w:t>
      </w:r>
      <w:r>
        <w:rPr>
          <w:rFonts w:hint="eastAsia" w:ascii="Times New Roman" w:hAnsi="Times New Roman" w:cs="Times New Roman"/>
          <w:caps w:val="0"/>
          <w:smallCaps w:val="0"/>
          <w:lang w:val="en-US" w:eastAsia="zh-CN"/>
        </w:rPr>
        <w:t>，降水影响范围（大于</w:t>
      </w:r>
      <w:r>
        <w:rPr>
          <w:rFonts w:hint="default" w:ascii="Times New Roman" w:hAnsi="Times New Roman" w:cs="Times New Roman"/>
          <w:caps w:val="0"/>
          <w:smallCaps w:val="0"/>
          <w:lang w:val="en-US" w:eastAsia="zh-CN"/>
        </w:rPr>
        <w:t>0.3cm</w:t>
      </w:r>
      <w:r>
        <w:rPr>
          <w:rFonts w:hint="eastAsia" w:ascii="Times New Roman" w:hAnsi="Times New Roman" w:cs="Times New Roman"/>
          <w:caps w:val="0"/>
          <w:smallCaps w:val="0"/>
          <w:lang w:val="en-US" w:eastAsia="zh-CN"/>
        </w:rPr>
        <w:t>）主要集中在趸船外侧</w:t>
      </w:r>
      <w:r>
        <w:rPr>
          <w:rFonts w:hint="default" w:ascii="Times New Roman" w:hAnsi="Times New Roman" w:cs="Times New Roman"/>
          <w:caps w:val="0"/>
          <w:smallCaps w:val="0"/>
          <w:lang w:val="en-US" w:eastAsia="zh-CN"/>
        </w:rPr>
        <w:t>85m</w:t>
      </w:r>
      <w:r>
        <w:rPr>
          <w:rFonts w:hint="eastAsia" w:ascii="Times New Roman" w:hAnsi="Times New Roman" w:cs="Times New Roman"/>
          <w:caps w:val="0"/>
          <w:smallCaps w:val="0"/>
          <w:lang w:val="en-US" w:eastAsia="zh-CN"/>
        </w:rPr>
        <w:t>范围内。</w:t>
      </w:r>
    </w:p>
    <w:p>
      <w:pPr>
        <w:bidi w:val="0"/>
        <w:jc w:val="center"/>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表</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7    工程后水位最大壅高及壅水范围统计表</w:t>
      </w:r>
    </w:p>
    <w:p>
      <w:pPr>
        <w:keepNext w:val="0"/>
        <w:keepLines w:val="0"/>
        <w:widowControl/>
        <w:suppressLineNumbers w:val="0"/>
        <w:ind w:left="0" w:leftChars="0" w:firstLine="0" w:firstLineChars="0"/>
        <w:jc w:val="left"/>
        <w:rPr>
          <w:rFonts w:ascii="Times New Roman" w:hAnsi="Times New Roman" w:cs="Times New Roman"/>
          <w:caps w:val="0"/>
          <w:smallCaps w:val="0"/>
        </w:rPr>
      </w:pPr>
      <w:r>
        <w:rPr>
          <w:rFonts w:ascii="Times New Roman" w:hAnsi="Times New Roman" w:eastAsia="宋体" w:cs="Times New Roman"/>
          <w:caps w:val="0"/>
          <w:smallCaps w:val="0"/>
          <w:kern w:val="0"/>
          <w:sz w:val="24"/>
          <w:szCs w:val="24"/>
          <w:lang w:val="en-US" w:eastAsia="zh-CN" w:bidi="ar"/>
        </w:rPr>
        <w:drawing>
          <wp:inline distT="0" distB="0" distL="114300" distR="114300">
            <wp:extent cx="5473700" cy="1601470"/>
            <wp:effectExtent l="0" t="0" r="12700" b="17780"/>
            <wp:docPr id="186" name="图片 1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13" descr="IMG_256"/>
                    <pic:cNvPicPr>
                      <a:picLocks noChangeAspect="1"/>
                    </pic:cNvPicPr>
                  </pic:nvPicPr>
                  <pic:blipFill>
                    <a:blip r:embed="rId169"/>
                    <a:stretch>
                      <a:fillRect/>
                    </a:stretch>
                  </pic:blipFill>
                  <pic:spPr>
                    <a:xfrm>
                      <a:off x="0" y="0"/>
                      <a:ext cx="5473700" cy="1601470"/>
                    </a:xfrm>
                    <a:prstGeom prst="rect">
                      <a:avLst/>
                    </a:prstGeom>
                    <a:noFill/>
                    <a:ln w="9525">
                      <a:noFill/>
                    </a:ln>
                  </pic:spPr>
                </pic:pic>
              </a:graphicData>
            </a:graphic>
          </wp:inline>
        </w:drawing>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2</w:t>
      </w:r>
      <w:r>
        <w:rPr>
          <w:rFonts w:hint="eastAsia" w:ascii="Times New Roman" w:hAnsi="Times New Roman" w:cs="Times New Roman"/>
          <w:caps w:val="0"/>
          <w:smallCaps w:val="0"/>
          <w:lang w:val="en-US" w:eastAsia="zh-CN"/>
        </w:rPr>
        <w:t xml:space="preserve">）工程对流速影响分析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表 </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8</w:t>
      </w:r>
      <w:r>
        <w:rPr>
          <w:rFonts w:hint="default" w:ascii="Times New Roman" w:hAnsi="Times New Roman" w:cs="Times New Roman"/>
          <w:caps w:val="0"/>
          <w:smallCaps w:val="0"/>
          <w:lang w:val="en-US" w:eastAsia="zh-CN"/>
        </w:rPr>
        <w:t xml:space="preserve"> </w:t>
      </w:r>
      <w:r>
        <w:rPr>
          <w:rFonts w:hint="eastAsia" w:ascii="Times New Roman" w:hAnsi="Times New Roman" w:cs="Times New Roman"/>
          <w:caps w:val="0"/>
          <w:smallCaps w:val="0"/>
          <w:lang w:val="en-US" w:eastAsia="zh-CN"/>
        </w:rPr>
        <w:t xml:space="preserve">为工程后流速最大变化值及主要影响范围统计表。附图 </w:t>
      </w:r>
      <w:r>
        <w:rPr>
          <w:rFonts w:hint="default" w:ascii="Times New Roman" w:hAnsi="Times New Roman" w:cs="Times New Roman"/>
          <w:caps w:val="0"/>
          <w:smallCaps w:val="0"/>
          <w:lang w:val="en-US" w:eastAsia="zh-CN"/>
        </w:rPr>
        <w:t>5.2-6</w:t>
      </w:r>
      <w:r>
        <w:rPr>
          <w:rFonts w:hint="eastAsia" w:ascii="Times New Roman" w:hAnsi="Times New Roman" w:cs="Times New Roman"/>
          <w:caps w:val="0"/>
          <w:smallCaps w:val="0"/>
          <w:lang w:val="en-US" w:eastAsia="zh-CN"/>
        </w:rPr>
        <w:t xml:space="preserve">为工程前后局部流场对比图；附图 </w:t>
      </w:r>
      <w:r>
        <w:rPr>
          <w:rFonts w:hint="default" w:ascii="Times New Roman" w:hAnsi="Times New Roman" w:cs="Times New Roman"/>
          <w:caps w:val="0"/>
          <w:smallCaps w:val="0"/>
          <w:lang w:val="en-US" w:eastAsia="zh-CN"/>
        </w:rPr>
        <w:t xml:space="preserve">5.2-7 </w:t>
      </w:r>
      <w:r>
        <w:rPr>
          <w:rFonts w:hint="eastAsia" w:ascii="Times New Roman" w:hAnsi="Times New Roman" w:cs="Times New Roman"/>
          <w:caps w:val="0"/>
          <w:smallCaps w:val="0"/>
          <w:lang w:val="en-US" w:eastAsia="zh-CN"/>
        </w:rPr>
        <w:t>为工程后流速变化范围图。由图、表可知，工程后趸船占用了部分河道过水面积，使得工程河段流速、流态发生了一定的变化，流速变化主要集中在工程所在局部水域，工程后的流向变化一般在±</w:t>
      </w:r>
      <w:r>
        <w:rPr>
          <w:rFonts w:hint="default" w:ascii="Times New Roman" w:hAnsi="Times New Roman" w:cs="Times New Roman"/>
          <w:caps w:val="0"/>
          <w:smallCaps w:val="0"/>
          <w:lang w:val="en-US" w:eastAsia="zh-CN"/>
        </w:rPr>
        <w:t>1</w:t>
      </w:r>
      <w:r>
        <w:rPr>
          <w:rFonts w:hint="eastAsia" w:ascii="Times New Roman" w:hAnsi="Times New Roman" w:cs="Times New Roman"/>
          <w:caps w:val="0"/>
          <w:smallCaps w:val="0"/>
          <w:lang w:val="en-US" w:eastAsia="zh-CN"/>
        </w:rPr>
        <w:t>°以内。在现状地形基础上，遭遇洪水流量条件，工程后流速最大减小约</w:t>
      </w:r>
      <w:r>
        <w:rPr>
          <w:rFonts w:hint="default" w:ascii="Times New Roman" w:hAnsi="Times New Roman" w:cs="Times New Roman"/>
          <w:caps w:val="0"/>
          <w:smallCaps w:val="0"/>
          <w:lang w:val="en-US" w:eastAsia="zh-CN"/>
        </w:rPr>
        <w:t>0.07m/s</w:t>
      </w:r>
      <w:r>
        <w:rPr>
          <w:rFonts w:hint="eastAsia" w:ascii="Times New Roman" w:hAnsi="Times New Roman" w:cs="Times New Roman"/>
          <w:caps w:val="0"/>
          <w:smallCaps w:val="0"/>
          <w:lang w:val="en-US" w:eastAsia="zh-CN"/>
        </w:rPr>
        <w:t xml:space="preserve">，流速增大有限，最大增加值约 </w:t>
      </w:r>
      <w:r>
        <w:rPr>
          <w:rFonts w:hint="default" w:ascii="Times New Roman" w:hAnsi="Times New Roman" w:cs="Times New Roman"/>
          <w:caps w:val="0"/>
          <w:smallCaps w:val="0"/>
          <w:lang w:val="en-US" w:eastAsia="zh-CN"/>
        </w:rPr>
        <w:t>0.05m/s</w:t>
      </w:r>
      <w:r>
        <w:rPr>
          <w:rFonts w:hint="eastAsia" w:ascii="Times New Roman" w:hAnsi="Times New Roman" w:cs="Times New Roman"/>
          <w:caps w:val="0"/>
          <w:smallCaps w:val="0"/>
          <w:lang w:val="en-US" w:eastAsia="zh-CN"/>
        </w:rPr>
        <w:t xml:space="preserve">，流速变化主要影响（大于 </w:t>
      </w:r>
      <w:r>
        <w:rPr>
          <w:rFonts w:hint="default" w:ascii="Times New Roman" w:hAnsi="Times New Roman" w:cs="Times New Roman"/>
          <w:caps w:val="0"/>
          <w:smallCaps w:val="0"/>
          <w:lang w:val="en-US" w:eastAsia="zh-CN"/>
        </w:rPr>
        <w:t>0.01m/s</w:t>
      </w:r>
      <w:r>
        <w:rPr>
          <w:rFonts w:hint="eastAsia" w:ascii="Times New Roman" w:hAnsi="Times New Roman" w:cs="Times New Roman"/>
          <w:caps w:val="0"/>
          <w:smallCaps w:val="0"/>
          <w:lang w:val="en-US" w:eastAsia="zh-CN"/>
        </w:rPr>
        <w:t xml:space="preserve">）范围局限于趸船上游 </w:t>
      </w:r>
      <w:r>
        <w:rPr>
          <w:rFonts w:hint="default" w:ascii="Times New Roman" w:hAnsi="Times New Roman" w:cs="Times New Roman"/>
          <w:caps w:val="0"/>
          <w:smallCaps w:val="0"/>
          <w:lang w:val="en-US" w:eastAsia="zh-CN"/>
        </w:rPr>
        <w:t xml:space="preserve">70m </w:t>
      </w:r>
      <w:r>
        <w:rPr>
          <w:rFonts w:hint="eastAsia" w:ascii="Times New Roman" w:hAnsi="Times New Roman" w:cs="Times New Roman"/>
          <w:caps w:val="0"/>
          <w:smallCaps w:val="0"/>
          <w:lang w:val="en-US" w:eastAsia="zh-CN"/>
        </w:rPr>
        <w:t xml:space="preserve">下游 </w:t>
      </w:r>
      <w:r>
        <w:rPr>
          <w:rFonts w:hint="default" w:ascii="Times New Roman" w:hAnsi="Times New Roman" w:cs="Times New Roman"/>
          <w:caps w:val="0"/>
          <w:smallCaps w:val="0"/>
          <w:lang w:val="en-US" w:eastAsia="zh-CN"/>
        </w:rPr>
        <w:t xml:space="preserve">85m </w:t>
      </w:r>
      <w:r>
        <w:rPr>
          <w:rFonts w:hint="eastAsia" w:ascii="Times New Roman" w:hAnsi="Times New Roman" w:cs="Times New Roman"/>
          <w:caps w:val="0"/>
          <w:smallCaps w:val="0"/>
          <w:lang w:val="en-US" w:eastAsia="zh-CN"/>
        </w:rPr>
        <w:t xml:space="preserve">范围内；多年平均流量条件时，工程后流速最大减小约 </w:t>
      </w:r>
      <w:r>
        <w:rPr>
          <w:rFonts w:hint="default" w:ascii="Times New Roman" w:hAnsi="Times New Roman" w:cs="Times New Roman"/>
          <w:caps w:val="0"/>
          <w:smallCaps w:val="0"/>
          <w:lang w:val="en-US" w:eastAsia="zh-CN"/>
        </w:rPr>
        <w:t>0.05m/s</w:t>
      </w:r>
      <w:r>
        <w:rPr>
          <w:rFonts w:hint="eastAsia" w:ascii="Times New Roman" w:hAnsi="Times New Roman" w:cs="Times New Roman"/>
          <w:caps w:val="0"/>
          <w:smallCaps w:val="0"/>
          <w:lang w:val="en-US" w:eastAsia="zh-CN"/>
        </w:rPr>
        <w:t>，流速增大有限，最大增加值约</w:t>
      </w:r>
      <w:r>
        <w:rPr>
          <w:rFonts w:hint="default" w:ascii="Times New Roman" w:hAnsi="Times New Roman" w:cs="Times New Roman"/>
          <w:caps w:val="0"/>
          <w:smallCaps w:val="0"/>
          <w:lang w:val="en-US" w:eastAsia="zh-CN"/>
        </w:rPr>
        <w:t>0.04m/s</w:t>
      </w:r>
      <w:r>
        <w:rPr>
          <w:rFonts w:hint="eastAsia" w:ascii="Times New Roman" w:hAnsi="Times New Roman" w:cs="Times New Roman"/>
          <w:caps w:val="0"/>
          <w:smallCaps w:val="0"/>
          <w:lang w:val="en-US" w:eastAsia="zh-CN"/>
        </w:rPr>
        <w:t xml:space="preserve">，流速变化主要影响（大于 </w:t>
      </w:r>
      <w:r>
        <w:rPr>
          <w:rFonts w:hint="default" w:ascii="Times New Roman" w:hAnsi="Times New Roman" w:cs="Times New Roman"/>
          <w:caps w:val="0"/>
          <w:smallCaps w:val="0"/>
          <w:lang w:val="en-US" w:eastAsia="zh-CN"/>
        </w:rPr>
        <w:t>0.01m/s</w:t>
      </w:r>
      <w:r>
        <w:rPr>
          <w:rFonts w:hint="eastAsia" w:ascii="Times New Roman" w:hAnsi="Times New Roman" w:cs="Times New Roman"/>
          <w:caps w:val="0"/>
          <w:smallCaps w:val="0"/>
          <w:lang w:val="en-US" w:eastAsia="zh-CN"/>
        </w:rPr>
        <w:t xml:space="preserve">）范围局限于趸船上游 </w:t>
      </w:r>
      <w:r>
        <w:rPr>
          <w:rFonts w:hint="default" w:ascii="Times New Roman" w:hAnsi="Times New Roman" w:cs="Times New Roman"/>
          <w:caps w:val="0"/>
          <w:smallCaps w:val="0"/>
          <w:lang w:val="en-US" w:eastAsia="zh-CN"/>
        </w:rPr>
        <w:t>55m</w:t>
      </w:r>
      <w:r>
        <w:rPr>
          <w:rFonts w:hint="eastAsia" w:ascii="Times New Roman" w:hAnsi="Times New Roman" w:cs="Times New Roman"/>
          <w:caps w:val="0"/>
          <w:smallCaps w:val="0"/>
          <w:lang w:val="en-US" w:eastAsia="zh-CN"/>
        </w:rPr>
        <w:t xml:space="preserve">下游 </w:t>
      </w:r>
      <w:r>
        <w:rPr>
          <w:rFonts w:hint="default" w:ascii="Times New Roman" w:hAnsi="Times New Roman" w:cs="Times New Roman"/>
          <w:caps w:val="0"/>
          <w:smallCaps w:val="0"/>
          <w:lang w:val="en-US" w:eastAsia="zh-CN"/>
        </w:rPr>
        <w:t xml:space="preserve">65m </w:t>
      </w:r>
      <w:r>
        <w:rPr>
          <w:rFonts w:hint="eastAsia" w:ascii="Times New Roman" w:hAnsi="Times New Roman" w:cs="Times New Roman"/>
          <w:caps w:val="0"/>
          <w:smallCaps w:val="0"/>
          <w:lang w:val="en-US" w:eastAsia="zh-CN"/>
        </w:rPr>
        <w:t xml:space="preserve">范围内。 </w:t>
      </w:r>
    </w:p>
    <w:p>
      <w:pPr>
        <w:bidi w:val="0"/>
        <w:jc w:val="center"/>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表 </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1</w:t>
      </w:r>
      <w:r>
        <w:rPr>
          <w:rFonts w:hint="default" w:ascii="Times New Roman" w:hAnsi="Times New Roman" w:cs="Times New Roman"/>
          <w:caps w:val="0"/>
          <w:smallCaps w:val="0"/>
          <w:lang w:val="en-US" w:eastAsia="zh-CN"/>
        </w:rPr>
        <w:t>-</w:t>
      </w:r>
      <w:r>
        <w:rPr>
          <w:rFonts w:hint="eastAsia" w:ascii="Times New Roman" w:hAnsi="Times New Roman" w:cs="Times New Roman"/>
          <w:caps w:val="0"/>
          <w:smallCaps w:val="0"/>
          <w:lang w:val="en-US" w:eastAsia="zh-CN"/>
        </w:rPr>
        <w:t>8</w:t>
      </w:r>
      <w:r>
        <w:rPr>
          <w:rFonts w:hint="default" w:ascii="Times New Roman" w:hAnsi="Times New Roman" w:cs="Times New Roman"/>
          <w:caps w:val="0"/>
          <w:smallCaps w:val="0"/>
          <w:lang w:val="en-US" w:eastAsia="zh-CN"/>
        </w:rPr>
        <w:t xml:space="preserve"> </w:t>
      </w:r>
      <w:r>
        <w:rPr>
          <w:rFonts w:hint="eastAsia" w:ascii="Times New Roman" w:hAnsi="Times New Roman" w:cs="Times New Roman"/>
          <w:caps w:val="0"/>
          <w:smallCaps w:val="0"/>
          <w:lang w:val="en-US" w:eastAsia="zh-CN"/>
        </w:rPr>
        <w:t>工程后流速最大变化值及影响范围统计表</w:t>
      </w:r>
    </w:p>
    <w:p>
      <w:pPr>
        <w:keepNext w:val="0"/>
        <w:keepLines w:val="0"/>
        <w:widowControl/>
        <w:suppressLineNumbers w:val="0"/>
        <w:ind w:left="0" w:leftChars="0" w:firstLine="0" w:firstLineChars="0"/>
        <w:jc w:val="left"/>
        <w:rPr>
          <w:rFonts w:ascii="Times New Roman" w:hAnsi="Times New Roman" w:cs="Times New Roman"/>
          <w:caps w:val="0"/>
          <w:smallCaps w:val="0"/>
        </w:rPr>
      </w:pPr>
      <w:r>
        <w:rPr>
          <w:rFonts w:ascii="Times New Roman" w:hAnsi="Times New Roman" w:eastAsia="宋体" w:cs="Times New Roman"/>
          <w:caps w:val="0"/>
          <w:smallCaps w:val="0"/>
          <w:kern w:val="0"/>
          <w:sz w:val="24"/>
          <w:szCs w:val="24"/>
          <w:lang w:val="en-US" w:eastAsia="zh-CN" w:bidi="ar"/>
        </w:rPr>
        <w:drawing>
          <wp:inline distT="0" distB="0" distL="114300" distR="114300">
            <wp:extent cx="5404485" cy="1370330"/>
            <wp:effectExtent l="0" t="0" r="5715" b="1270"/>
            <wp:docPr id="187" name="图片 1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14" descr="IMG_256"/>
                    <pic:cNvPicPr>
                      <a:picLocks noChangeAspect="1"/>
                    </pic:cNvPicPr>
                  </pic:nvPicPr>
                  <pic:blipFill>
                    <a:blip r:embed="rId170"/>
                    <a:stretch>
                      <a:fillRect/>
                    </a:stretch>
                  </pic:blipFill>
                  <pic:spPr>
                    <a:xfrm>
                      <a:off x="0" y="0"/>
                      <a:ext cx="5404485" cy="1370330"/>
                    </a:xfrm>
                    <a:prstGeom prst="rect">
                      <a:avLst/>
                    </a:prstGeom>
                    <a:noFill/>
                    <a:ln w="9525">
                      <a:noFill/>
                    </a:ln>
                  </pic:spPr>
                </pic:pic>
              </a:graphicData>
            </a:graphic>
          </wp:inline>
        </w:drawing>
      </w:r>
    </w:p>
    <w:p>
      <w:pPr>
        <w:pStyle w:val="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 xml:space="preserve">洪水计算小结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1</w:t>
      </w:r>
      <w:r>
        <w:rPr>
          <w:rFonts w:hint="eastAsia" w:ascii="Times New Roman" w:hAnsi="Times New Roman" w:cs="Times New Roman"/>
          <w:caps w:val="0"/>
          <w:smallCaps w:val="0"/>
          <w:lang w:val="en-US" w:eastAsia="zh-CN"/>
        </w:rPr>
        <w:t xml:space="preserve">）平面二维水流数学模型基于正交曲线坐标系，数值离散采用有限体积法，离散方程的求解基于 </w:t>
      </w:r>
      <w:r>
        <w:rPr>
          <w:rFonts w:hint="default" w:ascii="Times New Roman" w:hAnsi="Times New Roman" w:cs="Times New Roman"/>
          <w:caps w:val="0"/>
          <w:smallCaps w:val="0"/>
          <w:lang w:val="en-US" w:eastAsia="zh-CN"/>
        </w:rPr>
        <w:t xml:space="preserve">SIMPLC </w:t>
      </w:r>
      <w:r>
        <w:rPr>
          <w:rFonts w:hint="eastAsia" w:ascii="Times New Roman" w:hAnsi="Times New Roman" w:cs="Times New Roman"/>
          <w:caps w:val="0"/>
          <w:smallCaps w:val="0"/>
          <w:lang w:val="en-US" w:eastAsia="zh-CN"/>
        </w:rPr>
        <w:t xml:space="preserve">算法。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2</w:t>
      </w:r>
      <w:r>
        <w:rPr>
          <w:rFonts w:hint="eastAsia" w:ascii="Times New Roman" w:hAnsi="Times New Roman" w:cs="Times New Roman"/>
          <w:caps w:val="0"/>
          <w:smallCaps w:val="0"/>
          <w:lang w:val="en-US" w:eastAsia="zh-CN"/>
        </w:rPr>
        <w:t xml:space="preserve">）综合考虑河势、工程研究内容以及水文资料等因素，二维数模 计算河段范围选取为：营田洲洲头上游至沉沙港附近，长约 </w:t>
      </w:r>
      <w:r>
        <w:rPr>
          <w:rFonts w:hint="default" w:ascii="Times New Roman" w:hAnsi="Times New Roman" w:cs="Times New Roman"/>
          <w:caps w:val="0"/>
          <w:smallCaps w:val="0"/>
          <w:lang w:val="en-US" w:eastAsia="zh-CN"/>
        </w:rPr>
        <w:t xml:space="preserve">15km </w:t>
      </w:r>
      <w:r>
        <w:rPr>
          <w:rFonts w:hint="eastAsia" w:ascii="Times New Roman" w:hAnsi="Times New Roman" w:cs="Times New Roman"/>
          <w:caps w:val="0"/>
          <w:smallCaps w:val="0"/>
          <w:lang w:val="en-US" w:eastAsia="zh-CN"/>
        </w:rPr>
        <w:t xml:space="preserve">的河段。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3</w:t>
      </w:r>
      <w:r>
        <w:rPr>
          <w:rFonts w:hint="eastAsia" w:ascii="Times New Roman" w:hAnsi="Times New Roman" w:cs="Times New Roman"/>
          <w:caps w:val="0"/>
          <w:smallCaps w:val="0"/>
          <w:lang w:val="en-US" w:eastAsia="zh-CN"/>
        </w:rPr>
        <w:t xml:space="preserve">）验证计算结果表明，报告所采用的平面二维水流数学模型，较好地模拟了计算河段的水流运动状态，模型率定、验证较好，参、系数取值合理。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4</w:t>
      </w:r>
      <w:r>
        <w:rPr>
          <w:rFonts w:hint="eastAsia" w:ascii="Times New Roman" w:hAnsi="Times New Roman" w:cs="Times New Roman"/>
          <w:caps w:val="0"/>
          <w:smallCaps w:val="0"/>
          <w:lang w:val="en-US" w:eastAsia="zh-CN"/>
        </w:rPr>
        <w:t>）模型选取了现状地形条件下洪水流量和多年平均流量</w:t>
      </w:r>
      <w:r>
        <w:rPr>
          <w:rFonts w:hint="default" w:ascii="Times New Roman" w:hAnsi="Times New Roman" w:cs="Times New Roman"/>
          <w:caps w:val="0"/>
          <w:smallCaps w:val="0"/>
          <w:lang w:val="en-US" w:eastAsia="zh-CN"/>
        </w:rPr>
        <w:t>2</w:t>
      </w:r>
      <w:r>
        <w:rPr>
          <w:rFonts w:hint="eastAsia" w:ascii="Times New Roman" w:hAnsi="Times New Roman" w:cs="Times New Roman"/>
          <w:caps w:val="0"/>
          <w:smallCaps w:val="0"/>
          <w:lang w:val="en-US" w:eastAsia="zh-CN"/>
        </w:rPr>
        <w:t xml:space="preserve">组流条件，计算分析了拟建工程对河道水位、流速场的影响。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5</w:t>
      </w:r>
      <w:r>
        <w:rPr>
          <w:rFonts w:hint="eastAsia" w:ascii="Times New Roman" w:hAnsi="Times New Roman" w:cs="Times New Roman"/>
          <w:caps w:val="0"/>
          <w:smallCaps w:val="0"/>
          <w:lang w:val="en-US" w:eastAsia="zh-CN"/>
        </w:rPr>
        <w:t>）数学模型计算分析结果表明，遭遇洪水流量条件，壅水最大值约</w:t>
      </w:r>
      <w:r>
        <w:rPr>
          <w:rFonts w:hint="default" w:ascii="Times New Roman" w:hAnsi="Times New Roman" w:cs="Times New Roman"/>
          <w:caps w:val="0"/>
          <w:smallCaps w:val="0"/>
          <w:lang w:val="en-US" w:eastAsia="zh-CN"/>
        </w:rPr>
        <w:t>1.1cm</w:t>
      </w:r>
      <w:r>
        <w:rPr>
          <w:rFonts w:hint="eastAsia" w:ascii="Times New Roman" w:hAnsi="Times New Roman" w:cs="Times New Roman"/>
          <w:caps w:val="0"/>
          <w:smallCaps w:val="0"/>
          <w:lang w:val="en-US" w:eastAsia="zh-CN"/>
        </w:rPr>
        <w:t xml:space="preserve">，壅水影响（大于 </w:t>
      </w:r>
      <w:r>
        <w:rPr>
          <w:rFonts w:hint="default" w:ascii="Times New Roman" w:hAnsi="Times New Roman" w:cs="Times New Roman"/>
          <w:caps w:val="0"/>
          <w:smallCaps w:val="0"/>
          <w:lang w:val="en-US" w:eastAsia="zh-CN"/>
        </w:rPr>
        <w:t>0.3cm</w:t>
      </w:r>
      <w:r>
        <w:rPr>
          <w:rFonts w:hint="eastAsia" w:ascii="Times New Roman" w:hAnsi="Times New Roman" w:cs="Times New Roman"/>
          <w:caps w:val="0"/>
          <w:smallCaps w:val="0"/>
          <w:lang w:val="en-US" w:eastAsia="zh-CN"/>
        </w:rPr>
        <w:t xml:space="preserve">）主要集中在趸船上游 </w:t>
      </w:r>
      <w:r>
        <w:rPr>
          <w:rFonts w:hint="default" w:ascii="Times New Roman" w:hAnsi="Times New Roman" w:cs="Times New Roman"/>
          <w:caps w:val="0"/>
          <w:smallCaps w:val="0"/>
          <w:lang w:val="en-US" w:eastAsia="zh-CN"/>
        </w:rPr>
        <w:t>65m</w:t>
      </w:r>
      <w:r>
        <w:rPr>
          <w:rFonts w:hint="eastAsia" w:ascii="Times New Roman" w:hAnsi="Times New Roman" w:cs="Times New Roman"/>
          <w:caps w:val="0"/>
          <w:smallCaps w:val="0"/>
          <w:lang w:val="en-US" w:eastAsia="zh-CN"/>
        </w:rPr>
        <w:t>，趸船外侧</w:t>
      </w:r>
      <w:r>
        <w:rPr>
          <w:rFonts w:hint="default" w:ascii="Times New Roman" w:hAnsi="Times New Roman" w:cs="Times New Roman"/>
          <w:caps w:val="0"/>
          <w:smallCaps w:val="0"/>
          <w:lang w:val="en-US" w:eastAsia="zh-CN"/>
        </w:rPr>
        <w:t xml:space="preserve">60m </w:t>
      </w:r>
      <w:r>
        <w:rPr>
          <w:rFonts w:hint="eastAsia" w:ascii="Times New Roman" w:hAnsi="Times New Roman" w:cs="Times New Roman"/>
          <w:caps w:val="0"/>
          <w:smallCaps w:val="0"/>
          <w:lang w:val="en-US" w:eastAsia="zh-CN"/>
        </w:rPr>
        <w:t>范围内，工程下游水位降低，遭遇洪水流量条件，最大降低值约</w:t>
      </w:r>
      <w:r>
        <w:rPr>
          <w:rFonts w:hint="default" w:ascii="Times New Roman" w:hAnsi="Times New Roman" w:cs="Times New Roman"/>
          <w:caps w:val="0"/>
          <w:smallCaps w:val="0"/>
          <w:lang w:val="en-US" w:eastAsia="zh-CN"/>
        </w:rPr>
        <w:t>1.1cm</w:t>
      </w:r>
      <w:r>
        <w:rPr>
          <w:rFonts w:hint="eastAsia" w:ascii="Times New Roman" w:hAnsi="Times New Roman" w:cs="Times New Roman"/>
          <w:caps w:val="0"/>
          <w:smallCaps w:val="0"/>
          <w:lang w:val="en-US" w:eastAsia="zh-CN"/>
        </w:rPr>
        <w:t xml:space="preserve">，降水影响范围（大于 </w:t>
      </w:r>
      <w:r>
        <w:rPr>
          <w:rFonts w:hint="default" w:ascii="Times New Roman" w:hAnsi="Times New Roman" w:cs="Times New Roman"/>
          <w:caps w:val="0"/>
          <w:smallCaps w:val="0"/>
          <w:lang w:val="en-US" w:eastAsia="zh-CN"/>
        </w:rPr>
        <w:t>0.3cm</w:t>
      </w:r>
      <w:r>
        <w:rPr>
          <w:rFonts w:hint="eastAsia" w:ascii="Times New Roman" w:hAnsi="Times New Roman" w:cs="Times New Roman"/>
          <w:caps w:val="0"/>
          <w:smallCaps w:val="0"/>
          <w:lang w:val="en-US" w:eastAsia="zh-CN"/>
        </w:rPr>
        <w:t xml:space="preserve">）主要集中在趸船外侧 </w:t>
      </w:r>
      <w:r>
        <w:rPr>
          <w:rFonts w:hint="default" w:ascii="Times New Roman" w:hAnsi="Times New Roman" w:cs="Times New Roman"/>
          <w:caps w:val="0"/>
          <w:smallCaps w:val="0"/>
          <w:lang w:val="en-US" w:eastAsia="zh-CN"/>
        </w:rPr>
        <w:t xml:space="preserve">90m </w:t>
      </w:r>
      <w:r>
        <w:rPr>
          <w:rFonts w:hint="eastAsia" w:ascii="Times New Roman" w:hAnsi="Times New Roman" w:cs="Times New Roman"/>
          <w:caps w:val="0"/>
          <w:smallCaps w:val="0"/>
          <w:lang w:val="en-US" w:eastAsia="zh-CN"/>
        </w:rPr>
        <w:t xml:space="preserve">范围内；工程后流速最大减小约 </w:t>
      </w:r>
      <w:r>
        <w:rPr>
          <w:rFonts w:hint="default" w:ascii="Times New Roman" w:hAnsi="Times New Roman" w:cs="Times New Roman"/>
          <w:caps w:val="0"/>
          <w:smallCaps w:val="0"/>
          <w:lang w:val="en-US" w:eastAsia="zh-CN"/>
        </w:rPr>
        <w:t>0.07m/s</w:t>
      </w:r>
      <w:r>
        <w:rPr>
          <w:rFonts w:hint="eastAsia" w:ascii="Times New Roman" w:hAnsi="Times New Roman" w:cs="Times New Roman"/>
          <w:caps w:val="0"/>
          <w:smallCaps w:val="0"/>
          <w:lang w:val="en-US" w:eastAsia="zh-CN"/>
        </w:rPr>
        <w:t xml:space="preserve">，流速增大有限，最大增加值约 </w:t>
      </w:r>
      <w:r>
        <w:rPr>
          <w:rFonts w:hint="default" w:ascii="Times New Roman" w:hAnsi="Times New Roman" w:cs="Times New Roman"/>
          <w:caps w:val="0"/>
          <w:smallCaps w:val="0"/>
          <w:lang w:val="en-US" w:eastAsia="zh-CN"/>
        </w:rPr>
        <w:t>0.05m/s</w:t>
      </w:r>
      <w:r>
        <w:rPr>
          <w:rFonts w:hint="eastAsia" w:ascii="Times New Roman" w:hAnsi="Times New Roman" w:cs="Times New Roman"/>
          <w:caps w:val="0"/>
          <w:smallCaps w:val="0"/>
          <w:lang w:val="en-US" w:eastAsia="zh-CN"/>
        </w:rPr>
        <w:t xml:space="preserve">，流速变化主要影响（大于 </w:t>
      </w:r>
      <w:r>
        <w:rPr>
          <w:rFonts w:hint="default" w:ascii="Times New Roman" w:hAnsi="Times New Roman" w:cs="Times New Roman"/>
          <w:caps w:val="0"/>
          <w:smallCaps w:val="0"/>
          <w:lang w:val="en-US" w:eastAsia="zh-CN"/>
        </w:rPr>
        <w:t>0.01m/s</w:t>
      </w:r>
      <w:r>
        <w:rPr>
          <w:rFonts w:hint="eastAsia" w:ascii="Times New Roman" w:hAnsi="Times New Roman" w:cs="Times New Roman"/>
          <w:caps w:val="0"/>
          <w:smallCaps w:val="0"/>
          <w:lang w:val="en-US" w:eastAsia="zh-CN"/>
        </w:rPr>
        <w:t xml:space="preserve">）范围局限于趸船上游 </w:t>
      </w:r>
      <w:r>
        <w:rPr>
          <w:rFonts w:hint="default" w:ascii="Times New Roman" w:hAnsi="Times New Roman" w:cs="Times New Roman"/>
          <w:caps w:val="0"/>
          <w:smallCaps w:val="0"/>
          <w:lang w:val="en-US" w:eastAsia="zh-CN"/>
        </w:rPr>
        <w:t xml:space="preserve">70m </w:t>
      </w:r>
      <w:r>
        <w:rPr>
          <w:rFonts w:hint="eastAsia" w:ascii="Times New Roman" w:hAnsi="Times New Roman" w:cs="Times New Roman"/>
          <w:caps w:val="0"/>
          <w:smallCaps w:val="0"/>
          <w:lang w:val="en-US" w:eastAsia="zh-CN"/>
        </w:rPr>
        <w:t xml:space="preserve">下游 </w:t>
      </w:r>
      <w:r>
        <w:rPr>
          <w:rFonts w:hint="default" w:ascii="Times New Roman" w:hAnsi="Times New Roman" w:cs="Times New Roman"/>
          <w:caps w:val="0"/>
          <w:smallCaps w:val="0"/>
          <w:lang w:val="en-US" w:eastAsia="zh-CN"/>
        </w:rPr>
        <w:t>85m</w:t>
      </w:r>
      <w:r>
        <w:rPr>
          <w:rFonts w:hint="eastAsia" w:ascii="Times New Roman" w:hAnsi="Times New Roman" w:cs="Times New Roman"/>
          <w:caps w:val="0"/>
          <w:smallCaps w:val="0"/>
          <w:lang w:val="en-US" w:eastAsia="zh-CN"/>
        </w:rPr>
        <w:t>范围内；工程后主流线未明显偏移，工程局部流向稍有变化，一般在</w:t>
      </w:r>
      <w:r>
        <w:rPr>
          <w:rFonts w:hint="default" w:ascii="Times New Roman" w:hAnsi="Times New Roman" w:cs="Times New Roman"/>
          <w:caps w:val="0"/>
          <w:smallCaps w:val="0"/>
          <w:lang w:val="en-US" w:eastAsia="zh-CN"/>
        </w:rPr>
        <w:t>1</w:t>
      </w:r>
      <w:r>
        <w:rPr>
          <w:rFonts w:hint="eastAsia" w:ascii="Times New Roman" w:hAnsi="Times New Roman" w:cs="Times New Roman"/>
          <w:caps w:val="0"/>
          <w:smallCaps w:val="0"/>
          <w:lang w:val="en-US" w:eastAsia="zh-CN"/>
        </w:rPr>
        <w:t xml:space="preserve">°内。由此可见，该工程对本河段行洪水位影响不大。 </w:t>
      </w:r>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w:t>
      </w:r>
      <w:r>
        <w:rPr>
          <w:rFonts w:hint="default" w:ascii="Times New Roman" w:hAnsi="Times New Roman" w:cs="Times New Roman"/>
          <w:caps w:val="0"/>
          <w:smallCaps w:val="0"/>
          <w:lang w:val="en-US" w:eastAsia="zh-CN"/>
        </w:rPr>
        <w:t>6</w:t>
      </w:r>
      <w:r>
        <w:rPr>
          <w:rFonts w:hint="eastAsia" w:ascii="Times New Roman" w:hAnsi="Times New Roman" w:cs="Times New Roman"/>
          <w:caps w:val="0"/>
          <w:smallCaps w:val="0"/>
          <w:lang w:val="en-US" w:eastAsia="zh-CN"/>
        </w:rPr>
        <w:t>）由以上对工程前后水位、流速的变化分析可知，工程对河道水位流场的影响均不大、影响范围有限，对河道断面流速分布及河道主流线无影响。因为工程兴建后，不会对本河段行洪带来不利影响。</w:t>
      </w:r>
    </w:p>
    <w:p>
      <w:pPr>
        <w:pStyle w:val="5"/>
        <w:rPr>
          <w:rFonts w:ascii="Times New Roman" w:hAnsi="Times New Roman" w:cs="Times New Roman" w:eastAsiaTheme="minorEastAsia"/>
          <w:b/>
          <w:caps w:val="0"/>
          <w:smallCaps w:val="0"/>
        </w:rPr>
      </w:pPr>
      <w:bookmarkStart w:id="105" w:name="_Toc9806"/>
      <w:r>
        <w:rPr>
          <w:rFonts w:ascii="Times New Roman" w:hAnsi="Times New Roman" w:cs="Times New Roman" w:eastAsiaTheme="minorEastAsia"/>
          <w:b/>
          <w:caps w:val="0"/>
          <w:smallCaps w:val="0"/>
        </w:rPr>
        <w:t>地下水环境影响评价</w:t>
      </w:r>
      <w:bookmarkEnd w:id="105"/>
    </w:p>
    <w:p>
      <w:pPr>
        <w:pStyle w:val="6"/>
        <w:rPr>
          <w:rFonts w:ascii="Times New Roman" w:hAnsi="Times New Roman" w:cs="Times New Roman" w:eastAsiaTheme="minorEastAsia"/>
          <w:caps w:val="0"/>
          <w:smallCaps w:val="0"/>
          <w:szCs w:val="24"/>
        </w:rPr>
      </w:pPr>
      <w:r>
        <w:rPr>
          <w:rFonts w:ascii="Times New Roman" w:hAnsi="Times New Roman" w:cs="Times New Roman" w:eastAsiaTheme="minorEastAsia"/>
          <w:caps w:val="0"/>
          <w:smallCaps w:val="0"/>
        </w:rPr>
        <w:t>施工期地下水环境影响分析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施工期对地下水环境的影响主要表现在施工期含油污水、建筑材料堆放期间的淋渗水等对地下水环境的影响。材料堆场若物料、油料堆放管理不严，施工机械设备漏油、机械维修过程中的残油等可能污染地下水。因此，为防止油料等物质不慎泄露对堆放场地附近的地下水环境带来影响，可在建筑材料堆放地设置一定的防渗区域，专门存放油料等物质。</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营运期地下水环境影响分析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本码头主要为</w:t>
      </w:r>
      <w:r>
        <w:rPr>
          <w:rFonts w:hint="eastAsia" w:ascii="Times New Roman" w:hAnsi="Times New Roman" w:cs="Times New Roman" w:eastAsiaTheme="minorEastAsia"/>
          <w:caps w:val="0"/>
          <w:smallCaps w:val="0"/>
          <w:sz w:val="24"/>
          <w:szCs w:val="24"/>
          <w:lang w:val="en-US" w:eastAsia="zh-CN"/>
        </w:rPr>
        <w:t>沥青</w:t>
      </w:r>
      <w:r>
        <w:rPr>
          <w:rFonts w:ascii="Times New Roman" w:hAnsi="Times New Roman" w:cs="Times New Roman" w:eastAsiaTheme="minorEastAsia"/>
          <w:caps w:val="0"/>
          <w:smallCaps w:val="0"/>
          <w:sz w:val="24"/>
          <w:szCs w:val="24"/>
        </w:rPr>
        <w:t>的装卸作业，码头不设置储罐区，卸船通过管道直接输送至后方厂区储罐，</w:t>
      </w:r>
      <w:r>
        <w:rPr>
          <w:rFonts w:hint="eastAsia" w:ascii="Times New Roman" w:hAnsi="Times New Roman" w:cs="Times New Roman" w:eastAsiaTheme="minorEastAsia"/>
          <w:caps w:val="0"/>
          <w:smallCaps w:val="0"/>
          <w:sz w:val="24"/>
          <w:szCs w:val="24"/>
          <w:lang w:val="en-US" w:eastAsia="zh-CN"/>
        </w:rPr>
        <w:t>沥青</w:t>
      </w:r>
      <w:r>
        <w:rPr>
          <w:rFonts w:ascii="Times New Roman" w:hAnsi="Times New Roman" w:cs="Times New Roman" w:eastAsiaTheme="minorEastAsia"/>
          <w:caps w:val="0"/>
          <w:smallCaps w:val="0"/>
          <w:sz w:val="24"/>
          <w:szCs w:val="24"/>
        </w:rPr>
        <w:t>在密闭的压力管道内输送。本码头在码头接卸口处设置了收集池和围堰，收集池和围堰均采取了正确的防渗保护措施，物料接卸过程中滴漏的少量</w:t>
      </w:r>
      <w:r>
        <w:rPr>
          <w:rFonts w:hint="eastAsia" w:ascii="Times New Roman" w:hAnsi="Times New Roman" w:cs="Times New Roman" w:eastAsiaTheme="minorEastAsia"/>
          <w:caps w:val="0"/>
          <w:smallCaps w:val="0"/>
          <w:sz w:val="24"/>
          <w:szCs w:val="24"/>
          <w:lang w:val="en-US" w:eastAsia="zh-CN"/>
        </w:rPr>
        <w:t>沥青</w:t>
      </w:r>
      <w:r>
        <w:rPr>
          <w:rFonts w:ascii="Times New Roman" w:hAnsi="Times New Roman" w:cs="Times New Roman" w:eastAsiaTheme="minorEastAsia"/>
          <w:caps w:val="0"/>
          <w:smallCaps w:val="0"/>
          <w:sz w:val="24"/>
          <w:szCs w:val="24"/>
        </w:rPr>
        <w:t>通过收集池收集回收，围堰用于收集泄漏事故泄漏的</w:t>
      </w:r>
      <w:r>
        <w:rPr>
          <w:rFonts w:hint="eastAsia" w:ascii="Times New Roman" w:hAnsi="Times New Roman" w:cs="Times New Roman" w:eastAsiaTheme="minorEastAsia"/>
          <w:caps w:val="0"/>
          <w:smallCaps w:val="0"/>
          <w:sz w:val="24"/>
          <w:szCs w:val="24"/>
          <w:lang w:val="en-US" w:eastAsia="zh-CN"/>
        </w:rPr>
        <w:t>沥青</w:t>
      </w:r>
      <w:r>
        <w:rPr>
          <w:rFonts w:ascii="Times New Roman" w:hAnsi="Times New Roman" w:cs="Times New Roman" w:eastAsiaTheme="minorEastAsia"/>
          <w:caps w:val="0"/>
          <w:smallCaps w:val="0"/>
          <w:sz w:val="24"/>
          <w:szCs w:val="24"/>
        </w:rPr>
        <w:t>以及消防废水。</w:t>
      </w:r>
      <w:r>
        <w:rPr>
          <w:rFonts w:hint="eastAsia" w:ascii="Times New Roman" w:hAnsi="Times New Roman" w:cs="Times New Roman" w:eastAsiaTheme="minorEastAsia"/>
          <w:caps w:val="0"/>
          <w:smallCaps w:val="0"/>
          <w:sz w:val="24"/>
          <w:szCs w:val="24"/>
          <w:lang w:val="en-US" w:eastAsia="zh-CN"/>
        </w:rPr>
        <w:t>一般情况下，少量液态沥青遇水降温会凝固，在地面反而形成防水层，可阻止化学物质的进一步渗透。</w:t>
      </w:r>
      <w:r>
        <w:rPr>
          <w:rFonts w:ascii="Times New Roman" w:hAnsi="Times New Roman" w:cs="Times New Roman" w:eastAsiaTheme="minorEastAsia"/>
          <w:caps w:val="0"/>
          <w:smallCaps w:val="0"/>
          <w:sz w:val="24"/>
          <w:szCs w:val="24"/>
        </w:rPr>
        <w:t>因此，正常工况下本项目不会发生</w:t>
      </w:r>
      <w:r>
        <w:rPr>
          <w:rFonts w:hint="eastAsia" w:ascii="Times New Roman" w:hAnsi="Times New Roman" w:cs="Times New Roman" w:eastAsiaTheme="minorEastAsia"/>
          <w:caps w:val="0"/>
          <w:smallCaps w:val="0"/>
          <w:sz w:val="24"/>
          <w:szCs w:val="24"/>
          <w:lang w:val="en-US" w:eastAsia="zh-CN"/>
        </w:rPr>
        <w:t>大量沥青</w:t>
      </w:r>
      <w:r>
        <w:rPr>
          <w:rFonts w:ascii="Times New Roman" w:hAnsi="Times New Roman" w:cs="Times New Roman" w:eastAsiaTheme="minorEastAsia"/>
          <w:caps w:val="0"/>
          <w:smallCaps w:val="0"/>
          <w:sz w:val="24"/>
          <w:szCs w:val="24"/>
        </w:rPr>
        <w:t>渗漏，不会对地下水水质产生影响。</w:t>
      </w:r>
    </w:p>
    <w:p>
      <w:pPr>
        <w:spacing w:line="360" w:lineRule="auto"/>
        <w:ind w:firstLine="480"/>
        <w:jc w:val="left"/>
        <w:rPr>
          <w:rFonts w:ascii="Times New Roman" w:hAnsi="Times New Roman" w:cs="Times New Roman"/>
          <w:caps w:val="0"/>
          <w:smallCaps w:val="0"/>
          <w:sz w:val="24"/>
        </w:rPr>
      </w:pPr>
      <w:r>
        <w:rPr>
          <w:rFonts w:ascii="Times New Roman" w:hAnsi="Times New Roman" w:cs="Times New Roman"/>
          <w:caps w:val="0"/>
          <w:smallCaps w:val="0"/>
          <w:sz w:val="24"/>
        </w:rPr>
        <w:t>本项目运营期产生的污水主要包括船舶含油污水、船舶生活污水、趸船冲洗废水</w:t>
      </w:r>
      <w:r>
        <w:rPr>
          <w:rFonts w:hint="eastAsia" w:ascii="Times New Roman" w:hAnsi="Times New Roman" w:cs="Times New Roman"/>
          <w:caps w:val="0"/>
          <w:smallCaps w:val="0"/>
          <w:sz w:val="24"/>
          <w:lang w:eastAsia="zh-CN"/>
        </w:rPr>
        <w:t>、</w:t>
      </w:r>
      <w:r>
        <w:rPr>
          <w:rFonts w:hint="eastAsia" w:ascii="Times New Roman" w:hAnsi="Times New Roman" w:cs="Times New Roman"/>
          <w:caps w:val="0"/>
          <w:smallCaps w:val="0"/>
          <w:sz w:val="24"/>
          <w:lang w:val="en-US" w:eastAsia="zh-CN"/>
        </w:rPr>
        <w:t>码头生活污水</w:t>
      </w:r>
      <w:r>
        <w:rPr>
          <w:rFonts w:ascii="Times New Roman" w:hAnsi="Times New Roman" w:cs="Times New Roman"/>
          <w:caps w:val="0"/>
          <w:smallCaps w:val="0"/>
          <w:sz w:val="24"/>
        </w:rPr>
        <w:t>等。根据项目建设单位提供的资料，项目营运期船舶含油污水、</w:t>
      </w:r>
      <w:r>
        <w:rPr>
          <w:rFonts w:hint="eastAsia" w:ascii="Times New Roman" w:hAnsi="Times New Roman" w:cs="Times New Roman"/>
          <w:caps w:val="0"/>
          <w:smallCaps w:val="0"/>
          <w:sz w:val="24"/>
          <w:lang w:val="en-US" w:eastAsia="zh-CN"/>
        </w:rPr>
        <w:t>船舶</w:t>
      </w:r>
      <w:r>
        <w:rPr>
          <w:rFonts w:ascii="Times New Roman" w:hAnsi="Times New Roman" w:cs="Times New Roman"/>
          <w:caps w:val="0"/>
          <w:smallCaps w:val="0"/>
          <w:sz w:val="24"/>
        </w:rPr>
        <w:t>生活污水、趸船地面冲洗废水</w:t>
      </w:r>
      <w:r>
        <w:rPr>
          <w:rFonts w:hint="eastAsia" w:ascii="Times New Roman" w:hAnsi="Times New Roman" w:cs="Times New Roman"/>
          <w:caps w:val="0"/>
          <w:smallCaps w:val="0"/>
          <w:sz w:val="24"/>
          <w:lang w:val="en-US" w:eastAsia="zh-CN"/>
        </w:rPr>
        <w:t>暂存于趸船污水箱内，定期交交通海事部门制定的环保接收船处理</w:t>
      </w:r>
      <w:r>
        <w:rPr>
          <w:rFonts w:ascii="Times New Roman" w:hAnsi="Times New Roman" w:cs="Times New Roman"/>
          <w:caps w:val="0"/>
          <w:smallCaps w:val="0"/>
          <w:sz w:val="24"/>
        </w:rPr>
        <w:t>。</w:t>
      </w:r>
      <w:r>
        <w:rPr>
          <w:rFonts w:hint="eastAsia" w:ascii="Times New Roman" w:hAnsi="Times New Roman" w:cs="Times New Roman"/>
          <w:caps w:val="0"/>
          <w:smallCaps w:val="0"/>
          <w:sz w:val="24"/>
          <w:lang w:val="en-US" w:eastAsia="zh-CN"/>
        </w:rPr>
        <w:t>码头生活污水依托项目岸上库区的化粪池处理。</w:t>
      </w:r>
      <w:r>
        <w:rPr>
          <w:rFonts w:ascii="Times New Roman" w:hAnsi="Times New Roman" w:cs="Times New Roman"/>
          <w:caps w:val="0"/>
          <w:smallCaps w:val="0"/>
          <w:sz w:val="24"/>
        </w:rPr>
        <w:t>因此项目产生的废水排放不会渗入地下。</w:t>
      </w:r>
    </w:p>
    <w:p>
      <w:pPr>
        <w:spacing w:line="360" w:lineRule="auto"/>
        <w:ind w:firstLine="480"/>
        <w:jc w:val="left"/>
        <w:rPr>
          <w:rFonts w:ascii="Times New Roman" w:hAnsi="Times New Roman" w:cs="Times New Roman"/>
          <w:caps w:val="0"/>
          <w:smallCaps w:val="0"/>
          <w:sz w:val="24"/>
        </w:rPr>
      </w:pPr>
      <w:r>
        <w:rPr>
          <w:rFonts w:ascii="Times New Roman" w:hAnsi="Times New Roman" w:cs="Times New Roman"/>
          <w:caps w:val="0"/>
          <w:smallCaps w:val="0"/>
          <w:sz w:val="24"/>
        </w:rPr>
        <w:t>综上所述，本项目运营期对地下水影响较小。</w:t>
      </w:r>
    </w:p>
    <w:p>
      <w:pPr>
        <w:pStyle w:val="5"/>
        <w:rPr>
          <w:rFonts w:ascii="Times New Roman" w:hAnsi="Times New Roman" w:cs="Times New Roman" w:eastAsiaTheme="minorEastAsia"/>
          <w:b/>
          <w:caps w:val="0"/>
          <w:smallCaps w:val="0"/>
        </w:rPr>
      </w:pPr>
      <w:bookmarkStart w:id="106" w:name="_Toc26987"/>
      <w:r>
        <w:rPr>
          <w:rFonts w:ascii="Times New Roman" w:hAnsi="Times New Roman" w:cs="Times New Roman" w:eastAsiaTheme="minorEastAsia"/>
          <w:b/>
          <w:caps w:val="0"/>
          <w:smallCaps w:val="0"/>
        </w:rPr>
        <w:t>环境空气影响评价</w:t>
      </w:r>
      <w:bookmarkEnd w:id="106"/>
    </w:p>
    <w:p>
      <w:pPr>
        <w:pStyle w:val="6"/>
        <w:rPr>
          <w:rFonts w:ascii="Times New Roman" w:hAnsi="Times New Roman" w:cs="Times New Roman" w:eastAsiaTheme="minorEastAsia"/>
          <w:caps w:val="0"/>
          <w:smallCaps w:val="0"/>
          <w:szCs w:val="24"/>
        </w:rPr>
      </w:pPr>
      <w:r>
        <w:rPr>
          <w:rFonts w:ascii="Times New Roman" w:hAnsi="Times New Roman" w:cs="Times New Roman" w:eastAsiaTheme="minorEastAsia"/>
          <w:caps w:val="0"/>
          <w:smallCaps w:val="0"/>
        </w:rPr>
        <w:t>施工期环境空气影响分析</w:t>
      </w:r>
    </w:p>
    <w:p>
      <w:pPr>
        <w:adjustRightInd w:val="0"/>
        <w:snapToGrid w:val="0"/>
        <w:spacing w:line="360" w:lineRule="auto"/>
        <w:ind w:firstLine="482"/>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w:t>
      </w:r>
      <w:r>
        <w:rPr>
          <w:rFonts w:hint="eastAsia" w:ascii="Times New Roman" w:hAnsi="Times New Roman" w:cs="Times New Roman" w:eastAsiaTheme="minorEastAsia"/>
          <w:b/>
          <w:caps w:val="0"/>
          <w:smallCaps w:val="0"/>
          <w:sz w:val="24"/>
          <w:szCs w:val="24"/>
        </w:rPr>
        <w:t>、</w:t>
      </w:r>
      <w:r>
        <w:rPr>
          <w:rFonts w:ascii="Times New Roman" w:hAnsi="Times New Roman" w:cs="Times New Roman" w:eastAsiaTheme="minorEastAsia"/>
          <w:b/>
          <w:caps w:val="0"/>
          <w:smallCaps w:val="0"/>
          <w:sz w:val="24"/>
          <w:szCs w:val="24"/>
        </w:rPr>
        <w:t>扬尘</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在施工过程中，扬尘污染主要来源于：</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土方的挖掘、堆放、清运、土方回填和场地平整等过程产生的扬尘</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sz w:val="24"/>
          <w:szCs w:val="24"/>
        </w:rPr>
        <w:t>建筑材料如水泥、白灰、砂子等在其装卸、运输、堆放过程中，因风力作用将产生扬尘污染；搅拌车辆和运输车辆往来将造成地面扬尘；施工垃圾在其堆放和清运过程中将产生扬尘。</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上述施工过程中产生的废气、扬尘将会造成周围大气环境污染，其中又以扬尘的危害较为严重。施工期间产生的扬尘污染主要决定于施工作业方式、材料的堆放及风力等因素，其中受风力因素的影响最大。在一般气象条件下，平均风速为2.5m/s，建筑工地内TSP浓度为其上风向对照点的2~2.5倍，建筑施工扬尘的影响范围在其下风向可达150m，影响范围内TSP浓度平均值可达0.49mg/m</w:t>
      </w:r>
      <w:r>
        <w:rPr>
          <w:rFonts w:ascii="Times New Roman" w:hAnsi="Times New Roman" w:cs="Times New Roman" w:eastAsiaTheme="minorEastAsia"/>
          <w:caps w:val="0"/>
          <w:smallCaps w:val="0"/>
          <w:sz w:val="24"/>
          <w:szCs w:val="24"/>
          <w:vertAlign w:val="superscript"/>
        </w:rPr>
        <w:t>3</w:t>
      </w:r>
      <w:r>
        <w:rPr>
          <w:rFonts w:ascii="Times New Roman" w:hAnsi="Times New Roman" w:cs="Times New Roman" w:eastAsiaTheme="minorEastAsia"/>
          <w:caps w:val="0"/>
          <w:smallCaps w:val="0"/>
          <w:sz w:val="24"/>
          <w:szCs w:val="24"/>
        </w:rPr>
        <w:t>。当有围栏时，同等条件下其影响距离可缩短40%。当风速大于5m/s，施工现场及其下风向部分区域的TSP浓度将超过空气质量标准中的三级标准，而且随着风速的增加，施工扬尘产生的污染程度和超标范围也将随之增强和扩大。</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由于本项目建设周期短，牵涉的范围也较小，且当地的大气扩散条件较好，空气湿润，降雨量大，这在一定程度上可减轻扬尘的影响。因此工程施工造成的TSP污染程度较小、时间较短。随着施工的结束，这种影响也随之结束。</w:t>
      </w:r>
    </w:p>
    <w:p>
      <w:pPr>
        <w:adjustRightInd w:val="0"/>
        <w:snapToGrid w:val="0"/>
        <w:spacing w:line="360" w:lineRule="auto"/>
        <w:ind w:firstLine="482"/>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w:t>
      </w:r>
      <w:r>
        <w:rPr>
          <w:rFonts w:ascii="Times New Roman" w:hAnsi="Times New Roman" w:cs="Times New Roman" w:eastAsiaTheme="minorEastAsia"/>
          <w:b/>
          <w:caps w:val="0"/>
          <w:smallCaps w:val="0"/>
          <w:sz w:val="24"/>
          <w:szCs w:val="24"/>
        </w:rPr>
        <w:t>恶臭</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河道底泥富含腐殖质，在受到扰动和</w:t>
      </w:r>
      <w:r>
        <w:rPr>
          <w:rFonts w:hint="eastAsia" w:ascii="Times New Roman" w:hAnsi="Times New Roman" w:cs="Times New Roman" w:eastAsiaTheme="minorEastAsia"/>
          <w:caps w:val="0"/>
          <w:smallCaps w:val="0"/>
          <w:sz w:val="24"/>
          <w:szCs w:val="24"/>
          <w:lang w:eastAsia="zh-CN"/>
        </w:rPr>
        <w:t>转运</w:t>
      </w:r>
      <w:r>
        <w:rPr>
          <w:rFonts w:ascii="Times New Roman" w:hAnsi="Times New Roman" w:cs="Times New Roman" w:eastAsiaTheme="minorEastAsia"/>
          <w:caps w:val="0"/>
          <w:smallCaps w:val="0"/>
          <w:sz w:val="24"/>
          <w:szCs w:val="24"/>
        </w:rPr>
        <w:t>时，会引起恶臭物质</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sz w:val="24"/>
          <w:szCs w:val="24"/>
        </w:rPr>
        <w:t>主要是氨、硫化氢</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sz w:val="24"/>
          <w:szCs w:val="24"/>
        </w:rPr>
        <w:t>呈无组织状态释放，从而影响周围环境空气质量。本项目的恶臭影响主要来自疏浚底泥</w:t>
      </w:r>
      <w:r>
        <w:rPr>
          <w:rFonts w:hint="eastAsia" w:ascii="Times New Roman" w:hAnsi="Times New Roman" w:cs="Times New Roman" w:eastAsiaTheme="minorEastAsia"/>
          <w:caps w:val="0"/>
          <w:smallCaps w:val="0"/>
          <w:sz w:val="24"/>
          <w:szCs w:val="24"/>
          <w:lang w:val="en-US" w:eastAsia="zh-CN"/>
        </w:rPr>
        <w:t>运输</w:t>
      </w:r>
      <w:r>
        <w:rPr>
          <w:rFonts w:ascii="Times New Roman" w:hAnsi="Times New Roman" w:cs="Times New Roman" w:eastAsiaTheme="minorEastAsia"/>
          <w:caps w:val="0"/>
          <w:smallCaps w:val="0"/>
          <w:sz w:val="24"/>
          <w:szCs w:val="24"/>
        </w:rPr>
        <w:t>。</w:t>
      </w:r>
    </w:p>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sz w:val="24"/>
          <w:szCs w:val="24"/>
        </w:rPr>
        <w:t>恶臭气体是多组分、低浓度化学物质形成的混合物，成份和含量均难以确定，是一种感官性指标。</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本项目底泥</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不</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在码头区域临时堆存，</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直接通过运输车辆运走，车辆应密闭运输，防止对沿线</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居民造成</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影响。</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营运期环境空气影响分析</w:t>
      </w:r>
    </w:p>
    <w:p>
      <w:pPr>
        <w:pStyle w:val="7"/>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废气源强</w:t>
      </w:r>
    </w:p>
    <w:p>
      <w:pPr>
        <w:spacing w:line="480" w:lineRule="exact"/>
        <w:ind w:firstLine="422" w:firstLineChars="176"/>
        <w:jc w:val="left"/>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污染物评价标准和来源见下表。</w:t>
      </w:r>
    </w:p>
    <w:p>
      <w:pPr>
        <w:adjustRightInd w:val="0"/>
        <w:snapToGrid w:val="0"/>
        <w:spacing w:line="276" w:lineRule="auto"/>
        <w:jc w:val="center"/>
        <w:rPr>
          <w:rFonts w:ascii="Times New Roman" w:hAnsi="Times New Roman" w:cs="Times New Roman"/>
          <w:caps w:val="0"/>
          <w:smallCaps w:val="0"/>
          <w:color w:val="000000" w:themeColor="text1"/>
          <w:sz w:val="28"/>
          <w:szCs w:val="28"/>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5</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3</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-1</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污染物评价标准</w:t>
      </w:r>
    </w:p>
    <w:tbl>
      <w:tblPr>
        <w:tblStyle w:val="71"/>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294"/>
        <w:gridCol w:w="964"/>
        <w:gridCol w:w="1130"/>
        <w:gridCol w:w="1130"/>
        <w:gridCol w:w="382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76"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污染物名称</w:t>
            </w:r>
          </w:p>
        </w:tc>
        <w:tc>
          <w:tcPr>
            <w:tcW w:w="578"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功能区</w:t>
            </w:r>
          </w:p>
        </w:tc>
        <w:tc>
          <w:tcPr>
            <w:tcW w:w="677"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取值时间</w:t>
            </w:r>
          </w:p>
        </w:tc>
        <w:tc>
          <w:tcPr>
            <w:tcW w:w="677"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标准值(μg/m³)</w:t>
            </w:r>
          </w:p>
        </w:tc>
        <w:tc>
          <w:tcPr>
            <w:tcW w:w="2292"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标准来源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776"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TVOC</w:t>
            </w:r>
          </w:p>
        </w:tc>
        <w:tc>
          <w:tcPr>
            <w:tcW w:w="578"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二类限区</w:t>
            </w:r>
          </w:p>
        </w:tc>
        <w:tc>
          <w:tcPr>
            <w:tcW w:w="677"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8小时</w:t>
            </w:r>
          </w:p>
        </w:tc>
        <w:tc>
          <w:tcPr>
            <w:tcW w:w="677"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600.0</w:t>
            </w:r>
          </w:p>
        </w:tc>
        <w:tc>
          <w:tcPr>
            <w:tcW w:w="2292"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《环境影响评价技术导则-大气环境》HJ 2.2-2018附录D</w:t>
            </w:r>
          </w:p>
        </w:tc>
      </w:tr>
    </w:tbl>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p>
    <w:p>
      <w:pPr>
        <w:adjustRightInd w:val="0"/>
        <w:snapToGrid w:val="0"/>
        <w:spacing w:line="360"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根据工程分析，本项目大气污染物预测源强及预测参数见表</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.3-</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2</w:t>
      </w:r>
    </w:p>
    <w:p>
      <w:pPr>
        <w:spacing w:line="480" w:lineRule="exact"/>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5</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3</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2</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主要废气污染源参数一览表</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矩形面源</w:t>
      </w: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w:t>
      </w:r>
    </w:p>
    <w:tbl>
      <w:tblPr>
        <w:tblStyle w:val="72"/>
        <w:tblW w:w="5000"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807"/>
        <w:gridCol w:w="1137"/>
        <w:gridCol w:w="1043"/>
        <w:gridCol w:w="871"/>
        <w:gridCol w:w="910"/>
        <w:gridCol w:w="910"/>
        <w:gridCol w:w="880"/>
        <w:gridCol w:w="178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484" w:type="pct"/>
            <w:vMerge w:val="restar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污染源名称</w:t>
            </w:r>
          </w:p>
        </w:tc>
        <w:tc>
          <w:tcPr>
            <w:tcW w:w="1306"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坐标(°)</w:t>
            </w:r>
          </w:p>
        </w:tc>
        <w:tc>
          <w:tcPr>
            <w:tcW w:w="2139" w:type="pct"/>
            <w:gridSpan w:val="4"/>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矩形面源</w:t>
            </w:r>
          </w:p>
        </w:tc>
        <w:tc>
          <w:tcPr>
            <w:tcW w:w="1069"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污染物排放速率(kg/h)</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84"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6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经度</w:t>
            </w:r>
          </w:p>
        </w:tc>
        <w:tc>
          <w:tcPr>
            <w:tcW w:w="625"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纬度</w:t>
            </w:r>
          </w:p>
        </w:tc>
        <w:tc>
          <w:tcPr>
            <w:tcW w:w="522"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海拔高度(m)</w:t>
            </w:r>
          </w:p>
        </w:tc>
        <w:tc>
          <w:tcPr>
            <w:tcW w:w="545"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长度(m)</w:t>
            </w:r>
          </w:p>
        </w:tc>
        <w:tc>
          <w:tcPr>
            <w:tcW w:w="545"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宽度(m)</w:t>
            </w:r>
          </w:p>
        </w:tc>
        <w:tc>
          <w:tcPr>
            <w:tcW w:w="526"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有效高度(m)</w:t>
            </w:r>
          </w:p>
        </w:tc>
        <w:tc>
          <w:tcPr>
            <w:tcW w:w="1069"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VOCs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484"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矩形面源</w:t>
            </w:r>
          </w:p>
        </w:tc>
        <w:tc>
          <w:tcPr>
            <w:tcW w:w="681"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11</w:t>
            </w:r>
            <w:r>
              <w:rPr>
                <w:rFonts w:hint="eastAsia" w:ascii="Times New Roman" w:hAnsi="Times New Roman" w:cs="Times New Roman"/>
                <w:caps w:val="0"/>
                <w:smallCaps w:val="0"/>
                <w:lang w:val="en-US" w:eastAsia="zh-CN"/>
              </w:rPr>
              <w:t>2</w:t>
            </w:r>
            <w:r>
              <w:rPr>
                <w:rFonts w:ascii="Times New Roman" w:hAnsi="Times New Roman" w:cs="Times New Roman"/>
                <w:caps w:val="0"/>
                <w:smallCaps w:val="0"/>
              </w:rPr>
              <w:t>.</w:t>
            </w:r>
            <w:r>
              <w:rPr>
                <w:rFonts w:hint="eastAsia" w:ascii="Times New Roman" w:hAnsi="Times New Roman" w:cs="Times New Roman"/>
                <w:caps w:val="0"/>
                <w:smallCaps w:val="0"/>
                <w:lang w:val="en-US" w:eastAsia="zh-CN"/>
              </w:rPr>
              <w:t>89639</w:t>
            </w:r>
          </w:p>
        </w:tc>
        <w:tc>
          <w:tcPr>
            <w:tcW w:w="625"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2</w:t>
            </w:r>
            <w:r>
              <w:rPr>
                <w:rFonts w:hint="eastAsia" w:ascii="Times New Roman" w:hAnsi="Times New Roman" w:cs="Times New Roman"/>
                <w:caps w:val="0"/>
                <w:smallCaps w:val="0"/>
                <w:lang w:val="en-US" w:eastAsia="zh-CN"/>
              </w:rPr>
              <w:t>8</w:t>
            </w:r>
            <w:r>
              <w:rPr>
                <w:rFonts w:ascii="Times New Roman" w:hAnsi="Times New Roman" w:cs="Times New Roman"/>
                <w:caps w:val="0"/>
                <w:smallCaps w:val="0"/>
              </w:rPr>
              <w:t>.</w:t>
            </w:r>
            <w:r>
              <w:rPr>
                <w:rFonts w:hint="eastAsia" w:ascii="Times New Roman" w:hAnsi="Times New Roman" w:cs="Times New Roman"/>
                <w:caps w:val="0"/>
                <w:smallCaps w:val="0"/>
                <w:lang w:val="en-US" w:eastAsia="zh-CN"/>
              </w:rPr>
              <w:t>86491</w:t>
            </w:r>
          </w:p>
        </w:tc>
        <w:tc>
          <w:tcPr>
            <w:tcW w:w="522"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25.6</w:t>
            </w:r>
          </w:p>
        </w:tc>
        <w:tc>
          <w:tcPr>
            <w:tcW w:w="545"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90</w:t>
            </w:r>
          </w:p>
        </w:tc>
        <w:tc>
          <w:tcPr>
            <w:tcW w:w="545"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14.8</w:t>
            </w:r>
          </w:p>
        </w:tc>
        <w:tc>
          <w:tcPr>
            <w:tcW w:w="526"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2</w:t>
            </w:r>
            <w:r>
              <w:rPr>
                <w:rFonts w:ascii="Times New Roman" w:hAnsi="Times New Roman" w:cs="Times New Roman"/>
                <w:caps w:val="0"/>
                <w:smallCaps w:val="0"/>
              </w:rPr>
              <w:t>.00</w:t>
            </w:r>
          </w:p>
        </w:tc>
        <w:tc>
          <w:tcPr>
            <w:tcW w:w="1069"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00174</w:t>
            </w:r>
          </w:p>
        </w:tc>
      </w:tr>
    </w:tbl>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预测模式</w:t>
      </w:r>
    </w:p>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根据《环境影响评价技术导则大气环境》</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HJ2.2-2018</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要求，选择正常排放情况下排放的污染物，采用估算模式AERSCREEN对正常工况下各污染源各污染物分别进行估算以确定评价等级，计算参数如表</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3-</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所示。</w:t>
      </w:r>
    </w:p>
    <w:p>
      <w:pPr>
        <w:adjustRightInd w:val="0"/>
        <w:snapToGrid w:val="0"/>
        <w:spacing w:line="276"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.3-</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3</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估算模型参数表</w:t>
      </w:r>
    </w:p>
    <w:tbl>
      <w:tblPr>
        <w:tblStyle w:val="71"/>
        <w:tblW w:w="499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2479"/>
        <w:gridCol w:w="1548"/>
        <w:gridCol w:w="1653"/>
        <w:gridCol w:w="266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2414"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参数</w:t>
            </w:r>
          </w:p>
        </w:tc>
        <w:tc>
          <w:tcPr>
            <w:tcW w:w="2585"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取值</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486" w:type="pct"/>
            <w:vMerge w:val="restar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城市/农村选项</w:t>
            </w:r>
          </w:p>
        </w:tc>
        <w:tc>
          <w:tcPr>
            <w:tcW w:w="1919"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城市/农村</w:t>
            </w:r>
          </w:p>
        </w:tc>
        <w:tc>
          <w:tcPr>
            <w:tcW w:w="1594"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农村</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48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919"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人口数</w:t>
            </w:r>
            <w:r>
              <w:rPr>
                <w:rFonts w:hint="eastAsia" w:ascii="Times New Roman" w:hAnsi="Times New Roman" w:cs="Times New Roman"/>
                <w:caps w:val="0"/>
                <w:smallCaps w:val="0"/>
              </w:rPr>
              <w:t>（</w:t>
            </w:r>
            <w:r>
              <w:rPr>
                <w:rFonts w:ascii="Times New Roman" w:hAnsi="Times New Roman" w:cs="Times New Roman"/>
                <w:caps w:val="0"/>
                <w:smallCaps w:val="0"/>
              </w:rPr>
              <w:t>城市人口数</w:t>
            </w:r>
            <w:r>
              <w:rPr>
                <w:rFonts w:hint="eastAsia" w:ascii="Times New Roman" w:hAnsi="Times New Roman" w:cs="Times New Roman"/>
                <w:caps w:val="0"/>
                <w:smallCaps w:val="0"/>
              </w:rPr>
              <w:t>）</w:t>
            </w:r>
          </w:p>
        </w:tc>
        <w:tc>
          <w:tcPr>
            <w:tcW w:w="1594"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2414"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最高环境温度</w:t>
            </w:r>
          </w:p>
        </w:tc>
        <w:tc>
          <w:tcPr>
            <w:tcW w:w="2585"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2414"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最低环境温度</w:t>
            </w:r>
          </w:p>
        </w:tc>
        <w:tc>
          <w:tcPr>
            <w:tcW w:w="2585"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2414"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土地利用类型</w:t>
            </w:r>
          </w:p>
        </w:tc>
        <w:tc>
          <w:tcPr>
            <w:tcW w:w="2585"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农田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2414"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区域湿度条件</w:t>
            </w:r>
          </w:p>
        </w:tc>
        <w:tc>
          <w:tcPr>
            <w:tcW w:w="2585"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中等湿度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486" w:type="pct"/>
            <w:vMerge w:val="restar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是否考虑地形</w:t>
            </w:r>
          </w:p>
        </w:tc>
        <w:tc>
          <w:tcPr>
            <w:tcW w:w="1919"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考虑地形</w:t>
            </w:r>
          </w:p>
        </w:tc>
        <w:tc>
          <w:tcPr>
            <w:tcW w:w="1594"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是</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48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919"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地形数据分辨率(m)</w:t>
            </w:r>
          </w:p>
        </w:tc>
        <w:tc>
          <w:tcPr>
            <w:tcW w:w="1594"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486" w:type="pct"/>
            <w:vMerge w:val="restar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是否考虑岸线熏烟</w:t>
            </w:r>
          </w:p>
        </w:tc>
        <w:tc>
          <w:tcPr>
            <w:tcW w:w="1919"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考虑岸线熏烟</w:t>
            </w:r>
          </w:p>
        </w:tc>
        <w:tc>
          <w:tcPr>
            <w:tcW w:w="1594"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48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919"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岸线距离/m</w:t>
            </w:r>
          </w:p>
        </w:tc>
        <w:tc>
          <w:tcPr>
            <w:tcW w:w="1594"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486"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919"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岸线方向/°</w:t>
            </w:r>
          </w:p>
        </w:tc>
        <w:tc>
          <w:tcPr>
            <w:tcW w:w="1594"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bl>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地形数据</w:t>
      </w:r>
    </w:p>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地形数据采用美国NASA2000年的SRTM90m数字高程地形数据，精度约为90m。</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评价等级</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本项目所有污染源的正常排放的污染物的Pmax和D10%预测结果如下：</w:t>
      </w:r>
    </w:p>
    <w:p>
      <w:pPr>
        <w:adjustRightInd w:val="0"/>
        <w:snapToGrid w:val="0"/>
        <w:spacing w:line="276"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.3-</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4</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 xml:space="preserve"> Pmax和D10%预测和计算结果一览表</w:t>
      </w:r>
    </w:p>
    <w:tbl>
      <w:tblPr>
        <w:tblStyle w:val="71"/>
        <w:tblW w:w="5013"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299"/>
        <w:gridCol w:w="1098"/>
        <w:gridCol w:w="2109"/>
        <w:gridCol w:w="1836"/>
        <w:gridCol w:w="1001"/>
        <w:gridCol w:w="102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461" w:hRule="atLeast"/>
        </w:trPr>
        <w:tc>
          <w:tcPr>
            <w:tcW w:w="776"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污染源名称</w:t>
            </w:r>
          </w:p>
        </w:tc>
        <w:tc>
          <w:tcPr>
            <w:tcW w:w="656"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评价因子</w:t>
            </w:r>
          </w:p>
        </w:tc>
        <w:tc>
          <w:tcPr>
            <w:tcW w:w="1260"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评价标准(μg/m³)</w:t>
            </w:r>
          </w:p>
        </w:tc>
        <w:tc>
          <w:tcPr>
            <w:tcW w:w="1097"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Cmax(μg/m³)</w:t>
            </w:r>
          </w:p>
        </w:tc>
        <w:tc>
          <w:tcPr>
            <w:tcW w:w="598"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Pmax(%)</w:t>
            </w:r>
          </w:p>
        </w:tc>
        <w:tc>
          <w:tcPr>
            <w:tcW w:w="610"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D10%(m)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9" w:hRule="atLeast"/>
        </w:trPr>
        <w:tc>
          <w:tcPr>
            <w:tcW w:w="776"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矩形面源</w:t>
            </w:r>
          </w:p>
        </w:tc>
        <w:tc>
          <w:tcPr>
            <w:tcW w:w="656"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VOCs</w:t>
            </w:r>
          </w:p>
        </w:tc>
        <w:tc>
          <w:tcPr>
            <w:tcW w:w="1260"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1200.0</w:t>
            </w:r>
          </w:p>
        </w:tc>
        <w:tc>
          <w:tcPr>
            <w:tcW w:w="1097"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6.91</w:t>
            </w:r>
          </w:p>
        </w:tc>
        <w:tc>
          <w:tcPr>
            <w:tcW w:w="598"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58</w:t>
            </w:r>
          </w:p>
        </w:tc>
        <w:tc>
          <w:tcPr>
            <w:tcW w:w="610"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bl>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p>
    <w:p>
      <w:pPr>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本项目Pmax最大值出现为点源排放的VOCsPmax值为</w:t>
      </w:r>
      <w:r>
        <w:rPr>
          <w:rFonts w:hint="eastAsia" w:ascii="Times New Roman" w:hAnsi="Times New Roman" w:cs="Times New Roman"/>
          <w:caps w:val="0"/>
          <w:smallCaps w:val="0"/>
          <w:color w:val="000000" w:themeColor="text1"/>
          <w:sz w:val="24"/>
          <w:szCs w:val="24"/>
          <w:lang w:val="en-US" w:eastAsia="zh-CN"/>
          <w14:textFill>
            <w14:solidFill>
              <w14:schemeClr w14:val="tx1"/>
            </w14:solidFill>
          </w14:textFill>
        </w:rPr>
        <w:t>0.58</w:t>
      </w:r>
      <w:r>
        <w:rPr>
          <w:rFonts w:ascii="Times New Roman" w:hAnsi="Times New Roman" w:cs="Times New Roman"/>
          <w:caps w:val="0"/>
          <w:smallCaps w:val="0"/>
          <w:color w:val="000000" w:themeColor="text1"/>
          <w:sz w:val="24"/>
          <w:szCs w:val="24"/>
          <w14:textFill>
            <w14:solidFill>
              <w14:schemeClr w14:val="tx1"/>
            </w14:solidFill>
          </w14:textFill>
        </w:rPr>
        <w:t>%</w:t>
      </w:r>
      <w:r>
        <w:rPr>
          <w:rFonts w:hint="eastAsia" w:ascii="Times New Roman" w:hAnsi="Times New Roman" w:cs="Times New Roman"/>
          <w:caps w:val="0"/>
          <w:smallCaps w:val="0"/>
          <w:color w:val="000000" w:themeColor="text1"/>
          <w:sz w:val="24"/>
          <w:szCs w:val="24"/>
          <w14:textFill>
            <w14:solidFill>
              <w14:schemeClr w14:val="tx1"/>
            </w14:solidFill>
          </w14:textFill>
        </w:rPr>
        <w:t>，</w:t>
      </w:r>
      <w:r>
        <w:rPr>
          <w:rFonts w:ascii="Times New Roman" w:hAnsi="Times New Roman" w:cs="Times New Roman"/>
          <w:caps w:val="0"/>
          <w:smallCaps w:val="0"/>
          <w:color w:val="000000" w:themeColor="text1"/>
          <w:sz w:val="24"/>
          <w:szCs w:val="24"/>
          <w14:textFill>
            <w14:solidFill>
              <w14:schemeClr w14:val="tx1"/>
            </w14:solidFill>
          </w14:textFill>
        </w:rPr>
        <w:t>Cmax为</w:t>
      </w:r>
      <w:r>
        <w:rPr>
          <w:rFonts w:hint="eastAsia" w:ascii="Times New Roman" w:hAnsi="Times New Roman" w:cs="Times New Roman"/>
          <w:caps w:val="0"/>
          <w:smallCaps w:val="0"/>
          <w:color w:val="000000" w:themeColor="text1"/>
          <w:sz w:val="24"/>
          <w:szCs w:val="24"/>
          <w:lang w:val="en-US" w:eastAsia="zh-CN"/>
          <w14:textFill>
            <w14:solidFill>
              <w14:schemeClr w14:val="tx1"/>
            </w14:solidFill>
          </w14:textFill>
        </w:rPr>
        <w:t>6.91</w:t>
      </w:r>
      <w:r>
        <w:rPr>
          <w:rFonts w:ascii="Times New Roman" w:hAnsi="Times New Roman" w:cs="Times New Roman"/>
          <w:caps w:val="0"/>
          <w:smallCaps w:val="0"/>
          <w:color w:val="000000" w:themeColor="text1"/>
          <w:sz w:val="24"/>
          <w:szCs w:val="24"/>
          <w14:textFill>
            <w14:solidFill>
              <w14:schemeClr w14:val="tx1"/>
            </w14:solidFill>
          </w14:textFill>
        </w:rPr>
        <w:t>5μg/m³，根据《环境影响评价技术导则大气环境》（HJ2.2-2018）分级判据，确定本项目大气环境影响评价工作等级为</w:t>
      </w:r>
      <w:r>
        <w:rPr>
          <w:rFonts w:hint="eastAsia" w:ascii="Times New Roman" w:hAnsi="Times New Roman" w:cs="Times New Roman"/>
          <w:caps w:val="0"/>
          <w:smallCaps w:val="0"/>
          <w:color w:val="000000" w:themeColor="text1"/>
          <w:sz w:val="24"/>
          <w:szCs w:val="24"/>
          <w:lang w:val="en-US" w:eastAsia="zh-CN"/>
          <w14:textFill>
            <w14:solidFill>
              <w14:schemeClr w14:val="tx1"/>
            </w14:solidFill>
          </w14:textFill>
        </w:rPr>
        <w:t>三</w:t>
      </w:r>
      <w:r>
        <w:rPr>
          <w:rFonts w:ascii="Times New Roman" w:hAnsi="Times New Roman" w:cs="Times New Roman"/>
          <w:caps w:val="0"/>
          <w:smallCaps w:val="0"/>
          <w:color w:val="000000" w:themeColor="text1"/>
          <w:sz w:val="24"/>
          <w:szCs w:val="24"/>
          <w14:textFill>
            <w14:solidFill>
              <w14:schemeClr w14:val="tx1"/>
            </w14:solidFill>
          </w14:textFill>
        </w:rPr>
        <w:t>级。</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预测结果</w:t>
      </w:r>
    </w:p>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估算模式详细预测结果见表</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.3-</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w:t>
      </w:r>
    </w:p>
    <w:p>
      <w:pPr>
        <w:adjustRightInd w:val="0"/>
        <w:snapToGrid w:val="0"/>
        <w:spacing w:line="276"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表</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.3-</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5</w:t>
      </w: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面源污染物预测结果一览表</w:t>
      </w:r>
    </w:p>
    <w:tbl>
      <w:tblPr>
        <w:tblStyle w:val="71"/>
        <w:tblW w:w="4997"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2970"/>
        <w:gridCol w:w="2984"/>
        <w:gridCol w:w="238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blHeader/>
        </w:trPr>
        <w:tc>
          <w:tcPr>
            <w:tcW w:w="1781" w:type="pct"/>
            <w:vMerge w:val="restar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下风向距离</w:t>
            </w:r>
          </w:p>
        </w:tc>
        <w:tc>
          <w:tcPr>
            <w:tcW w:w="3218" w:type="pct"/>
            <w:gridSpan w:val="2"/>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矩形面源</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8" w:hRule="atLeast"/>
          <w:tblHeader/>
        </w:trPr>
        <w:tc>
          <w:tcPr>
            <w:tcW w:w="1781"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789"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VOCs浓度(μg/m³)</w:t>
            </w:r>
          </w:p>
        </w:tc>
        <w:tc>
          <w:tcPr>
            <w:tcW w:w="1428"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VOCs占标率(%)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r>
              <w:rPr>
                <w:rFonts w:hint="eastAsia" w:ascii="Times New Roman" w:hAnsi="Times New Roman" w:cs="Times New Roman"/>
                <w:caps w:val="0"/>
                <w:smallCaps w:val="0"/>
                <w:lang w:val="en-US" w:eastAsia="zh-CN"/>
              </w:rPr>
              <w:t>0</w:t>
            </w:r>
            <w:r>
              <w:rPr>
                <w:rFonts w:ascii="Times New Roman" w:hAnsi="Times New Roman" w:cs="Times New Roman"/>
                <w:caps w:val="0"/>
                <w:smallCaps w:val="0"/>
              </w:rPr>
              <w:t>.0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0.44</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0.00522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25.0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0.48</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0.00581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0.55</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0.00660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61.0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0.58</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0.00691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75.0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0.5</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0.00604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0.36</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0.00437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0.15</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0.00179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0.09</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0.00105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0.06</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0.00072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0.04</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0.00053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0.03</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0.00042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0.03</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0.00034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0.02</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0.00028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0.02</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0.00024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0.02</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0.00021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0.02</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0.00018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12</w:t>
            </w:r>
            <w:r>
              <w:rPr>
                <w:rFonts w:ascii="Times New Roman" w:hAnsi="Times New Roman" w:cs="Times New Roman"/>
                <w:caps w:val="0"/>
                <w:smallCaps w:val="0"/>
              </w:rPr>
              <w:t>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0.01</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0.00016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500.0</w:t>
            </w:r>
          </w:p>
        </w:tc>
        <w:tc>
          <w:tcPr>
            <w:tcW w:w="2984"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0.01</w:t>
            </w:r>
          </w:p>
        </w:tc>
        <w:tc>
          <w:tcPr>
            <w:tcW w:w="2383" w:type="dxa"/>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0.00012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下风向最大浓度</w:t>
            </w:r>
          </w:p>
        </w:tc>
        <w:tc>
          <w:tcPr>
            <w:tcW w:w="1789"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6.91</w:t>
            </w:r>
          </w:p>
        </w:tc>
        <w:tc>
          <w:tcPr>
            <w:tcW w:w="1428"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58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下风向最大浓度出现距离</w:t>
            </w:r>
          </w:p>
        </w:tc>
        <w:tc>
          <w:tcPr>
            <w:tcW w:w="1789"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61</w:t>
            </w:r>
          </w:p>
        </w:tc>
        <w:tc>
          <w:tcPr>
            <w:tcW w:w="1428"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0.58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trPr>
        <w:tc>
          <w:tcPr>
            <w:tcW w:w="1781"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D10%最远距离</w:t>
            </w:r>
          </w:p>
        </w:tc>
        <w:tc>
          <w:tcPr>
            <w:tcW w:w="1789"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1428" w:type="pct"/>
            <w:tcBorders>
              <w:tl2br w:val="nil"/>
              <w:tr2bl w:val="nil"/>
            </w:tcBorders>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bl>
    <w:p>
      <w:pPr>
        <w:adjustRightInd w:val="0"/>
        <w:snapToGrid w:val="0"/>
        <w:spacing w:line="276" w:lineRule="auto"/>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p>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从估算模式的计算结果表可以看出，无组织排放的VOCs最大落地浓度为</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6.91</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μg/m</w:t>
      </w:r>
      <w:r>
        <w:rPr>
          <w:rFonts w:ascii="Times New Roman" w:hAnsi="Times New Roman" w:cs="Times New Roman" w:eastAsiaTheme="minorEastAsia"/>
          <w:caps w:val="0"/>
          <w:smallCaps w:val="0"/>
          <w:color w:val="000000" w:themeColor="text1"/>
          <w:sz w:val="24"/>
          <w:szCs w:val="24"/>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，对应的最大占标率为0.</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58</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%，不超过1%，满足《环境影响评价技术导则大气环境》</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HJ2.2-2018）附录D中相应限值要求。</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污染物排放量核算</w:t>
      </w:r>
    </w:p>
    <w:p>
      <w:pPr>
        <w:pStyle w:val="2"/>
        <w:adjustRightInd w:val="0"/>
        <w:snapToGrid w:val="0"/>
        <w:spacing w:after="0"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本项目大气环境影响评价工作等级为</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三</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级，根据《环境影响评价技术导则大气环境》（HJ2.2-2018）中8.1.2内容：</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三</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级评价项目不进行进一步预测与评价，只对污染物排放量进行核算。</w:t>
      </w:r>
    </w:p>
    <w:p>
      <w:pPr>
        <w:pStyle w:val="691"/>
        <w:snapToGrid w:val="0"/>
        <w:spacing w:beforeLines="0" w:afterLines="0" w:line="276" w:lineRule="auto"/>
        <w:ind w:firstLine="482"/>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表</w:t>
      </w:r>
      <w:r>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t>5</w:t>
      </w:r>
      <w:r>
        <w:rPr>
          <w:rFonts w:ascii="Times New Roman" w:hAnsi="Times New Roman" w:cs="Times New Roman" w:eastAsiaTheme="minorEastAsia"/>
          <w:caps w:val="0"/>
          <w:smallCaps w:val="0"/>
          <w:color w:val="000000" w:themeColor="text1"/>
          <w14:textFill>
            <w14:solidFill>
              <w14:schemeClr w14:val="tx1"/>
            </w14:solidFill>
          </w14:textFill>
        </w:rPr>
        <w:t>.3-</w:t>
      </w:r>
      <w:r>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t>6</w:t>
      </w:r>
      <w:r>
        <w:rPr>
          <w:rFonts w:ascii="Times New Roman" w:hAnsi="Times New Roman" w:cs="Times New Roman" w:eastAsiaTheme="minorEastAsia"/>
          <w:caps w:val="0"/>
          <w:smallCaps w:val="0"/>
          <w:color w:val="000000" w:themeColor="text1"/>
          <w14:textFill>
            <w14:solidFill>
              <w14:schemeClr w14:val="tx1"/>
            </w14:solidFill>
          </w14:textFill>
        </w:rPr>
        <w:t>大气污染物有组织排放量核算表</w:t>
      </w:r>
    </w:p>
    <w:tbl>
      <w:tblPr>
        <w:tblStyle w:val="71"/>
        <w:tblW w:w="503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627"/>
        <w:gridCol w:w="1117"/>
        <w:gridCol w:w="1452"/>
        <w:gridCol w:w="1566"/>
        <w:gridCol w:w="1842"/>
        <w:gridCol w:w="179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340" w:hRule="atLeast"/>
          <w:jc w:val="center"/>
        </w:trPr>
        <w:tc>
          <w:tcPr>
            <w:tcW w:w="37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66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排放口编号</w:t>
            </w:r>
          </w:p>
        </w:tc>
        <w:tc>
          <w:tcPr>
            <w:tcW w:w="86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w:t>
            </w:r>
          </w:p>
        </w:tc>
        <w:tc>
          <w:tcPr>
            <w:tcW w:w="932"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核算排放速率/</w:t>
            </w:r>
          </w:p>
          <w:p>
            <w:pPr>
              <w:pStyle w:val="117"/>
              <w:bidi w:val="0"/>
              <w:rPr>
                <w:rFonts w:ascii="Times New Roman" w:hAnsi="Times New Roman" w:cs="Times New Roman"/>
                <w:caps w:val="0"/>
                <w:smallCaps w:val="0"/>
              </w:rPr>
            </w:pPr>
            <w:r>
              <w:rPr>
                <w:rFonts w:ascii="Times New Roman" w:hAnsi="Times New Roman" w:cs="Times New Roman"/>
                <w:caps w:val="0"/>
                <w:smallCaps w:val="0"/>
              </w:rPr>
              <w:t>（kg/h）</w:t>
            </w:r>
          </w:p>
        </w:tc>
        <w:tc>
          <w:tcPr>
            <w:tcW w:w="109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核算排放浓度/</w:t>
            </w:r>
          </w:p>
          <w:p>
            <w:pPr>
              <w:pStyle w:val="117"/>
              <w:bidi w:val="0"/>
              <w:rPr>
                <w:rFonts w:ascii="Times New Roman" w:hAnsi="Times New Roman" w:cs="Times New Roman"/>
                <w:caps w:val="0"/>
                <w:smallCaps w:val="0"/>
              </w:rPr>
            </w:pPr>
            <w:r>
              <w:rPr>
                <w:rFonts w:ascii="Times New Roman" w:hAnsi="Times New Roman" w:cs="Times New Roman"/>
                <w:caps w:val="0"/>
                <w:smallCaps w:val="0"/>
              </w:rPr>
              <w:t>（mg/m3）</w:t>
            </w:r>
          </w:p>
        </w:tc>
        <w:tc>
          <w:tcPr>
            <w:tcW w:w="106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核算年排放量/</w:t>
            </w:r>
          </w:p>
          <w:p>
            <w:pPr>
              <w:pStyle w:val="117"/>
              <w:bidi w:val="0"/>
              <w:rPr>
                <w:rFonts w:ascii="Times New Roman" w:hAnsi="Times New Roman" w:cs="Times New Roman"/>
                <w:caps w:val="0"/>
                <w:smallCaps w:val="0"/>
              </w:rPr>
            </w:pPr>
            <w:r>
              <w:rPr>
                <w:rFonts w:ascii="Times New Roman" w:hAnsi="Times New Roman" w:cs="Times New Roman"/>
                <w:caps w:val="0"/>
                <w:smallCaps w:val="0"/>
              </w:rPr>
              <w:t>（t/a）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5000" w:type="pct"/>
            <w:gridSpan w:val="6"/>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无</w:t>
            </w:r>
            <w:r>
              <w:rPr>
                <w:rFonts w:ascii="Times New Roman" w:hAnsi="Times New Roman" w:cs="Times New Roman"/>
                <w:caps w:val="0"/>
                <w:smallCaps w:val="0"/>
              </w:rPr>
              <w:t>组织排放总计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38" w:type="pct"/>
            <w:gridSpan w:val="2"/>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有组织排放总计</w:t>
            </w:r>
          </w:p>
        </w:tc>
        <w:tc>
          <w:tcPr>
            <w:tcW w:w="2892" w:type="pct"/>
            <w:gridSpan w:val="3"/>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VOCs</w:t>
            </w:r>
          </w:p>
        </w:tc>
        <w:tc>
          <w:tcPr>
            <w:tcW w:w="1068" w:type="pct"/>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03125</w:t>
            </w:r>
          </w:p>
        </w:tc>
      </w:tr>
    </w:tbl>
    <w:p>
      <w:pPr>
        <w:pStyle w:val="691"/>
        <w:snapToGrid w:val="0"/>
        <w:spacing w:beforeLines="0" w:afterLines="0"/>
        <w:ind w:firstLine="482"/>
        <w:jc w:val="both"/>
        <w:rPr>
          <w:rFonts w:ascii="Times New Roman" w:hAnsi="Times New Roman" w:cs="Times New Roman" w:eastAsiaTheme="minorEastAsia"/>
          <w:caps w:val="0"/>
          <w:smallCaps w:val="0"/>
          <w:color w:val="000000" w:themeColor="text1"/>
          <w14:textFill>
            <w14:solidFill>
              <w14:schemeClr w14:val="tx1"/>
            </w14:solidFill>
          </w14:textFill>
        </w:rPr>
      </w:pPr>
    </w:p>
    <w:p>
      <w:pPr>
        <w:pStyle w:val="691"/>
        <w:snapToGrid w:val="0"/>
        <w:spacing w:beforeLines="0" w:afterLines="0" w:line="276" w:lineRule="auto"/>
        <w:ind w:firstLine="482"/>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表</w:t>
      </w:r>
      <w:r>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t>5</w:t>
      </w:r>
      <w:r>
        <w:rPr>
          <w:rFonts w:ascii="Times New Roman" w:hAnsi="Times New Roman" w:cs="Times New Roman" w:eastAsiaTheme="minorEastAsia"/>
          <w:caps w:val="0"/>
          <w:smallCaps w:val="0"/>
          <w:color w:val="000000" w:themeColor="text1"/>
          <w14:textFill>
            <w14:solidFill>
              <w14:schemeClr w14:val="tx1"/>
            </w14:solidFill>
          </w14:textFill>
        </w:rPr>
        <w:t>.3-</w:t>
      </w:r>
      <w:r>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t>7</w:t>
      </w:r>
      <w:r>
        <w:rPr>
          <w:rFonts w:ascii="Times New Roman" w:hAnsi="Times New Roman" w:cs="Times New Roman" w:eastAsiaTheme="minorEastAsia"/>
          <w:caps w:val="0"/>
          <w:smallCaps w:val="0"/>
          <w:color w:val="000000" w:themeColor="text1"/>
          <w14:textFill>
            <w14:solidFill>
              <w14:schemeClr w14:val="tx1"/>
            </w14:solidFill>
          </w14:textFill>
        </w:rPr>
        <w:t>大气污染物无组织排放量核算表</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847"/>
        <w:gridCol w:w="766"/>
        <w:gridCol w:w="829"/>
        <w:gridCol w:w="2199"/>
        <w:gridCol w:w="1678"/>
        <w:gridCol w:w="1170"/>
        <w:gridCol w:w="85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40" w:hRule="atLeast"/>
          <w:jc w:val="center"/>
        </w:trPr>
        <w:tc>
          <w:tcPr>
            <w:tcW w:w="508"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排放口编号</w:t>
            </w:r>
          </w:p>
        </w:tc>
        <w:tc>
          <w:tcPr>
            <w:tcW w:w="459"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产污</w:t>
            </w:r>
          </w:p>
          <w:p>
            <w:pPr>
              <w:pStyle w:val="117"/>
              <w:bidi w:val="0"/>
              <w:rPr>
                <w:rFonts w:ascii="Times New Roman" w:hAnsi="Times New Roman" w:cs="Times New Roman"/>
                <w:caps w:val="0"/>
                <w:smallCaps w:val="0"/>
              </w:rPr>
            </w:pPr>
            <w:r>
              <w:rPr>
                <w:rFonts w:ascii="Times New Roman" w:hAnsi="Times New Roman" w:cs="Times New Roman"/>
                <w:caps w:val="0"/>
                <w:smallCaps w:val="0"/>
              </w:rPr>
              <w:t>环节</w:t>
            </w:r>
          </w:p>
        </w:tc>
        <w:tc>
          <w:tcPr>
            <w:tcW w:w="497"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w:t>
            </w:r>
          </w:p>
        </w:tc>
        <w:tc>
          <w:tcPr>
            <w:tcW w:w="1318"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主要污染防治措施</w:t>
            </w:r>
          </w:p>
        </w:tc>
        <w:tc>
          <w:tcPr>
            <w:tcW w:w="1707" w:type="pct"/>
            <w:gridSpan w:val="2"/>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国家或地方污染物排放标准</w:t>
            </w:r>
          </w:p>
        </w:tc>
        <w:tc>
          <w:tcPr>
            <w:tcW w:w="512"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核算年排放量（t/a）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08" w:type="pct"/>
            <w:vMerge w:val="continue"/>
            <w:vAlign w:val="center"/>
          </w:tcPr>
          <w:p>
            <w:pPr>
              <w:pStyle w:val="117"/>
              <w:bidi w:val="0"/>
              <w:rPr>
                <w:rFonts w:ascii="Times New Roman" w:hAnsi="Times New Roman" w:cs="Times New Roman"/>
                <w:caps w:val="0"/>
                <w:smallCaps w:val="0"/>
              </w:rPr>
            </w:pPr>
          </w:p>
        </w:tc>
        <w:tc>
          <w:tcPr>
            <w:tcW w:w="459" w:type="pct"/>
            <w:vMerge w:val="continue"/>
            <w:vAlign w:val="center"/>
          </w:tcPr>
          <w:p>
            <w:pPr>
              <w:pStyle w:val="117"/>
              <w:bidi w:val="0"/>
              <w:rPr>
                <w:rFonts w:ascii="Times New Roman" w:hAnsi="Times New Roman" w:cs="Times New Roman"/>
                <w:caps w:val="0"/>
                <w:smallCaps w:val="0"/>
              </w:rPr>
            </w:pPr>
          </w:p>
        </w:tc>
        <w:tc>
          <w:tcPr>
            <w:tcW w:w="497" w:type="pct"/>
            <w:vMerge w:val="continue"/>
            <w:vAlign w:val="center"/>
          </w:tcPr>
          <w:p>
            <w:pPr>
              <w:pStyle w:val="117"/>
              <w:bidi w:val="0"/>
              <w:rPr>
                <w:rFonts w:ascii="Times New Roman" w:hAnsi="Times New Roman" w:cs="Times New Roman"/>
                <w:caps w:val="0"/>
                <w:smallCaps w:val="0"/>
              </w:rPr>
            </w:pPr>
          </w:p>
        </w:tc>
        <w:tc>
          <w:tcPr>
            <w:tcW w:w="1318" w:type="pct"/>
            <w:vMerge w:val="continue"/>
            <w:vAlign w:val="center"/>
          </w:tcPr>
          <w:p>
            <w:pPr>
              <w:pStyle w:val="117"/>
              <w:bidi w:val="0"/>
              <w:rPr>
                <w:rFonts w:ascii="Times New Roman" w:hAnsi="Times New Roman" w:cs="Times New Roman"/>
                <w:caps w:val="0"/>
                <w:smallCaps w:val="0"/>
              </w:rPr>
            </w:pPr>
          </w:p>
        </w:tc>
        <w:tc>
          <w:tcPr>
            <w:tcW w:w="100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标准名称</w:t>
            </w:r>
          </w:p>
        </w:tc>
        <w:tc>
          <w:tcPr>
            <w:tcW w:w="70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浓度限值（mg/m3）</w:t>
            </w:r>
          </w:p>
        </w:tc>
        <w:tc>
          <w:tcPr>
            <w:tcW w:w="512" w:type="pct"/>
            <w:vMerge w:val="continue"/>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0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45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装卸船无组织废气</w:t>
            </w:r>
          </w:p>
        </w:tc>
        <w:tc>
          <w:tcPr>
            <w:tcW w:w="49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VOCs</w:t>
            </w:r>
          </w:p>
        </w:tc>
        <w:tc>
          <w:tcPr>
            <w:tcW w:w="131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采用先进的装卸设备设施与材料，确保阀门、法兰片、管道之间的密封性，并加强装卸设备设施的使用、管理和维护</w:t>
            </w:r>
          </w:p>
        </w:tc>
        <w:tc>
          <w:tcPr>
            <w:tcW w:w="100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r>
              <w:rPr>
                <w:rFonts w:hint="eastAsia" w:ascii="Times New Roman" w:hAnsi="Times New Roman" w:cs="Times New Roman"/>
                <w:caps w:val="0"/>
                <w:smallCaps w:val="0"/>
                <w:lang w:val="en-US" w:eastAsia="zh-CN"/>
              </w:rPr>
              <w:t>大气污染物综合排放标准</w:t>
            </w:r>
            <w:r>
              <w:rPr>
                <w:rFonts w:ascii="Times New Roman" w:hAnsi="Times New Roman" w:cs="Times New Roman"/>
                <w:caps w:val="0"/>
                <w:smallCaps w:val="0"/>
              </w:rPr>
              <w:t>》（</w:t>
            </w:r>
            <w:r>
              <w:rPr>
                <w:rFonts w:hint="eastAsia" w:ascii="Times New Roman" w:hAnsi="Times New Roman" w:cs="Times New Roman"/>
                <w:caps w:val="0"/>
                <w:smallCaps w:val="0"/>
                <w:lang w:val="en-US" w:eastAsia="zh-CN"/>
              </w:rPr>
              <w:t>GB8976</w:t>
            </w:r>
            <w:r>
              <w:rPr>
                <w:rFonts w:ascii="Times New Roman" w:hAnsi="Times New Roman" w:cs="Times New Roman"/>
                <w:caps w:val="0"/>
                <w:smallCaps w:val="0"/>
              </w:rPr>
              <w:t>-</w:t>
            </w:r>
            <w:r>
              <w:rPr>
                <w:rFonts w:hint="eastAsia" w:ascii="Times New Roman" w:hAnsi="Times New Roman" w:cs="Times New Roman"/>
                <w:caps w:val="0"/>
                <w:smallCaps w:val="0"/>
                <w:lang w:val="en-US" w:eastAsia="zh-CN"/>
              </w:rPr>
              <w:t>1996</w:t>
            </w:r>
            <w:r>
              <w:rPr>
                <w:rFonts w:ascii="Times New Roman" w:hAnsi="Times New Roman" w:cs="Times New Roman"/>
                <w:caps w:val="0"/>
                <w:smallCaps w:val="0"/>
              </w:rPr>
              <w:t>）</w:t>
            </w:r>
          </w:p>
        </w:tc>
        <w:tc>
          <w:tcPr>
            <w:tcW w:w="701"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4.0</w:t>
            </w:r>
          </w:p>
        </w:tc>
        <w:tc>
          <w:tcPr>
            <w:tcW w:w="512" w:type="pct"/>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03125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000" w:type="pct"/>
            <w:gridSpan w:val="7"/>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无组织排放总计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967" w:type="pct"/>
            <w:gridSpan w:val="2"/>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无组织排放总计</w:t>
            </w:r>
          </w:p>
        </w:tc>
        <w:tc>
          <w:tcPr>
            <w:tcW w:w="3522" w:type="pct"/>
            <w:gridSpan w:val="4"/>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VOCs</w:t>
            </w:r>
          </w:p>
        </w:tc>
        <w:tc>
          <w:tcPr>
            <w:tcW w:w="512"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03125</w:t>
            </w:r>
            <w:r>
              <w:rPr>
                <w:rFonts w:ascii="Times New Roman" w:hAnsi="Times New Roman" w:cs="Times New Roman"/>
                <w:caps w:val="0"/>
                <w:smallCaps w:val="0"/>
              </w:rPr>
              <w:t>1</w:t>
            </w:r>
          </w:p>
        </w:tc>
      </w:tr>
    </w:tbl>
    <w:p>
      <w:pPr>
        <w:pStyle w:val="691"/>
        <w:snapToGrid w:val="0"/>
        <w:spacing w:beforeLines="0" w:afterLines="0"/>
        <w:ind w:firstLine="482"/>
        <w:jc w:val="both"/>
        <w:rPr>
          <w:rFonts w:ascii="Times New Roman" w:hAnsi="Times New Roman" w:cs="Times New Roman" w:eastAsiaTheme="minorEastAsia"/>
          <w:caps w:val="0"/>
          <w:smallCaps w:val="0"/>
          <w:color w:val="000000" w:themeColor="text1"/>
          <w14:textFill>
            <w14:solidFill>
              <w14:schemeClr w14:val="tx1"/>
            </w14:solidFill>
          </w14:textFill>
        </w:rPr>
      </w:pPr>
    </w:p>
    <w:p>
      <w:pPr>
        <w:pStyle w:val="691"/>
        <w:snapToGrid w:val="0"/>
        <w:spacing w:beforeLines="0" w:afterLines="0" w:line="276" w:lineRule="auto"/>
        <w:ind w:firstLine="482"/>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表</w:t>
      </w:r>
      <w:r>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t>5</w:t>
      </w:r>
      <w:r>
        <w:rPr>
          <w:rFonts w:ascii="Times New Roman" w:hAnsi="Times New Roman" w:cs="Times New Roman" w:eastAsiaTheme="minorEastAsia"/>
          <w:caps w:val="0"/>
          <w:smallCaps w:val="0"/>
          <w:color w:val="000000" w:themeColor="text1"/>
          <w14:textFill>
            <w14:solidFill>
              <w14:schemeClr w14:val="tx1"/>
            </w14:solidFill>
          </w14:textFill>
        </w:rPr>
        <w:t>.3-</w:t>
      </w:r>
      <w:r>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t>8</w:t>
      </w:r>
      <w:r>
        <w:rPr>
          <w:rFonts w:ascii="Times New Roman" w:hAnsi="Times New Roman" w:cs="Times New Roman" w:eastAsiaTheme="minorEastAsia"/>
          <w:caps w:val="0"/>
          <w:smallCaps w:val="0"/>
          <w:color w:val="000000" w:themeColor="text1"/>
          <w14:textFill>
            <w14:solidFill>
              <w14:schemeClr w14:val="tx1"/>
            </w14:solidFill>
          </w14:textFill>
        </w:rPr>
        <w:t>大气污染物年排放量核算表</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861"/>
        <w:gridCol w:w="3287"/>
        <w:gridCol w:w="4194"/>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1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197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污染物</w:t>
            </w:r>
          </w:p>
        </w:tc>
        <w:tc>
          <w:tcPr>
            <w:tcW w:w="251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年排放量/（t/a）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jc w:val="center"/>
        </w:trPr>
        <w:tc>
          <w:tcPr>
            <w:tcW w:w="51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97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VOCs</w:t>
            </w:r>
          </w:p>
        </w:tc>
        <w:tc>
          <w:tcPr>
            <w:tcW w:w="2514" w:type="pct"/>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lang w:val="en-US" w:eastAsia="zh-CN"/>
              </w:rPr>
              <w:t>03125</w:t>
            </w:r>
          </w:p>
        </w:tc>
      </w:tr>
    </w:tbl>
    <w:p>
      <w:pPr>
        <w:pStyle w:val="2"/>
        <w:adjustRightInd w:val="0"/>
        <w:snapToGrid w:val="0"/>
        <w:spacing w:after="0"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大气防护距离</w:t>
      </w:r>
    </w:p>
    <w:p>
      <w:pPr>
        <w:pStyle w:val="2"/>
        <w:adjustRightInd w:val="0"/>
        <w:snapToGrid w:val="0"/>
        <w:spacing w:after="0"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根据《环境影响评价技术导则·大气环境》（HJ2.2-2018）第8.7.5大气环境防护距离：“对于项目厂界浓度满足大气污染物厂界浓度限值，但厂界外大气污染物短期贡献浓度超过环境质量浓度限值的，可以自厂界向外设置一定范围的大气环境防护区域，以确保大气环境防护区域外的污染物贡献浓度满足环境质量标准。”</w:t>
      </w:r>
    </w:p>
    <w:p>
      <w:pPr>
        <w:pStyle w:val="2"/>
        <w:adjustRightInd w:val="0"/>
        <w:snapToGrid w:val="0"/>
        <w:spacing w:after="0"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根据预测，厂界浓度满足大气污染物厂界浓度限值且贡献浓度未超过环境质量浓度限值，因此可不设置大气环境防护距离。</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大气环境影响预测评价结论</w:t>
      </w:r>
    </w:p>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无组织排放的VOCs最大落地浓度为</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6.91</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μg/m</w:t>
      </w:r>
      <w:r>
        <w:rPr>
          <w:rFonts w:ascii="Times New Roman" w:hAnsi="Times New Roman" w:cs="Times New Roman" w:eastAsiaTheme="minorEastAsia"/>
          <w:caps w:val="0"/>
          <w:smallCaps w:val="0"/>
          <w:color w:val="000000" w:themeColor="text1"/>
          <w:sz w:val="24"/>
          <w:szCs w:val="24"/>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，对应的最大占标率为0.</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58</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%，不超过1%，满足《环境影响评价技术导则大气环境》</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HJ2.2-2018）附录D中相应限值要求。</w:t>
      </w:r>
    </w:p>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评价结果表明，项目所采取的废气治理措施合理可行，正常工况下排放的大气污染物均能得到有效治理，能够做到达标排放，对周围地区空气质量影响不明显，不会改变评价范围内的大气环境功能，不会对评价范围内的保护目标造成明显不利影响。</w:t>
      </w:r>
    </w:p>
    <w:p>
      <w:pPr>
        <w:pStyle w:val="5"/>
        <w:rPr>
          <w:rFonts w:ascii="Times New Roman" w:hAnsi="Times New Roman" w:cs="Times New Roman" w:eastAsiaTheme="minorEastAsia"/>
          <w:b/>
          <w:caps w:val="0"/>
          <w:smallCaps w:val="0"/>
        </w:rPr>
      </w:pPr>
      <w:bookmarkStart w:id="107" w:name="_Toc6200"/>
      <w:r>
        <w:rPr>
          <w:rFonts w:ascii="Times New Roman" w:hAnsi="Times New Roman" w:cs="Times New Roman" w:eastAsiaTheme="minorEastAsia"/>
          <w:b/>
          <w:caps w:val="0"/>
          <w:smallCaps w:val="0"/>
        </w:rPr>
        <w:t>声环境影响评价</w:t>
      </w:r>
      <w:bookmarkEnd w:id="107"/>
    </w:p>
    <w:p>
      <w:pPr>
        <w:pStyle w:val="6"/>
        <w:rPr>
          <w:rFonts w:ascii="Times New Roman" w:hAnsi="Times New Roman" w:cs="Times New Roman" w:eastAsiaTheme="minorEastAsia"/>
          <w:caps w:val="0"/>
          <w:smallCaps w:val="0"/>
          <w:szCs w:val="24"/>
        </w:rPr>
      </w:pPr>
      <w:r>
        <w:rPr>
          <w:rFonts w:ascii="Times New Roman" w:hAnsi="Times New Roman" w:cs="Times New Roman" w:eastAsiaTheme="minorEastAsia"/>
          <w:caps w:val="0"/>
          <w:smallCaps w:val="0"/>
        </w:rPr>
        <w:t>施工期声环境影响分析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工程施工期噪声主要是打桩噪声、搅拌机、电锯、吊车等机械噪声，以及施工船舶噪声，推土机、挖掘机、装载机等半流动性施工机械噪声等。典型施工机械噪声源强见表</w:t>
      </w:r>
      <w:r>
        <w:rPr>
          <w:rFonts w:hint="eastAsia" w:ascii="Times New Roman" w:hAnsi="Times New Roman" w:cs="Times New Roman" w:eastAsiaTheme="minorEastAsia"/>
          <w:caps w:val="0"/>
          <w:smallCaps w:val="0"/>
          <w:sz w:val="24"/>
          <w:szCs w:val="24"/>
          <w:lang w:val="en-US" w:eastAsia="zh-CN"/>
        </w:rPr>
        <w:t>5</w:t>
      </w:r>
      <w:r>
        <w:rPr>
          <w:rFonts w:ascii="Times New Roman" w:hAnsi="Times New Roman" w:cs="Times New Roman" w:eastAsiaTheme="minorEastAsia"/>
          <w:caps w:val="0"/>
          <w:smallCaps w:val="0"/>
          <w:sz w:val="24"/>
          <w:szCs w:val="24"/>
        </w:rPr>
        <w:t>.4-1。</w:t>
      </w:r>
    </w:p>
    <w:p>
      <w:pPr>
        <w:wordWrap w:val="0"/>
        <w:adjustRightInd w:val="0"/>
        <w:snapToGrid w:val="0"/>
        <w:spacing w:line="276" w:lineRule="auto"/>
        <w:jc w:val="right"/>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w:t>
      </w:r>
      <w:r>
        <w:rPr>
          <w:rFonts w:hint="eastAsia" w:ascii="Times New Roman" w:hAnsi="Times New Roman" w:cs="Times New Roman" w:eastAsiaTheme="minorEastAsia"/>
          <w:b/>
          <w:caps w:val="0"/>
          <w:smallCaps w:val="0"/>
          <w:sz w:val="24"/>
          <w:szCs w:val="24"/>
          <w:lang w:val="en-US" w:eastAsia="zh-CN"/>
        </w:rPr>
        <w:t>5</w:t>
      </w:r>
      <w:r>
        <w:rPr>
          <w:rFonts w:ascii="Times New Roman" w:hAnsi="Times New Roman" w:cs="Times New Roman" w:eastAsiaTheme="minorEastAsia"/>
          <w:b/>
          <w:caps w:val="0"/>
          <w:smallCaps w:val="0"/>
          <w:sz w:val="24"/>
          <w:szCs w:val="24"/>
        </w:rPr>
        <w:t>.4-1典型施工机械噪声源强</w:t>
      </w:r>
      <w:r>
        <w:rPr>
          <w:rFonts w:ascii="Times New Roman" w:hAnsi="Times New Roman" w:cs="Times New Roman" w:eastAsiaTheme="minorEastAsia"/>
          <w:caps w:val="0"/>
          <w:smallCaps w:val="0"/>
          <w:sz w:val="24"/>
          <w:szCs w:val="24"/>
        </w:rPr>
        <w:t>单位：dB(A)</w:t>
      </w:r>
    </w:p>
    <w:tbl>
      <w:tblPr>
        <w:tblStyle w:val="7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2085"/>
        <w:gridCol w:w="2085"/>
        <w:gridCol w:w="2086"/>
        <w:gridCol w:w="208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噪声源</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源强</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噪声源</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源强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打桩机</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105</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施工船舶</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搅拌机</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推土机</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92</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电锯</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110</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挖掘机</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吊车</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80</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装载机</w:t>
            </w:r>
          </w:p>
        </w:tc>
        <w:tc>
          <w:tcPr>
            <w:tcW w:w="125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80</w:t>
            </w:r>
          </w:p>
        </w:tc>
      </w:tr>
    </w:tbl>
    <w:p>
      <w:pPr>
        <w:adjustRightInd w:val="0"/>
        <w:snapToGrid w:val="0"/>
        <w:spacing w:line="360" w:lineRule="auto"/>
        <w:ind w:firstLine="482"/>
        <w:rPr>
          <w:rFonts w:ascii="Times New Roman" w:hAnsi="Times New Roman" w:cs="Times New Roman" w:eastAsiaTheme="minorEastAsia"/>
          <w:caps w:val="0"/>
          <w:smallCaps w:val="0"/>
          <w:sz w:val="24"/>
          <w:szCs w:val="24"/>
        </w:rPr>
      </w:pP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施工期噪声源近似视为点声源，按点声源计算施工机械噪声的距离衰减公式见下式。</w:t>
      </w:r>
    </w:p>
    <w:p>
      <w:pPr>
        <w:adjustRightInd w:val="0"/>
        <w:snapToGrid w:val="0"/>
        <w:spacing w:line="360" w:lineRule="auto"/>
        <w:ind w:firstLine="482"/>
        <w:jc w:val="center"/>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rPr>
        <w:drawing>
          <wp:inline distT="0" distB="0" distL="0" distR="0">
            <wp:extent cx="1628140" cy="38036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1"/>
                    <a:stretch>
                      <a:fillRect/>
                    </a:stretch>
                  </pic:blipFill>
                  <pic:spPr>
                    <a:xfrm>
                      <a:off x="0" y="0"/>
                      <a:ext cx="1628571" cy="380952"/>
                    </a:xfrm>
                    <a:prstGeom prst="rect">
                      <a:avLst/>
                    </a:prstGeom>
                  </pic:spPr>
                </pic:pic>
              </a:graphicData>
            </a:graphic>
          </wp:inline>
        </w:drawing>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式中：Lpo—参考位置r</w:t>
      </w:r>
      <w:r>
        <w:rPr>
          <w:rFonts w:ascii="Times New Roman" w:hAnsi="Times New Roman" w:cs="Times New Roman" w:eastAsiaTheme="minorEastAsia"/>
          <w:caps w:val="0"/>
          <w:smallCaps w:val="0"/>
          <w:sz w:val="24"/>
          <w:szCs w:val="24"/>
          <w:vertAlign w:val="subscript"/>
        </w:rPr>
        <w:t>0</w:t>
      </w:r>
      <w:r>
        <w:rPr>
          <w:rFonts w:ascii="Times New Roman" w:hAnsi="Times New Roman" w:cs="Times New Roman" w:eastAsiaTheme="minorEastAsia"/>
          <w:caps w:val="0"/>
          <w:smallCaps w:val="0"/>
          <w:sz w:val="24"/>
          <w:szCs w:val="24"/>
        </w:rPr>
        <w:t>处的声级(dB(A))；</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r—预测点处与点声源之间的距离(m)；</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r</w:t>
      </w:r>
      <w:r>
        <w:rPr>
          <w:rFonts w:ascii="Times New Roman" w:hAnsi="Times New Roman" w:cs="Times New Roman" w:eastAsiaTheme="minorEastAsia"/>
          <w:caps w:val="0"/>
          <w:smallCaps w:val="0"/>
          <w:sz w:val="24"/>
          <w:szCs w:val="24"/>
          <w:vertAlign w:val="subscript"/>
        </w:rPr>
        <w:t>0</w:t>
      </w:r>
      <w:r>
        <w:rPr>
          <w:rFonts w:ascii="Times New Roman" w:hAnsi="Times New Roman" w:cs="Times New Roman" w:eastAsiaTheme="minorEastAsia"/>
          <w:caps w:val="0"/>
          <w:smallCaps w:val="0"/>
          <w:sz w:val="24"/>
          <w:szCs w:val="24"/>
        </w:rPr>
        <w:t>—参考点与点声源之间的距离(m)；</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vertAlign w:val="subscript"/>
        </w:rPr>
        <w:t>△</w:t>
      </w:r>
      <w:r>
        <w:rPr>
          <w:rFonts w:ascii="Times New Roman" w:hAnsi="Times New Roman" w:cs="Times New Roman" w:eastAsiaTheme="minorEastAsia"/>
          <w:caps w:val="0"/>
          <w:smallCaps w:val="0"/>
          <w:sz w:val="24"/>
          <w:szCs w:val="24"/>
        </w:rPr>
        <w:t>l—附加衰减量(dB(A))。</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根据各种施工机械的源强预测结果见表</w:t>
      </w:r>
      <w:r>
        <w:rPr>
          <w:rFonts w:hint="eastAsia" w:ascii="Times New Roman" w:hAnsi="Times New Roman" w:cs="Times New Roman" w:eastAsiaTheme="minorEastAsia"/>
          <w:caps w:val="0"/>
          <w:smallCaps w:val="0"/>
          <w:sz w:val="24"/>
          <w:szCs w:val="24"/>
          <w:lang w:val="en-US" w:eastAsia="zh-CN"/>
        </w:rPr>
        <w:t>5</w:t>
      </w:r>
      <w:r>
        <w:rPr>
          <w:rFonts w:ascii="Times New Roman" w:hAnsi="Times New Roman" w:cs="Times New Roman" w:eastAsiaTheme="minorEastAsia"/>
          <w:caps w:val="0"/>
          <w:smallCaps w:val="0"/>
          <w:sz w:val="24"/>
          <w:szCs w:val="24"/>
        </w:rPr>
        <w:t>.4-2。</w:t>
      </w:r>
    </w:p>
    <w:p>
      <w:pPr>
        <w:adjustRightInd w:val="0"/>
        <w:snapToGrid w:val="0"/>
        <w:spacing w:line="276" w:lineRule="auto"/>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w:t>
      </w:r>
      <w:r>
        <w:rPr>
          <w:rFonts w:hint="eastAsia" w:ascii="Times New Roman" w:hAnsi="Times New Roman" w:cs="Times New Roman" w:eastAsiaTheme="minorEastAsia"/>
          <w:b/>
          <w:caps w:val="0"/>
          <w:smallCaps w:val="0"/>
          <w:sz w:val="24"/>
          <w:szCs w:val="24"/>
          <w:lang w:val="en-US" w:eastAsia="zh-CN"/>
        </w:rPr>
        <w:t>5</w:t>
      </w:r>
      <w:r>
        <w:rPr>
          <w:rFonts w:ascii="Times New Roman" w:hAnsi="Times New Roman" w:cs="Times New Roman" w:eastAsiaTheme="minorEastAsia"/>
          <w:b/>
          <w:caps w:val="0"/>
          <w:smallCaps w:val="0"/>
          <w:sz w:val="24"/>
          <w:szCs w:val="24"/>
        </w:rPr>
        <w:t>.4-2施工期噪声预测结果</w:t>
      </w:r>
    </w:p>
    <w:tbl>
      <w:tblPr>
        <w:tblStyle w:val="7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925"/>
        <w:gridCol w:w="925"/>
        <w:gridCol w:w="926"/>
        <w:gridCol w:w="928"/>
        <w:gridCol w:w="928"/>
        <w:gridCol w:w="928"/>
        <w:gridCol w:w="928"/>
        <w:gridCol w:w="928"/>
        <w:gridCol w:w="926"/>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施工阶段</w:t>
            </w:r>
          </w:p>
        </w:tc>
        <w:tc>
          <w:tcPr>
            <w:tcW w:w="555"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施工机械</w:t>
            </w:r>
          </w:p>
        </w:tc>
        <w:tc>
          <w:tcPr>
            <w:tcW w:w="2779" w:type="pct"/>
            <w:gridSpan w:val="5"/>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距机械Xm处噪声值dB(A)</w:t>
            </w:r>
          </w:p>
        </w:tc>
        <w:tc>
          <w:tcPr>
            <w:tcW w:w="1112" w:type="pct"/>
            <w:gridSpan w:val="2"/>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噪声限值</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5"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100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昼间</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夜间</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土石方</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推土机</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72</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66</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62</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58</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52</w:t>
            </w:r>
          </w:p>
        </w:tc>
        <w:tc>
          <w:tcPr>
            <w:tcW w:w="556"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w:t>
            </w:r>
          </w:p>
        </w:tc>
        <w:tc>
          <w:tcPr>
            <w:tcW w:w="556"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挖掘机</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59</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53</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49</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45</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39</w:t>
            </w: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装载机</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54</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46</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w:t>
            </w: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施工船舶</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65</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59</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55</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51</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45</w:t>
            </w: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打桩</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打桩机.</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85</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79</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75</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71</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65</w:t>
            </w: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vMerge w:val="restar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结构</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混凝土搅拌机</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84</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56</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w:t>
            </w: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电锯</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54</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76</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70</w:t>
            </w: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设备安装</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吊车</w:t>
            </w:r>
          </w:p>
        </w:tc>
        <w:tc>
          <w:tcPr>
            <w:tcW w:w="555"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66</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50</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46</w:t>
            </w:r>
          </w:p>
        </w:tc>
        <w:tc>
          <w:tcPr>
            <w:tcW w:w="556" w:type="pct"/>
            <w:tcMar>
              <w:left w:w="0" w:type="dxa"/>
              <w:right w:w="0" w:type="dxa"/>
            </w:tcMar>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40</w:t>
            </w: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c>
          <w:tcPr>
            <w:tcW w:w="556" w:type="pct"/>
            <w:vMerge w:val="continue"/>
            <w:tcMar>
              <w:left w:w="0" w:type="dxa"/>
              <w:right w:w="0" w:type="dxa"/>
            </w:tcMar>
            <w:vAlign w:val="center"/>
          </w:tcPr>
          <w:p>
            <w:pPr>
              <w:pStyle w:val="117"/>
              <w:bidi w:val="0"/>
              <w:rPr>
                <w:rFonts w:ascii="Times New Roman" w:hAnsi="Times New Roman" w:cs="Times New Roman"/>
                <w:caps w:val="0"/>
                <w:smallCaps w:val="0"/>
              </w:rPr>
            </w:pPr>
          </w:p>
        </w:tc>
      </w:tr>
    </w:tbl>
    <w:p>
      <w:pPr>
        <w:adjustRightInd w:val="0"/>
        <w:snapToGrid w:val="0"/>
        <w:spacing w:line="360" w:lineRule="auto"/>
        <w:ind w:firstLine="482"/>
        <w:rPr>
          <w:rFonts w:ascii="Times New Roman" w:hAnsi="Times New Roman" w:cs="Times New Roman" w:eastAsiaTheme="minorEastAsia"/>
          <w:caps w:val="0"/>
          <w:smallCaps w:val="0"/>
          <w:sz w:val="24"/>
          <w:szCs w:val="24"/>
        </w:rPr>
      </w:pP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从表</w:t>
      </w:r>
      <w:r>
        <w:rPr>
          <w:rFonts w:hint="eastAsia" w:ascii="Times New Roman" w:hAnsi="Times New Roman" w:cs="Times New Roman" w:eastAsiaTheme="minorEastAsia"/>
          <w:caps w:val="0"/>
          <w:smallCaps w:val="0"/>
          <w:sz w:val="24"/>
          <w:szCs w:val="24"/>
          <w:lang w:val="en-US" w:eastAsia="zh-CN"/>
        </w:rPr>
        <w:t>5</w:t>
      </w:r>
      <w:r>
        <w:rPr>
          <w:rFonts w:ascii="Times New Roman" w:hAnsi="Times New Roman" w:cs="Times New Roman" w:eastAsiaTheme="minorEastAsia"/>
          <w:caps w:val="0"/>
          <w:smallCaps w:val="0"/>
          <w:sz w:val="24"/>
          <w:szCs w:val="24"/>
        </w:rPr>
        <w:t>.4-2可以知，除打桩机和结构阶段的电锯噪声外，施工机械距离场界30m时，昼间场界可以达标，施工机械距离场界100m时，夜间场界可以达标。由于施工现场往往是各种机械同时作业，噪声经过叠加会有所增加。</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项目拟建地周围</w:t>
      </w:r>
      <w:r>
        <w:rPr>
          <w:rFonts w:hint="eastAsia" w:ascii="Times New Roman" w:hAnsi="Times New Roman" w:cs="Times New Roman" w:eastAsiaTheme="minorEastAsia"/>
          <w:caps w:val="0"/>
          <w:smallCaps w:val="0"/>
          <w:sz w:val="24"/>
          <w:szCs w:val="24"/>
          <w:lang w:val="en-US" w:eastAsia="zh-CN"/>
        </w:rPr>
        <w:t>1</w:t>
      </w:r>
      <w:r>
        <w:rPr>
          <w:rFonts w:ascii="Times New Roman" w:hAnsi="Times New Roman" w:cs="Times New Roman" w:eastAsiaTheme="minorEastAsia"/>
          <w:caps w:val="0"/>
          <w:smallCaps w:val="0"/>
          <w:sz w:val="24"/>
          <w:szCs w:val="24"/>
        </w:rPr>
        <w:t>00m范围内无居民点等敏感点，施工噪声不会产生扰民现象。为了减轻施工噪声对周围环境的影响，建议采取以下措施：</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⑴</w:t>
      </w:r>
      <w:r>
        <w:rPr>
          <w:rFonts w:ascii="Times New Roman" w:hAnsi="Times New Roman" w:cs="Times New Roman" w:eastAsiaTheme="minorEastAsia"/>
          <w:caps w:val="0"/>
          <w:smallCaps w:val="0"/>
          <w:sz w:val="24"/>
          <w:szCs w:val="24"/>
        </w:rPr>
        <w:t>加强施工管理，合理安排施工作业时间，严格按照施工噪声管理的有关规定执行；</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⑵</w:t>
      </w:r>
      <w:r>
        <w:rPr>
          <w:rFonts w:ascii="Times New Roman" w:hAnsi="Times New Roman" w:cs="Times New Roman" w:eastAsiaTheme="minorEastAsia"/>
          <w:caps w:val="0"/>
          <w:smallCaps w:val="0"/>
          <w:sz w:val="24"/>
          <w:szCs w:val="24"/>
        </w:rPr>
        <w:t>尽量采用低噪声的施工工具，如以液压工具代替气压工具，同时尽可能采用施工噪声低的施工方法；</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⑶</w:t>
      </w:r>
      <w:r>
        <w:rPr>
          <w:rFonts w:ascii="Times New Roman" w:hAnsi="Times New Roman" w:cs="Times New Roman" w:eastAsiaTheme="minorEastAsia"/>
          <w:caps w:val="0"/>
          <w:smallCaps w:val="0"/>
          <w:sz w:val="24"/>
          <w:szCs w:val="24"/>
        </w:rPr>
        <w:t>在高噪声设备周围设置掩蔽物；</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hint="eastAsia" w:ascii="Times New Roman" w:hAnsi="Times New Roman" w:cs="Times New Roman"/>
          <w:caps w:val="0"/>
          <w:smallCaps w:val="0"/>
          <w:sz w:val="24"/>
          <w:szCs w:val="24"/>
        </w:rPr>
        <w:t>⑷</w:t>
      </w:r>
      <w:r>
        <w:rPr>
          <w:rFonts w:ascii="Times New Roman" w:hAnsi="Times New Roman" w:cs="Times New Roman" w:eastAsiaTheme="minorEastAsia"/>
          <w:caps w:val="0"/>
          <w:smallCaps w:val="0"/>
          <w:sz w:val="24"/>
          <w:szCs w:val="24"/>
        </w:rPr>
        <w:t>混凝土需要连续浇灌作业前，应做好各项准备工作，将搅拌机运行时间压到最低限度。</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除上述施工机械产生的噪声外，施工过程中各种运输车辆的运行，还将会引起公路沿线噪声级的增加。因此，应加强对运输车辆的管理，尽量压缩工区汽车数量和行车密度，控制汽车鸣笛。设备安装调试尽量在白天进行。随着施工结束，施工噪声污染也将随之消除。</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营运期声环境影响分析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噪声源主要来自于船舶自载泵、船舶发动机及船舶鸣笛，其中船舶发动机噪声、船舶鸣笛噪声为偶发噪声。通过选用低噪声设备，对船舶自载泵基础采取防振措施，加强对进出港区船舶管理，降噪量可达5~20dB(A)。具体见表</w:t>
      </w:r>
      <w:r>
        <w:rPr>
          <w:rFonts w:hint="eastAsia" w:ascii="Times New Roman" w:hAnsi="Times New Roman" w:cs="Times New Roman" w:eastAsiaTheme="minorEastAsia"/>
          <w:caps w:val="0"/>
          <w:smallCaps w:val="0"/>
          <w:sz w:val="24"/>
          <w:szCs w:val="24"/>
          <w:lang w:val="en-US" w:eastAsia="zh-CN"/>
        </w:rPr>
        <w:t>5</w:t>
      </w:r>
      <w:r>
        <w:rPr>
          <w:rFonts w:ascii="Times New Roman" w:hAnsi="Times New Roman" w:cs="Times New Roman" w:eastAsiaTheme="minorEastAsia"/>
          <w:caps w:val="0"/>
          <w:smallCaps w:val="0"/>
          <w:sz w:val="24"/>
          <w:szCs w:val="24"/>
        </w:rPr>
        <w:t>.4-3。</w:t>
      </w:r>
    </w:p>
    <w:p>
      <w:pPr>
        <w:adjustRightInd w:val="0"/>
        <w:snapToGrid w:val="0"/>
        <w:spacing w:line="276" w:lineRule="auto"/>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w:t>
      </w:r>
      <w:r>
        <w:rPr>
          <w:rFonts w:hint="eastAsia" w:ascii="Times New Roman" w:hAnsi="Times New Roman" w:cs="Times New Roman" w:eastAsiaTheme="minorEastAsia"/>
          <w:b/>
          <w:caps w:val="0"/>
          <w:smallCaps w:val="0"/>
          <w:sz w:val="24"/>
          <w:szCs w:val="24"/>
          <w:lang w:val="en-US" w:eastAsia="zh-CN"/>
        </w:rPr>
        <w:t>5</w:t>
      </w:r>
      <w:r>
        <w:rPr>
          <w:rFonts w:ascii="Times New Roman" w:hAnsi="Times New Roman" w:cs="Times New Roman" w:eastAsiaTheme="minorEastAsia"/>
          <w:b/>
          <w:caps w:val="0"/>
          <w:smallCaps w:val="0"/>
          <w:sz w:val="24"/>
          <w:szCs w:val="24"/>
        </w:rPr>
        <w:t>.4-3</w:t>
      </w:r>
      <w:r>
        <w:rPr>
          <w:rFonts w:hint="eastAsia" w:ascii="Times New Roman" w:hAnsi="Times New Roman" w:cs="Times New Roman" w:eastAsiaTheme="minorEastAsia"/>
          <w:b/>
          <w:caps w:val="0"/>
          <w:smallCaps w:val="0"/>
          <w:sz w:val="24"/>
          <w:szCs w:val="24"/>
          <w:lang w:val="en-US" w:eastAsia="zh-CN"/>
        </w:rPr>
        <w:t xml:space="preserve">  </w:t>
      </w:r>
      <w:r>
        <w:rPr>
          <w:rFonts w:ascii="Times New Roman" w:hAnsi="Times New Roman" w:cs="Times New Roman" w:eastAsiaTheme="minorEastAsia"/>
          <w:b/>
          <w:caps w:val="0"/>
          <w:smallCaps w:val="0"/>
          <w:sz w:val="24"/>
          <w:szCs w:val="24"/>
        </w:rPr>
        <w:t>主要噪声设施一览表</w:t>
      </w:r>
    </w:p>
    <w:tbl>
      <w:tblPr>
        <w:tblStyle w:val="7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649"/>
        <w:gridCol w:w="1044"/>
        <w:gridCol w:w="914"/>
        <w:gridCol w:w="914"/>
        <w:gridCol w:w="652"/>
        <w:gridCol w:w="1957"/>
        <w:gridCol w:w="1168"/>
        <w:gridCol w:w="1044"/>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3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6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设备名称</w:t>
            </w:r>
          </w:p>
        </w:tc>
        <w:tc>
          <w:tcPr>
            <w:tcW w:w="54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声源类型</w:t>
            </w:r>
          </w:p>
        </w:tc>
        <w:tc>
          <w:tcPr>
            <w:tcW w:w="54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噪声级dB(A)</w:t>
            </w:r>
          </w:p>
        </w:tc>
        <w:tc>
          <w:tcPr>
            <w:tcW w:w="3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数量</w:t>
            </w:r>
          </w:p>
        </w:tc>
        <w:tc>
          <w:tcPr>
            <w:tcW w:w="117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采取防治措施</w:t>
            </w:r>
          </w:p>
        </w:tc>
        <w:tc>
          <w:tcPr>
            <w:tcW w:w="7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源强</w:t>
            </w:r>
            <w:r>
              <w:rPr>
                <w:rFonts w:hint="eastAsia" w:ascii="Times New Roman" w:hAnsi="Times New Roman" w:cs="Times New Roman"/>
                <w:caps w:val="0"/>
                <w:smallCaps w:val="0"/>
              </w:rPr>
              <w:t>降噪</w:t>
            </w:r>
            <w:r>
              <w:rPr>
                <w:rFonts w:ascii="Times New Roman" w:hAnsi="Times New Roman" w:cs="Times New Roman"/>
                <w:caps w:val="0"/>
                <w:smallCaps w:val="0"/>
              </w:rPr>
              <w:t>效果dB(A)</w:t>
            </w:r>
          </w:p>
        </w:tc>
        <w:tc>
          <w:tcPr>
            <w:tcW w:w="6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噪声排放值dB(A)</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3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6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船舶发动机</w:t>
            </w:r>
          </w:p>
        </w:tc>
        <w:tc>
          <w:tcPr>
            <w:tcW w:w="54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偶发</w:t>
            </w:r>
          </w:p>
        </w:tc>
        <w:tc>
          <w:tcPr>
            <w:tcW w:w="54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c>
          <w:tcPr>
            <w:tcW w:w="3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117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加强船舶管理</w:t>
            </w:r>
          </w:p>
        </w:tc>
        <w:tc>
          <w:tcPr>
            <w:tcW w:w="7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6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3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w:t>
            </w:r>
          </w:p>
        </w:tc>
        <w:tc>
          <w:tcPr>
            <w:tcW w:w="6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船舶鸣笛</w:t>
            </w:r>
          </w:p>
        </w:tc>
        <w:tc>
          <w:tcPr>
            <w:tcW w:w="54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偶发</w:t>
            </w:r>
          </w:p>
        </w:tc>
        <w:tc>
          <w:tcPr>
            <w:tcW w:w="54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c>
          <w:tcPr>
            <w:tcW w:w="3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117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加强船舶管理</w:t>
            </w:r>
          </w:p>
        </w:tc>
        <w:tc>
          <w:tcPr>
            <w:tcW w:w="7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6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90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c>
          <w:tcPr>
            <w:tcW w:w="38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w:t>
            </w:r>
          </w:p>
        </w:tc>
        <w:tc>
          <w:tcPr>
            <w:tcW w:w="6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船舶自载泵</w:t>
            </w:r>
          </w:p>
        </w:tc>
        <w:tc>
          <w:tcPr>
            <w:tcW w:w="54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频发</w:t>
            </w:r>
          </w:p>
        </w:tc>
        <w:tc>
          <w:tcPr>
            <w:tcW w:w="54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85</w:t>
            </w:r>
          </w:p>
        </w:tc>
        <w:tc>
          <w:tcPr>
            <w:tcW w:w="391"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17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选用低噪声环保型设备；基础减振；加强船舶管理</w:t>
            </w:r>
          </w:p>
        </w:tc>
        <w:tc>
          <w:tcPr>
            <w:tcW w:w="700"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20</w:t>
            </w:r>
          </w:p>
        </w:tc>
        <w:tc>
          <w:tcPr>
            <w:tcW w:w="62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65</w:t>
            </w:r>
          </w:p>
        </w:tc>
      </w:tr>
    </w:tbl>
    <w:p>
      <w:pPr>
        <w:adjustRightInd w:val="0"/>
        <w:snapToGrid w:val="0"/>
        <w:spacing w:line="360" w:lineRule="auto"/>
        <w:ind w:firstLine="482"/>
        <w:rPr>
          <w:rFonts w:ascii="Times New Roman" w:hAnsi="Times New Roman" w:cs="Times New Roman" w:eastAsiaTheme="minorEastAsia"/>
          <w:caps w:val="0"/>
          <w:smallCaps w:val="0"/>
          <w:sz w:val="24"/>
          <w:szCs w:val="24"/>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预测模式</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项目噪声源噪声类型属于空气动力噪声和机械噪声，噪声传播具有稳态和类稳态特性。另外，噪声从噪声源传播至噪声预测点的距离比声源本身几何尺寸大许多，因此可忽略噪声源几何尺寸影响，而将其简化为点声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根据上述特点，本报告依据《环境影响评价技术导则声环境》(HJ2.4-2009)有关规定，采用《导则》推荐点声源噪声传播模式进行项目噪声环境影响预测，预测模式如下：</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1、点声源预测模式</w:t>
      </w:r>
    </w:p>
    <w:p>
      <w:pPr>
        <w:adjustRightInd w:val="0"/>
        <w:snapToGrid w:val="0"/>
        <w:spacing w:line="360" w:lineRule="auto"/>
        <w:ind w:firstLine="482"/>
        <w:jc w:val="center"/>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rPr>
        <w:drawing>
          <wp:inline distT="0" distB="0" distL="0" distR="0">
            <wp:extent cx="2513965" cy="285115"/>
            <wp:effectExtent l="0" t="0" r="635"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2"/>
                    <a:stretch>
                      <a:fillRect/>
                    </a:stretch>
                  </pic:blipFill>
                  <pic:spPr>
                    <a:xfrm>
                      <a:off x="0" y="0"/>
                      <a:ext cx="2514286" cy="285714"/>
                    </a:xfrm>
                    <a:prstGeom prst="rect">
                      <a:avLst/>
                    </a:prstGeom>
                  </pic:spPr>
                </pic:pic>
              </a:graphicData>
            </a:graphic>
          </wp:inline>
        </w:drawing>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式中：L</w:t>
      </w:r>
      <w:r>
        <w:rPr>
          <w:rFonts w:ascii="Times New Roman" w:hAnsi="Times New Roman" w:cs="Times New Roman" w:eastAsiaTheme="minorEastAsia"/>
          <w:caps w:val="0"/>
          <w:smallCaps w:val="0"/>
          <w:sz w:val="24"/>
          <w:szCs w:val="24"/>
          <w:vertAlign w:val="subscript"/>
        </w:rPr>
        <w:t>A(r)</w:t>
      </w:r>
      <w:r>
        <w:rPr>
          <w:rFonts w:ascii="Times New Roman" w:hAnsi="Times New Roman" w:cs="Times New Roman" w:eastAsiaTheme="minorEastAsia"/>
          <w:caps w:val="0"/>
          <w:smallCaps w:val="0"/>
          <w:sz w:val="24"/>
          <w:szCs w:val="24"/>
        </w:rPr>
        <w:t>—距离声源r处的A声级；</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L</w:t>
      </w:r>
      <w:r>
        <w:rPr>
          <w:rFonts w:ascii="Times New Roman" w:hAnsi="Times New Roman" w:cs="Times New Roman" w:eastAsiaTheme="minorEastAsia"/>
          <w:caps w:val="0"/>
          <w:smallCaps w:val="0"/>
          <w:sz w:val="24"/>
          <w:szCs w:val="24"/>
          <w:vertAlign w:val="subscript"/>
        </w:rPr>
        <w:t>Aref(r0)</w:t>
      </w:r>
      <w:r>
        <w:rPr>
          <w:rFonts w:ascii="Times New Roman" w:hAnsi="Times New Roman" w:cs="Times New Roman" w:eastAsiaTheme="minorEastAsia"/>
          <w:caps w:val="0"/>
          <w:smallCaps w:val="0"/>
          <w:sz w:val="24"/>
          <w:szCs w:val="24"/>
        </w:rPr>
        <w:t>—参考位置r0处的A声级；</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A</w:t>
      </w:r>
      <w:r>
        <w:rPr>
          <w:rFonts w:ascii="Times New Roman" w:hAnsi="Times New Roman" w:cs="Times New Roman" w:eastAsiaTheme="minorEastAsia"/>
          <w:caps w:val="0"/>
          <w:smallCaps w:val="0"/>
          <w:sz w:val="24"/>
          <w:szCs w:val="24"/>
          <w:vertAlign w:val="subscript"/>
        </w:rPr>
        <w:t>div</w:t>
      </w:r>
      <w:r>
        <w:rPr>
          <w:rFonts w:ascii="Times New Roman" w:hAnsi="Times New Roman" w:cs="Times New Roman" w:eastAsiaTheme="minorEastAsia"/>
          <w:caps w:val="0"/>
          <w:smallCaps w:val="0"/>
          <w:sz w:val="24"/>
          <w:szCs w:val="24"/>
        </w:rPr>
        <w:t>—声波几何发散衰减量；</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A</w:t>
      </w:r>
      <w:r>
        <w:rPr>
          <w:rFonts w:ascii="Times New Roman" w:hAnsi="Times New Roman" w:cs="Times New Roman" w:eastAsiaTheme="minorEastAsia"/>
          <w:caps w:val="0"/>
          <w:smallCaps w:val="0"/>
          <w:sz w:val="24"/>
          <w:szCs w:val="24"/>
          <w:vertAlign w:val="subscript"/>
        </w:rPr>
        <w:t>bar</w:t>
      </w:r>
      <w:r>
        <w:rPr>
          <w:rFonts w:ascii="Times New Roman" w:hAnsi="Times New Roman" w:cs="Times New Roman" w:eastAsiaTheme="minorEastAsia"/>
          <w:caps w:val="0"/>
          <w:smallCaps w:val="0"/>
          <w:sz w:val="24"/>
          <w:szCs w:val="24"/>
        </w:rPr>
        <w:t>—遮挡物质衰减量；</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A</w:t>
      </w:r>
      <w:r>
        <w:rPr>
          <w:rFonts w:ascii="Times New Roman" w:hAnsi="Times New Roman" w:cs="Times New Roman" w:eastAsiaTheme="minorEastAsia"/>
          <w:caps w:val="0"/>
          <w:smallCaps w:val="0"/>
          <w:sz w:val="24"/>
          <w:szCs w:val="24"/>
          <w:vertAlign w:val="subscript"/>
        </w:rPr>
        <w:t>atm</w:t>
      </w:r>
      <w:r>
        <w:rPr>
          <w:rFonts w:ascii="Times New Roman" w:hAnsi="Times New Roman" w:cs="Times New Roman" w:eastAsiaTheme="minorEastAsia"/>
          <w:caps w:val="0"/>
          <w:smallCaps w:val="0"/>
          <w:sz w:val="24"/>
          <w:szCs w:val="24"/>
        </w:rPr>
        <w:t>—空气吸收衰减量；</w:t>
      </w:r>
    </w:p>
    <w:p>
      <w:pPr>
        <w:adjustRightInd w:val="0"/>
        <w:snapToGrid w:val="0"/>
        <w:spacing w:line="360" w:lineRule="auto"/>
        <w:ind w:firstLine="1200" w:firstLineChars="5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A</w:t>
      </w:r>
      <w:r>
        <w:rPr>
          <w:rFonts w:ascii="Times New Roman" w:hAnsi="Times New Roman" w:cs="Times New Roman" w:eastAsiaTheme="minorEastAsia"/>
          <w:caps w:val="0"/>
          <w:smallCaps w:val="0"/>
          <w:sz w:val="24"/>
          <w:szCs w:val="24"/>
          <w:vertAlign w:val="subscript"/>
        </w:rPr>
        <w:t>erc</w:t>
      </w:r>
      <w:r>
        <w:rPr>
          <w:rFonts w:ascii="Times New Roman" w:hAnsi="Times New Roman" w:cs="Times New Roman" w:eastAsiaTheme="minorEastAsia"/>
          <w:caps w:val="0"/>
          <w:smallCaps w:val="0"/>
          <w:sz w:val="24"/>
          <w:szCs w:val="24"/>
        </w:rPr>
        <w:t>—附加衰减量。</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2、噪声叠加计算模式</w:t>
      </w:r>
    </w:p>
    <w:p>
      <w:pPr>
        <w:adjustRightInd w:val="0"/>
        <w:snapToGrid w:val="0"/>
        <w:spacing w:line="360" w:lineRule="auto"/>
        <w:ind w:firstLine="482"/>
        <w:jc w:val="center"/>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rPr>
        <w:drawing>
          <wp:inline distT="0" distB="0" distL="0" distR="0">
            <wp:extent cx="1599565" cy="408940"/>
            <wp:effectExtent l="0" t="0" r="63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73"/>
                    <a:stretch>
                      <a:fillRect/>
                    </a:stretch>
                  </pic:blipFill>
                  <pic:spPr>
                    <a:xfrm>
                      <a:off x="0" y="0"/>
                      <a:ext cx="1600000" cy="409524"/>
                    </a:xfrm>
                    <a:prstGeom prst="rect">
                      <a:avLst/>
                    </a:prstGeom>
                  </pic:spPr>
                </pic:pic>
              </a:graphicData>
            </a:graphic>
          </wp:inline>
        </w:drawing>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式中：Leq(A)—等效连续A声级</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声源与预测点间的距离</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声源与预测点间的距离见表</w:t>
      </w:r>
      <w:r>
        <w:rPr>
          <w:rFonts w:hint="eastAsia" w:ascii="Times New Roman" w:hAnsi="Times New Roman" w:cs="Times New Roman" w:eastAsiaTheme="minorEastAsia"/>
          <w:caps w:val="0"/>
          <w:smallCaps w:val="0"/>
          <w:sz w:val="24"/>
          <w:szCs w:val="24"/>
          <w:lang w:val="en-US" w:eastAsia="zh-CN"/>
        </w:rPr>
        <w:t>5</w:t>
      </w:r>
      <w:r>
        <w:rPr>
          <w:rFonts w:ascii="Times New Roman" w:hAnsi="Times New Roman" w:cs="Times New Roman" w:eastAsiaTheme="minorEastAsia"/>
          <w:caps w:val="0"/>
          <w:smallCaps w:val="0"/>
          <w:sz w:val="24"/>
          <w:szCs w:val="24"/>
        </w:rPr>
        <w:t>.4-4。</w:t>
      </w:r>
    </w:p>
    <w:p>
      <w:pPr>
        <w:wordWrap/>
        <w:adjustRightInd w:val="0"/>
        <w:snapToGrid w:val="0"/>
        <w:spacing w:line="276" w:lineRule="auto"/>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w:t>
      </w:r>
      <w:r>
        <w:rPr>
          <w:rFonts w:hint="eastAsia" w:ascii="Times New Roman" w:hAnsi="Times New Roman" w:cs="Times New Roman" w:eastAsiaTheme="minorEastAsia"/>
          <w:b/>
          <w:caps w:val="0"/>
          <w:smallCaps w:val="0"/>
          <w:sz w:val="24"/>
          <w:szCs w:val="24"/>
          <w:lang w:val="en-US" w:eastAsia="zh-CN"/>
        </w:rPr>
        <w:t>5</w:t>
      </w:r>
      <w:r>
        <w:rPr>
          <w:rFonts w:ascii="Times New Roman" w:hAnsi="Times New Roman" w:cs="Times New Roman" w:eastAsiaTheme="minorEastAsia"/>
          <w:b/>
          <w:caps w:val="0"/>
          <w:smallCaps w:val="0"/>
          <w:sz w:val="24"/>
          <w:szCs w:val="24"/>
        </w:rPr>
        <w:t>.4-4</w:t>
      </w:r>
      <w:r>
        <w:rPr>
          <w:rFonts w:hint="eastAsia" w:ascii="Times New Roman" w:hAnsi="Times New Roman" w:cs="Times New Roman" w:eastAsiaTheme="minorEastAsia"/>
          <w:b/>
          <w:caps w:val="0"/>
          <w:smallCaps w:val="0"/>
          <w:sz w:val="24"/>
          <w:szCs w:val="24"/>
          <w:lang w:val="en-US" w:eastAsia="zh-CN"/>
        </w:rPr>
        <w:t xml:space="preserve">  </w:t>
      </w:r>
      <w:r>
        <w:rPr>
          <w:rFonts w:ascii="Times New Roman" w:hAnsi="Times New Roman" w:cs="Times New Roman" w:eastAsiaTheme="minorEastAsia"/>
          <w:b/>
          <w:caps w:val="0"/>
          <w:smallCaps w:val="0"/>
          <w:sz w:val="24"/>
          <w:szCs w:val="24"/>
        </w:rPr>
        <w:t>各声源与预测点间的距离</w:t>
      </w:r>
      <w:r>
        <w:rPr>
          <w:rFonts w:hint="eastAsia" w:ascii="Times New Roman" w:hAnsi="Times New Roman" w:cs="Times New Roman" w:eastAsiaTheme="minorEastAsia"/>
          <w:b/>
          <w:caps w:val="0"/>
          <w:smallCaps w:val="0"/>
          <w:sz w:val="24"/>
          <w:szCs w:val="24"/>
          <w:lang w:val="en-US" w:eastAsia="zh-CN"/>
        </w:rPr>
        <w:t xml:space="preserve">   </w:t>
      </w:r>
      <w:r>
        <w:rPr>
          <w:rFonts w:ascii="Times New Roman" w:hAnsi="Times New Roman" w:cs="Times New Roman" w:eastAsiaTheme="minorEastAsia"/>
          <w:caps w:val="0"/>
          <w:smallCaps w:val="0"/>
          <w:sz w:val="24"/>
          <w:szCs w:val="24"/>
        </w:rPr>
        <w:t>单位：m</w:t>
      </w:r>
    </w:p>
    <w:tbl>
      <w:tblPr>
        <w:tblStyle w:val="7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390"/>
        <w:gridCol w:w="1390"/>
        <w:gridCol w:w="1391"/>
        <w:gridCol w:w="1048"/>
        <w:gridCol w:w="2092"/>
        <w:gridCol w:w="103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40" w:hRule="atLeast"/>
        </w:trPr>
        <w:tc>
          <w:tcPr>
            <w:tcW w:w="8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8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声源名称</w:t>
            </w:r>
          </w:p>
        </w:tc>
        <w:tc>
          <w:tcPr>
            <w:tcW w:w="83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东厂界</w:t>
            </w:r>
          </w:p>
        </w:tc>
        <w:tc>
          <w:tcPr>
            <w:tcW w:w="62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南厂界</w:t>
            </w:r>
          </w:p>
        </w:tc>
        <w:tc>
          <w:tcPr>
            <w:tcW w:w="125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西厂界</w:t>
            </w:r>
          </w:p>
        </w:tc>
        <w:tc>
          <w:tcPr>
            <w:tcW w:w="618"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北厂界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8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833"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船舶自载泵</w:t>
            </w:r>
          </w:p>
        </w:tc>
        <w:tc>
          <w:tcPr>
            <w:tcW w:w="834"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235</w:t>
            </w:r>
          </w:p>
        </w:tc>
        <w:tc>
          <w:tcPr>
            <w:tcW w:w="628"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75</w:t>
            </w:r>
          </w:p>
        </w:tc>
        <w:tc>
          <w:tcPr>
            <w:tcW w:w="125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0（西厂界紧邻</w:t>
            </w:r>
            <w:r>
              <w:rPr>
                <w:rFonts w:hint="eastAsia" w:ascii="Times New Roman" w:hAnsi="Times New Roman" w:cs="Times New Roman"/>
                <w:caps w:val="0"/>
                <w:smallCaps w:val="0"/>
                <w:lang w:eastAsia="zh-CN"/>
              </w:rPr>
              <w:t>湘</w:t>
            </w:r>
            <w:r>
              <w:rPr>
                <w:rFonts w:ascii="Times New Roman" w:hAnsi="Times New Roman" w:cs="Times New Roman"/>
                <w:caps w:val="0"/>
                <w:smallCaps w:val="0"/>
              </w:rPr>
              <w:t>江）</w:t>
            </w:r>
          </w:p>
        </w:tc>
        <w:tc>
          <w:tcPr>
            <w:tcW w:w="618"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30</w:t>
            </w:r>
          </w:p>
        </w:tc>
      </w:tr>
    </w:tbl>
    <w:p>
      <w:pPr>
        <w:adjustRightInd w:val="0"/>
        <w:snapToGrid w:val="0"/>
        <w:spacing w:line="360" w:lineRule="auto"/>
        <w:ind w:firstLine="482"/>
        <w:rPr>
          <w:rFonts w:ascii="Times New Roman" w:hAnsi="Times New Roman" w:cs="Times New Roman" w:eastAsiaTheme="minorEastAsia"/>
          <w:caps w:val="0"/>
          <w:smallCaps w:val="0"/>
          <w:sz w:val="24"/>
          <w:szCs w:val="24"/>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预测结果及影响分析</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根据厂界声环境现状监测结果，声源与厂界的距离，按上述公式预测出本项目建设实施后厂界处的噪声预测值，结果见表6.4-5。</w:t>
      </w:r>
    </w:p>
    <w:p>
      <w:pPr>
        <w:wordWrap/>
        <w:adjustRightInd w:val="0"/>
        <w:snapToGrid w:val="0"/>
        <w:spacing w:line="276" w:lineRule="auto"/>
        <w:jc w:val="center"/>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表6.4-5声环境影响预测结果</w:t>
      </w:r>
      <w:r>
        <w:rPr>
          <w:rFonts w:hint="eastAsia" w:ascii="Times New Roman" w:hAnsi="Times New Roman" w:cs="Times New Roman" w:eastAsiaTheme="minorEastAsia"/>
          <w:b/>
          <w:caps w:val="0"/>
          <w:smallCaps w:val="0"/>
          <w:sz w:val="24"/>
          <w:szCs w:val="24"/>
          <w:lang w:val="en-US" w:eastAsia="zh-CN"/>
        </w:rPr>
        <w:t xml:space="preserve">    </w:t>
      </w:r>
      <w:r>
        <w:rPr>
          <w:rFonts w:ascii="Times New Roman" w:hAnsi="Times New Roman" w:cs="Times New Roman" w:eastAsiaTheme="minorEastAsia"/>
          <w:caps w:val="0"/>
          <w:smallCaps w:val="0"/>
          <w:sz w:val="24"/>
          <w:szCs w:val="24"/>
        </w:rPr>
        <w:t>单位：dB(A)</w:t>
      </w:r>
    </w:p>
    <w:tbl>
      <w:tblPr>
        <w:tblStyle w:val="72"/>
        <w:tblW w:w="5000" w:type="pct"/>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0" w:type="dxa"/>
          <w:bottom w:w="0" w:type="dxa"/>
          <w:right w:w="0" w:type="dxa"/>
        </w:tblCellMar>
      </w:tblPr>
      <w:tblGrid>
        <w:gridCol w:w="1371"/>
        <w:gridCol w:w="1363"/>
        <w:gridCol w:w="1411"/>
        <w:gridCol w:w="1400"/>
        <w:gridCol w:w="1400"/>
        <w:gridCol w:w="1397"/>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40" w:hRule="atLeast"/>
        </w:trPr>
        <w:tc>
          <w:tcPr>
            <w:tcW w:w="1639" w:type="pct"/>
            <w:gridSpan w:val="2"/>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厂界预测点</w:t>
            </w:r>
          </w:p>
        </w:tc>
        <w:tc>
          <w:tcPr>
            <w:tcW w:w="84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东厂界</w:t>
            </w:r>
          </w:p>
        </w:tc>
        <w:tc>
          <w:tcPr>
            <w:tcW w:w="83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南厂界</w:t>
            </w:r>
          </w:p>
        </w:tc>
        <w:tc>
          <w:tcPr>
            <w:tcW w:w="83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西厂界</w:t>
            </w:r>
          </w:p>
        </w:tc>
        <w:tc>
          <w:tcPr>
            <w:tcW w:w="83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北厂界</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40" w:hRule="atLeast"/>
        </w:trPr>
        <w:tc>
          <w:tcPr>
            <w:tcW w:w="822" w:type="pct"/>
            <w:vMerge w:val="restar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昼间</w:t>
            </w:r>
          </w:p>
        </w:tc>
        <w:tc>
          <w:tcPr>
            <w:tcW w:w="81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贡献值</w:t>
            </w:r>
          </w:p>
        </w:tc>
        <w:tc>
          <w:tcPr>
            <w:tcW w:w="846"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38.4</w:t>
            </w:r>
          </w:p>
        </w:tc>
        <w:tc>
          <w:tcPr>
            <w:tcW w:w="839"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46.2</w:t>
            </w:r>
          </w:p>
        </w:tc>
        <w:tc>
          <w:tcPr>
            <w:tcW w:w="83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65.0</w:t>
            </w:r>
          </w:p>
        </w:tc>
        <w:tc>
          <w:tcPr>
            <w:tcW w:w="837"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46.9</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40" w:hRule="atLeast"/>
        </w:trPr>
        <w:tc>
          <w:tcPr>
            <w:tcW w:w="822" w:type="pct"/>
            <w:vMerge w:val="continue"/>
            <w:vAlign w:val="center"/>
          </w:tcPr>
          <w:p>
            <w:pPr>
              <w:pStyle w:val="117"/>
              <w:bidi w:val="0"/>
              <w:rPr>
                <w:rFonts w:ascii="Times New Roman" w:hAnsi="Times New Roman" w:cs="Times New Roman"/>
                <w:caps w:val="0"/>
                <w:smallCaps w:val="0"/>
              </w:rPr>
            </w:pPr>
          </w:p>
        </w:tc>
        <w:tc>
          <w:tcPr>
            <w:tcW w:w="817" w:type="pct"/>
            <w:vAlign w:val="center"/>
          </w:tcPr>
          <w:p>
            <w:pPr>
              <w:pStyle w:val="117"/>
              <w:bidi w:val="0"/>
              <w:rPr>
                <w:rFonts w:hint="eastAsia" w:ascii="Times New Roman" w:hAnsi="Times New Roman" w:cs="Times New Roman"/>
                <w:caps w:val="0"/>
                <w:smallCaps w:val="0"/>
                <w:lang w:eastAsia="zh-CN"/>
              </w:rPr>
            </w:pPr>
            <w:r>
              <w:rPr>
                <w:rFonts w:ascii="Times New Roman" w:hAnsi="Times New Roman" w:cs="Times New Roman"/>
                <w:caps w:val="0"/>
                <w:smallCaps w:val="0"/>
              </w:rPr>
              <w:t>背景值</w:t>
            </w:r>
          </w:p>
        </w:tc>
        <w:tc>
          <w:tcPr>
            <w:tcW w:w="846"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42.2</w:t>
            </w:r>
          </w:p>
        </w:tc>
        <w:tc>
          <w:tcPr>
            <w:tcW w:w="839"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41.4</w:t>
            </w:r>
          </w:p>
        </w:tc>
        <w:tc>
          <w:tcPr>
            <w:tcW w:w="839"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43.2</w:t>
            </w:r>
          </w:p>
        </w:tc>
        <w:tc>
          <w:tcPr>
            <w:tcW w:w="837"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42.5</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40" w:hRule="atLeast"/>
        </w:trPr>
        <w:tc>
          <w:tcPr>
            <w:tcW w:w="822" w:type="pct"/>
            <w:vMerge w:val="continue"/>
            <w:vAlign w:val="center"/>
          </w:tcPr>
          <w:p>
            <w:pPr>
              <w:pStyle w:val="117"/>
              <w:bidi w:val="0"/>
              <w:rPr>
                <w:rFonts w:ascii="Times New Roman" w:hAnsi="Times New Roman" w:cs="Times New Roman"/>
                <w:caps w:val="0"/>
                <w:smallCaps w:val="0"/>
              </w:rPr>
            </w:pPr>
          </w:p>
        </w:tc>
        <w:tc>
          <w:tcPr>
            <w:tcW w:w="81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预测值</w:t>
            </w:r>
          </w:p>
        </w:tc>
        <w:tc>
          <w:tcPr>
            <w:tcW w:w="846"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43.7</w:t>
            </w:r>
          </w:p>
        </w:tc>
        <w:tc>
          <w:tcPr>
            <w:tcW w:w="839"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47.4</w:t>
            </w:r>
          </w:p>
        </w:tc>
        <w:tc>
          <w:tcPr>
            <w:tcW w:w="839" w:type="pct"/>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rPr>
              <w:t>65.</w:t>
            </w:r>
            <w:r>
              <w:rPr>
                <w:rFonts w:hint="eastAsia" w:ascii="Times New Roman" w:hAnsi="Times New Roman" w:cs="Times New Roman"/>
                <w:caps w:val="0"/>
                <w:smallCaps w:val="0"/>
                <w:lang w:val="en-US" w:eastAsia="zh-CN"/>
              </w:rPr>
              <w:t>0</w:t>
            </w:r>
          </w:p>
        </w:tc>
        <w:tc>
          <w:tcPr>
            <w:tcW w:w="837"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48.3</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40" w:hRule="atLeast"/>
        </w:trPr>
        <w:tc>
          <w:tcPr>
            <w:tcW w:w="822" w:type="pct"/>
            <w:vMerge w:val="continue"/>
            <w:vAlign w:val="center"/>
          </w:tcPr>
          <w:p>
            <w:pPr>
              <w:pStyle w:val="117"/>
              <w:bidi w:val="0"/>
              <w:rPr>
                <w:rFonts w:ascii="Times New Roman" w:hAnsi="Times New Roman" w:cs="Times New Roman"/>
                <w:caps w:val="0"/>
                <w:smallCaps w:val="0"/>
              </w:rPr>
            </w:pPr>
          </w:p>
        </w:tc>
        <w:tc>
          <w:tcPr>
            <w:tcW w:w="81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评价标准</w:t>
            </w:r>
          </w:p>
        </w:tc>
        <w:tc>
          <w:tcPr>
            <w:tcW w:w="846"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60</w:t>
            </w:r>
          </w:p>
        </w:tc>
        <w:tc>
          <w:tcPr>
            <w:tcW w:w="839"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60</w:t>
            </w:r>
          </w:p>
        </w:tc>
        <w:tc>
          <w:tcPr>
            <w:tcW w:w="839"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70</w:t>
            </w:r>
          </w:p>
        </w:tc>
        <w:tc>
          <w:tcPr>
            <w:tcW w:w="837" w:type="pct"/>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60</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340" w:hRule="atLeast"/>
        </w:trPr>
        <w:tc>
          <w:tcPr>
            <w:tcW w:w="822" w:type="pct"/>
            <w:vMerge w:val="continue"/>
            <w:vAlign w:val="center"/>
          </w:tcPr>
          <w:p>
            <w:pPr>
              <w:pStyle w:val="117"/>
              <w:bidi w:val="0"/>
              <w:rPr>
                <w:rFonts w:ascii="Times New Roman" w:hAnsi="Times New Roman" w:cs="Times New Roman"/>
                <w:caps w:val="0"/>
                <w:smallCaps w:val="0"/>
              </w:rPr>
            </w:pPr>
          </w:p>
        </w:tc>
        <w:tc>
          <w:tcPr>
            <w:tcW w:w="81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达标分析</w:t>
            </w:r>
          </w:p>
        </w:tc>
        <w:tc>
          <w:tcPr>
            <w:tcW w:w="846"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c>
          <w:tcPr>
            <w:tcW w:w="839"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c>
          <w:tcPr>
            <w:tcW w:w="839" w:type="pct"/>
            <w:vAlign w:val="center"/>
          </w:tcPr>
          <w:p>
            <w:pPr>
              <w:pStyle w:val="117"/>
              <w:bidi w:val="0"/>
              <w:rPr>
                <w:rFonts w:hint="eastAsia" w:ascii="Times New Roman" w:hAnsi="Times New Roman" w:cs="Times New Roman"/>
                <w:caps w:val="0"/>
                <w:smallCaps w:val="0"/>
                <w:lang w:eastAsia="zh-CN"/>
              </w:rPr>
            </w:pPr>
            <w:r>
              <w:rPr>
                <w:rFonts w:ascii="Times New Roman" w:hAnsi="Times New Roman" w:cs="Times New Roman"/>
                <w:caps w:val="0"/>
                <w:smallCaps w:val="0"/>
              </w:rPr>
              <w:t>达标</w:t>
            </w:r>
            <w:r>
              <w:rPr>
                <w:rFonts w:hint="eastAsia" w:ascii="Times New Roman" w:hAnsi="Times New Roman" w:cs="Times New Roman"/>
                <w:caps w:val="0"/>
                <w:smallCaps w:val="0"/>
                <w:lang w:eastAsia="zh-CN"/>
              </w:rPr>
              <w:t>（湘江）</w:t>
            </w:r>
          </w:p>
        </w:tc>
        <w:tc>
          <w:tcPr>
            <w:tcW w:w="837"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达标</w:t>
            </w:r>
          </w:p>
        </w:tc>
      </w:tr>
    </w:tbl>
    <w:p>
      <w:pPr>
        <w:adjustRightInd w:val="0"/>
        <w:snapToGrid w:val="0"/>
        <w:spacing w:line="276" w:lineRule="auto"/>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color w:val="000000" w:themeColor="text1"/>
          <w14:textFill>
            <w14:solidFill>
              <w14:schemeClr w14:val="tx1"/>
            </w14:solidFill>
          </w14:textFill>
        </w:rPr>
        <w:t>注：1、本项目为码头</w:t>
      </w:r>
      <w:r>
        <w:rPr>
          <w:rFonts w:hint="eastAsia" w:ascii="Times New Roman" w:hAnsi="Times New Roman" w:cs="Times New Roman" w:eastAsiaTheme="minorEastAsia"/>
          <w:caps w:val="0"/>
          <w:smallCaps w:val="0"/>
          <w:color w:val="000000" w:themeColor="text1"/>
          <w14:textFill>
            <w14:solidFill>
              <w14:schemeClr w14:val="tx1"/>
            </w14:solidFill>
          </w14:textFill>
        </w:rPr>
        <w:t>提质改造项目</w:t>
      </w:r>
      <w:r>
        <w:rPr>
          <w:rFonts w:ascii="Times New Roman" w:hAnsi="Times New Roman" w:cs="Times New Roman" w:eastAsiaTheme="minorEastAsia"/>
          <w:caps w:val="0"/>
          <w:smallCaps w:val="0"/>
          <w:color w:val="000000" w:themeColor="text1"/>
          <w14:textFill>
            <w14:solidFill>
              <w14:schemeClr w14:val="tx1"/>
            </w14:solidFill>
          </w14:textFill>
        </w:rPr>
        <w:t>，因此厂界噪声现状监测值可作为背景值，本次评价背景值取厂界噪声现状监测值的平均值；2、不考虑船舶发动机噪声、船舶鸣笛噪声等</w:t>
      </w:r>
      <w:r>
        <w:rPr>
          <w:rFonts w:ascii="Times New Roman" w:hAnsi="Times New Roman" w:cs="Times New Roman" w:eastAsiaTheme="minorEastAsia"/>
          <w:caps w:val="0"/>
          <w:smallCaps w:val="0"/>
        </w:rPr>
        <w:t>偶发噪声影响。</w:t>
      </w:r>
    </w:p>
    <w:p>
      <w:pPr>
        <w:adjustRightInd w:val="0"/>
        <w:snapToGrid w:val="0"/>
        <w:spacing w:line="360" w:lineRule="auto"/>
        <w:ind w:firstLine="482"/>
        <w:rPr>
          <w:rFonts w:ascii="Times New Roman" w:hAnsi="Times New Roman" w:cs="Times New Roman" w:eastAsiaTheme="minorEastAsia"/>
          <w:caps w:val="0"/>
          <w:smallCaps w:val="0"/>
          <w:color w:val="0000FF"/>
          <w:sz w:val="24"/>
          <w:szCs w:val="24"/>
        </w:rPr>
      </w:pPr>
      <w:r>
        <w:rPr>
          <w:rFonts w:ascii="Times New Roman" w:hAnsi="Times New Roman" w:cs="Times New Roman" w:eastAsiaTheme="minorEastAsia"/>
          <w:caps w:val="0"/>
          <w:smallCaps w:val="0"/>
          <w:sz w:val="24"/>
          <w:szCs w:val="24"/>
        </w:rPr>
        <w:t>本项目夜间不生产，夜间无噪声影响。根据预测结果，在不考虑偶发噪声的情况下，</w:t>
      </w:r>
      <w:r>
        <w:rPr>
          <w:rFonts w:hint="eastAsia" w:ascii="Times New Roman" w:hAnsi="Times New Roman" w:cs="Times New Roman" w:eastAsiaTheme="minorEastAsia"/>
          <w:caps w:val="0"/>
          <w:smallCaps w:val="0"/>
          <w:sz w:val="24"/>
          <w:szCs w:val="24"/>
          <w:lang w:eastAsia="zh-CN"/>
        </w:rPr>
        <w:t>东、南、北</w:t>
      </w:r>
      <w:r>
        <w:rPr>
          <w:rFonts w:ascii="Times New Roman" w:hAnsi="Times New Roman" w:cs="Times New Roman" w:eastAsiaTheme="minorEastAsia"/>
          <w:caps w:val="0"/>
          <w:smallCaps w:val="0"/>
          <w:sz w:val="24"/>
          <w:szCs w:val="24"/>
        </w:rPr>
        <w:t>厂界昼间噪声值满足《工业企业厂界环境噪声排放标准》</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sz w:val="24"/>
          <w:szCs w:val="24"/>
        </w:rPr>
        <w:t>GB12348-2008</w:t>
      </w:r>
      <w:r>
        <w:rPr>
          <w:rFonts w:hint="eastAsia" w:ascii="Times New Roman" w:hAnsi="Times New Roman" w:cs="Times New Roman" w:eastAsiaTheme="minorEastAsia"/>
          <w:caps w:val="0"/>
          <w:smallCaps w:val="0"/>
          <w:sz w:val="24"/>
          <w:szCs w:val="24"/>
        </w:rPr>
        <w:t>）</w:t>
      </w:r>
      <w:r>
        <w:rPr>
          <w:rFonts w:hint="eastAsia" w:ascii="Times New Roman" w:hAnsi="Times New Roman" w:cs="Times New Roman" w:eastAsiaTheme="minorEastAsia"/>
          <w:caps w:val="0"/>
          <w:smallCaps w:val="0"/>
          <w:sz w:val="24"/>
          <w:szCs w:val="24"/>
          <w:lang w:val="en-US" w:eastAsia="zh-CN"/>
        </w:rPr>
        <w:t>2</w:t>
      </w:r>
      <w:r>
        <w:rPr>
          <w:rFonts w:ascii="Times New Roman" w:hAnsi="Times New Roman" w:cs="Times New Roman" w:eastAsiaTheme="minorEastAsia"/>
          <w:caps w:val="0"/>
          <w:smallCaps w:val="0"/>
          <w:sz w:val="24"/>
          <w:szCs w:val="24"/>
        </w:rPr>
        <w:t>类标准要求</w:t>
      </w:r>
      <w:r>
        <w:rPr>
          <w:rFonts w:hint="eastAsia" w:ascii="Times New Roman" w:hAnsi="Times New Roman" w:cs="Times New Roman" w:eastAsiaTheme="minorEastAsia"/>
          <w:caps w:val="0"/>
          <w:smallCaps w:val="0"/>
          <w:sz w:val="24"/>
          <w:szCs w:val="24"/>
          <w:lang w:eastAsia="zh-CN"/>
        </w:rPr>
        <w:t>，西</w:t>
      </w:r>
      <w:r>
        <w:rPr>
          <w:rFonts w:ascii="Times New Roman" w:hAnsi="Times New Roman" w:cs="Times New Roman" w:eastAsiaTheme="minorEastAsia"/>
          <w:caps w:val="0"/>
          <w:smallCaps w:val="0"/>
          <w:sz w:val="24"/>
          <w:szCs w:val="24"/>
        </w:rPr>
        <w:t>厂界昼间噪声值满足《工业企业厂界环境噪声排放标准》</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sz w:val="24"/>
          <w:szCs w:val="24"/>
        </w:rPr>
        <w:t>GB12348-2008</w:t>
      </w:r>
      <w:r>
        <w:rPr>
          <w:rFonts w:hint="eastAsia" w:ascii="Times New Roman" w:hAnsi="Times New Roman" w:cs="Times New Roman" w:eastAsiaTheme="minorEastAsia"/>
          <w:caps w:val="0"/>
          <w:smallCaps w:val="0"/>
          <w:sz w:val="24"/>
          <w:szCs w:val="24"/>
        </w:rPr>
        <w:t>）</w:t>
      </w:r>
      <w:r>
        <w:rPr>
          <w:rFonts w:hint="eastAsia" w:ascii="Times New Roman" w:hAnsi="Times New Roman" w:cs="Times New Roman" w:eastAsiaTheme="minorEastAsia"/>
          <w:caps w:val="0"/>
          <w:smallCaps w:val="0"/>
          <w:sz w:val="24"/>
          <w:szCs w:val="24"/>
          <w:lang w:val="en-US" w:eastAsia="zh-CN"/>
        </w:rPr>
        <w:t>4a</w:t>
      </w:r>
      <w:r>
        <w:rPr>
          <w:rFonts w:ascii="Times New Roman" w:hAnsi="Times New Roman" w:cs="Times New Roman" w:eastAsiaTheme="minorEastAsia"/>
          <w:caps w:val="0"/>
          <w:smallCaps w:val="0"/>
          <w:sz w:val="24"/>
          <w:szCs w:val="24"/>
        </w:rPr>
        <w:t>类标准要求</w:t>
      </w:r>
      <w:r>
        <w:rPr>
          <w:rFonts w:hint="eastAsia" w:ascii="Times New Roman" w:hAnsi="Times New Roman" w:cs="Times New Roman" w:eastAsiaTheme="minorEastAsia"/>
          <w:caps w:val="0"/>
          <w:smallCaps w:val="0"/>
          <w:sz w:val="24"/>
          <w:szCs w:val="24"/>
          <w:lang w:val="en-US" w:eastAsia="zh-CN"/>
        </w:rPr>
        <w:t>，项目西侧为湘江</w:t>
      </w:r>
      <w:r>
        <w:rPr>
          <w:rFonts w:ascii="Times New Roman" w:hAnsi="Times New Roman" w:cs="Times New Roman" w:eastAsiaTheme="minorEastAsia"/>
          <w:caps w:val="0"/>
          <w:smallCaps w:val="0"/>
          <w:sz w:val="24"/>
          <w:szCs w:val="24"/>
        </w:rPr>
        <w:t>。由于本项目</w:t>
      </w:r>
      <w:r>
        <w:rPr>
          <w:rFonts w:hint="eastAsia" w:ascii="Times New Roman" w:hAnsi="Times New Roman" w:cs="Times New Roman" w:eastAsiaTheme="minorEastAsia"/>
          <w:caps w:val="0"/>
          <w:smallCaps w:val="0"/>
          <w:sz w:val="24"/>
          <w:szCs w:val="24"/>
          <w:lang w:eastAsia="zh-CN"/>
        </w:rPr>
        <w:t>营运期噪声源（趸船）</w:t>
      </w:r>
      <w:r>
        <w:rPr>
          <w:rFonts w:ascii="Times New Roman" w:hAnsi="Times New Roman" w:cs="Times New Roman" w:eastAsiaTheme="minorEastAsia"/>
          <w:caps w:val="0"/>
          <w:smallCaps w:val="0"/>
          <w:sz w:val="24"/>
          <w:szCs w:val="24"/>
        </w:rPr>
        <w:t>周边200</w:t>
      </w:r>
      <w:r>
        <w:rPr>
          <w:rFonts w:hint="eastAsia" w:ascii="Times New Roman" w:hAnsi="Times New Roman" w:cs="Times New Roman" w:eastAsiaTheme="minorEastAsia"/>
          <w:caps w:val="0"/>
          <w:smallCaps w:val="0"/>
          <w:sz w:val="24"/>
          <w:szCs w:val="24"/>
        </w:rPr>
        <w:t>m</w:t>
      </w:r>
      <w:r>
        <w:rPr>
          <w:rFonts w:ascii="Times New Roman" w:hAnsi="Times New Roman" w:cs="Times New Roman" w:eastAsiaTheme="minorEastAsia"/>
          <w:caps w:val="0"/>
          <w:smallCaps w:val="0"/>
          <w:sz w:val="24"/>
          <w:szCs w:val="24"/>
        </w:rPr>
        <w:t>范围内无居民点等敏感点，因此，本项目噪声不会产生扰民现象。但项目营运期应采取严格的管理措施，进出港船舶必须按相关要求合理使用鸣笛设备，减小偶发噪声对周围声环境的影响。</w:t>
      </w:r>
    </w:p>
    <w:p>
      <w:pPr>
        <w:pStyle w:val="5"/>
        <w:rPr>
          <w:rFonts w:ascii="Times New Roman" w:hAnsi="Times New Roman" w:cs="Times New Roman" w:eastAsiaTheme="minorEastAsia"/>
          <w:b/>
          <w:caps w:val="0"/>
          <w:smallCaps w:val="0"/>
          <w:szCs w:val="24"/>
        </w:rPr>
      </w:pPr>
      <w:bookmarkStart w:id="108" w:name="_Toc9171"/>
      <w:r>
        <w:rPr>
          <w:rFonts w:ascii="Times New Roman" w:hAnsi="Times New Roman" w:cs="Times New Roman" w:eastAsiaTheme="minorEastAsia"/>
          <w:b/>
          <w:caps w:val="0"/>
          <w:smallCaps w:val="0"/>
        </w:rPr>
        <w:t>固体废物环境影响评价</w:t>
      </w:r>
      <w:bookmarkEnd w:id="108"/>
    </w:p>
    <w:p>
      <w:pPr>
        <w:pStyle w:val="6"/>
        <w:rPr>
          <w:rFonts w:ascii="Times New Roman" w:hAnsi="Times New Roman" w:cs="Times New Roman" w:eastAsiaTheme="minorEastAsia"/>
          <w:caps w:val="0"/>
          <w:smallCaps w:val="0"/>
          <w:szCs w:val="24"/>
        </w:rPr>
      </w:pPr>
      <w:r>
        <w:rPr>
          <w:rFonts w:ascii="Times New Roman" w:hAnsi="Times New Roman" w:cs="Times New Roman" w:eastAsiaTheme="minorEastAsia"/>
          <w:caps w:val="0"/>
          <w:smallCaps w:val="0"/>
        </w:rPr>
        <w:t>施工期固体废物环境影响分析</w:t>
      </w:r>
    </w:p>
    <w:p>
      <w:pPr>
        <w:ind w:firstLine="480"/>
        <w:rPr>
          <w:rFonts w:ascii="Times New Roman" w:hAnsi="Times New Roman" w:cs="Times New Roman"/>
          <w:caps w:val="0"/>
          <w:smallCaps w:val="0"/>
          <w:kern w:val="0"/>
          <w:lang w:bidi="ar"/>
        </w:rPr>
      </w:pPr>
      <w:r>
        <w:rPr>
          <w:rFonts w:ascii="Times New Roman" w:hAnsi="Times New Roman" w:cs="Times New Roman"/>
          <w:caps w:val="0"/>
          <w:smallCaps w:val="0"/>
          <w:kern w:val="0"/>
          <w:lang w:bidi="ar"/>
        </w:rPr>
        <w:t>施工垃圾主要来自施工所产生的建筑垃圾和施工队伍生活产生的生活垃圾，建筑垃圾及疏浚淤泥。施工所需混凝土全部商购，不设混凝土拌和站。本项目引桥平台及引桥接岸部分设置灌注桩。本项目产生的基坑废水主要产生在钻孔施工环节，基坑废水主要为泥浆，在灌注桩附近设置一处泥浆池进行沉淀，泥浆池内的泥浆经自然风干后就地回填至引桥四周，泥浆池回填。</w:t>
      </w:r>
    </w:p>
    <w:p>
      <w:pPr>
        <w:ind w:firstLine="480"/>
        <w:rPr>
          <w:rFonts w:ascii="Times New Roman" w:hAnsi="Times New Roman" w:cs="Times New Roman"/>
          <w:caps w:val="0"/>
          <w:smallCaps w:val="0"/>
        </w:rPr>
      </w:pPr>
      <w:r>
        <w:rPr>
          <w:rFonts w:ascii="Times New Roman" w:hAnsi="Times New Roman" w:cs="Times New Roman"/>
          <w:caps w:val="0"/>
          <w:smallCaps w:val="0"/>
          <w:kern w:val="0"/>
          <w:lang w:bidi="ar"/>
        </w:rPr>
        <w:t>施工期间将涉及到材料运输、基础工程等工程，在此期间将有一定数量的废弃建筑材料如砂石、石灰、混凝土等。施工单位不得随意抛弃建筑材料、旧料和其它杂物，</w:t>
      </w:r>
      <w:r>
        <w:rPr>
          <w:rFonts w:ascii="Times New Roman" w:hAnsi="Times New Roman" w:cs="Times New Roman"/>
          <w:caps w:val="0"/>
          <w:smallCaps w:val="0"/>
        </w:rPr>
        <w:t>收集后交由渣土办进行处置不外排。</w:t>
      </w:r>
    </w:p>
    <w:p>
      <w:pPr>
        <w:ind w:firstLine="480"/>
        <w:rPr>
          <w:rFonts w:hint="eastAsia" w:ascii="Times New Roman" w:hAnsi="Times New Roman" w:eastAsia="宋体" w:cs="Times New Roman"/>
          <w:caps w:val="0"/>
          <w:smallCaps w:val="0"/>
          <w:lang w:eastAsia="zh-CN"/>
        </w:rPr>
      </w:pPr>
      <w:r>
        <w:rPr>
          <w:rFonts w:ascii="Times New Roman" w:hAnsi="Times New Roman" w:cs="Times New Roman"/>
          <w:caps w:val="0"/>
          <w:smallCaps w:val="0"/>
        </w:rPr>
        <w:t>疏浚泥沙</w:t>
      </w:r>
      <w:r>
        <w:rPr>
          <w:rFonts w:hint="eastAsia" w:ascii="Times New Roman" w:hAnsi="Times New Roman" w:cs="Times New Roman"/>
          <w:caps w:val="0"/>
          <w:smallCaps w:val="0"/>
          <w:lang w:eastAsia="zh-CN"/>
        </w:rPr>
        <w:t>及护坡土方</w:t>
      </w:r>
      <w:r>
        <w:rPr>
          <w:rFonts w:ascii="Times New Roman" w:hAnsi="Times New Roman" w:cs="Times New Roman"/>
          <w:caps w:val="0"/>
          <w:smallCaps w:val="0"/>
        </w:rPr>
        <w:t>由屈原咀山运输公司运送至湖南平益高速公路建设工程作为工程填方</w:t>
      </w:r>
      <w:r>
        <w:rPr>
          <w:rFonts w:hint="eastAsia" w:ascii="Times New Roman" w:hAnsi="Times New Roman" w:cs="Times New Roman"/>
          <w:caps w:val="0"/>
          <w:smallCaps w:val="0"/>
          <w:lang w:eastAsia="zh-CN"/>
        </w:rPr>
        <w:t>，</w:t>
      </w:r>
      <w:r>
        <w:rPr>
          <w:rFonts w:ascii="Times New Roman" w:hAnsi="Times New Roman" w:cs="Times New Roman"/>
          <w:caps w:val="0"/>
          <w:smallCaps w:val="0"/>
        </w:rPr>
        <w:t>码头到湖南平益高速公路建设工程运输途中的弃土管理由屈原咀山运输公司负责</w:t>
      </w:r>
      <w:r>
        <w:rPr>
          <w:rFonts w:hint="eastAsia" w:ascii="Times New Roman" w:hAnsi="Times New Roman" w:cs="Times New Roman"/>
          <w:caps w:val="0"/>
          <w:smallCaps w:val="0"/>
          <w:lang w:eastAsia="zh-CN"/>
        </w:rPr>
        <w:t>。</w:t>
      </w:r>
    </w:p>
    <w:p>
      <w:pPr>
        <w:pStyle w:val="6"/>
        <w:rPr>
          <w:rFonts w:ascii="Times New Roman" w:hAnsi="Times New Roman" w:cs="Times New Roman" w:eastAsiaTheme="minorEastAsia"/>
          <w:caps w:val="0"/>
          <w:smallCaps w:val="0"/>
          <w:szCs w:val="24"/>
        </w:rPr>
      </w:pPr>
      <w:r>
        <w:rPr>
          <w:rFonts w:ascii="Times New Roman" w:hAnsi="Times New Roman" w:cs="Times New Roman" w:eastAsiaTheme="minorEastAsia"/>
          <w:caps w:val="0"/>
          <w:smallCaps w:val="0"/>
        </w:rPr>
        <w:t>营运期固体废物环境影响分析</w:t>
      </w: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固废产生情况</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根据工程分析，本项目运营期间固体废弃物可分为船舶垃圾和陆域垃圾两部分，船舶垃圾主要为船员生活垃圾及船舶保养产生的固体废弃物，陆域垃圾主要为陆域生活垃圾、</w:t>
      </w:r>
      <w:r>
        <w:rPr>
          <w:rFonts w:hint="eastAsia" w:ascii="Times New Roman" w:hAnsi="Times New Roman" w:cs="Times New Roman" w:eastAsiaTheme="minorEastAsia"/>
          <w:caps w:val="0"/>
          <w:smallCaps w:val="0"/>
          <w:sz w:val="24"/>
          <w:szCs w:val="24"/>
          <w:lang w:val="en-US" w:eastAsia="zh-CN"/>
        </w:rPr>
        <w:t>废矿物油、废沥青等</w:t>
      </w:r>
      <w:r>
        <w:rPr>
          <w:rFonts w:ascii="Times New Roman" w:hAnsi="Times New Roman" w:cs="Times New Roman" w:eastAsiaTheme="minorEastAsia"/>
          <w:caps w:val="0"/>
          <w:smallCaps w:val="0"/>
          <w:sz w:val="24"/>
          <w:szCs w:val="24"/>
        </w:rPr>
        <w:t>。固体废物产生及排放情况见表</w:t>
      </w:r>
      <w:r>
        <w:rPr>
          <w:rFonts w:hint="eastAsia" w:ascii="Times New Roman" w:hAnsi="Times New Roman" w:cs="Times New Roman" w:eastAsiaTheme="minorEastAsia"/>
          <w:caps w:val="0"/>
          <w:smallCaps w:val="0"/>
          <w:sz w:val="24"/>
          <w:szCs w:val="24"/>
          <w:lang w:val="en-US" w:eastAsia="zh-CN"/>
        </w:rPr>
        <w:t>5</w:t>
      </w:r>
      <w:r>
        <w:rPr>
          <w:rFonts w:ascii="Times New Roman" w:hAnsi="Times New Roman" w:cs="Times New Roman" w:eastAsiaTheme="minorEastAsia"/>
          <w:caps w:val="0"/>
          <w:smallCaps w:val="0"/>
          <w:sz w:val="24"/>
          <w:szCs w:val="24"/>
        </w:rPr>
        <w:t>.5-1。</w:t>
      </w:r>
    </w:p>
    <w:p>
      <w:pPr>
        <w:adjustRightInd w:val="0"/>
        <w:snapToGrid w:val="0"/>
        <w:spacing w:line="276" w:lineRule="auto"/>
        <w:jc w:val="center"/>
        <w:rPr>
          <w:rFonts w:ascii="Times New Roman" w:hAnsi="Times New Roman" w:cs="Times New Roman" w:eastAsiaTheme="minorEastAsia"/>
          <w:b/>
          <w:caps w:val="0"/>
          <w:smallCaps w:val="0"/>
          <w:sz w:val="24"/>
          <w:szCs w:val="24"/>
        </w:rPr>
      </w:pP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sz w:val="24"/>
          <w:szCs w:val="24"/>
        </w:rPr>
        <w:t>表</w:t>
      </w:r>
      <w:r>
        <w:rPr>
          <w:rFonts w:hint="eastAsia" w:ascii="Times New Roman" w:hAnsi="Times New Roman" w:cs="Times New Roman" w:eastAsiaTheme="minorEastAsia"/>
          <w:b/>
          <w:caps w:val="0"/>
          <w:smallCaps w:val="0"/>
          <w:sz w:val="24"/>
          <w:szCs w:val="24"/>
          <w:lang w:val="en-US" w:eastAsia="zh-CN"/>
        </w:rPr>
        <w:t>5</w:t>
      </w:r>
      <w:r>
        <w:rPr>
          <w:rFonts w:ascii="Times New Roman" w:hAnsi="Times New Roman" w:cs="Times New Roman" w:eastAsiaTheme="minorEastAsia"/>
          <w:b/>
          <w:caps w:val="0"/>
          <w:smallCaps w:val="0"/>
          <w:sz w:val="24"/>
          <w:szCs w:val="24"/>
        </w:rPr>
        <w:t>.5-1固体废弃物产生与排放情况(t/a)</w:t>
      </w:r>
      <w:r>
        <w:rPr>
          <w:rFonts w:ascii="Times New Roman" w:hAnsi="Times New Roman" w:cs="Times New Roman" w:eastAsiaTheme="minorEastAsia"/>
          <w:caps w:val="0"/>
          <w:smallCaps w:val="0"/>
          <w:color w:val="000000"/>
          <w:sz w:val="24"/>
          <w:szCs w:val="24"/>
        </w:rPr>
        <w:t>单位：t/a</w:t>
      </w:r>
    </w:p>
    <w:tbl>
      <w:tblPr>
        <w:tblStyle w:val="71"/>
        <w:tblpPr w:leftFromText="180" w:rightFromText="180" w:vertAnchor="text" w:horzAnchor="page" w:tblpX="1347" w:tblpY="353"/>
        <w:tblOverlap w:val="never"/>
        <w:tblW w:w="5526" w:type="pct"/>
        <w:tblInd w:w="0" w:type="dxa"/>
        <w:tblLayout w:type="autofit"/>
        <w:tblCellMar>
          <w:top w:w="0" w:type="dxa"/>
          <w:left w:w="0" w:type="dxa"/>
          <w:bottom w:w="0" w:type="dxa"/>
          <w:right w:w="0" w:type="dxa"/>
        </w:tblCellMar>
      </w:tblPr>
      <w:tblGrid>
        <w:gridCol w:w="1576"/>
        <w:gridCol w:w="1094"/>
        <w:gridCol w:w="878"/>
        <w:gridCol w:w="878"/>
        <w:gridCol w:w="878"/>
        <w:gridCol w:w="878"/>
        <w:gridCol w:w="878"/>
        <w:gridCol w:w="2160"/>
      </w:tblGrid>
      <w:tr>
        <w:trPr>
          <w:trHeight w:val="340" w:hRule="atLeast"/>
          <w:tblHeader/>
        </w:trPr>
        <w:tc>
          <w:tcPr>
            <w:tcW w:w="1570" w:type="dxa"/>
            <w:vMerge w:val="restart"/>
            <w:tcBorders>
              <w:top w:val="single" w:color="auto" w:sz="12" w:space="0"/>
              <w:left w:val="single" w:color="auto" w:sz="12"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工序</w:t>
            </w:r>
          </w:p>
        </w:tc>
        <w:tc>
          <w:tcPr>
            <w:tcW w:w="1090" w:type="dxa"/>
            <w:vMerge w:val="restart"/>
            <w:tcBorders>
              <w:top w:val="single" w:color="auto" w:sz="12" w:space="0"/>
              <w:left w:val="single" w:color="auto" w:sz="4"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装置</w:t>
            </w:r>
          </w:p>
        </w:tc>
        <w:tc>
          <w:tcPr>
            <w:tcW w:w="875" w:type="dxa"/>
            <w:vMerge w:val="restart"/>
            <w:tcBorders>
              <w:top w:val="single" w:color="auto" w:sz="12" w:space="0"/>
              <w:left w:val="single" w:color="auto" w:sz="4"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固体废物名称</w:t>
            </w:r>
          </w:p>
        </w:tc>
        <w:tc>
          <w:tcPr>
            <w:tcW w:w="875" w:type="dxa"/>
            <w:vMerge w:val="restart"/>
            <w:tcBorders>
              <w:top w:val="single" w:color="auto" w:sz="12" w:space="0"/>
              <w:left w:val="single" w:color="auto" w:sz="4"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属性</w:t>
            </w:r>
          </w:p>
        </w:tc>
        <w:tc>
          <w:tcPr>
            <w:tcW w:w="1750" w:type="dxa"/>
            <w:gridSpan w:val="2"/>
            <w:tcBorders>
              <w:top w:val="single" w:color="auto" w:sz="12" w:space="0"/>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产生情况</w:t>
            </w:r>
          </w:p>
        </w:tc>
        <w:tc>
          <w:tcPr>
            <w:tcW w:w="3027" w:type="dxa"/>
            <w:gridSpan w:val="2"/>
            <w:tcBorders>
              <w:top w:val="single" w:color="auto" w:sz="12" w:space="0"/>
              <w:left w:val="nil"/>
              <w:bottom w:val="single" w:color="auto" w:sz="4" w:space="0"/>
              <w:right w:val="single" w:color="auto" w:sz="12"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处置情况</w:t>
            </w:r>
          </w:p>
        </w:tc>
      </w:tr>
      <w:tr>
        <w:tblPrEx>
          <w:tblCellMar>
            <w:top w:w="0" w:type="dxa"/>
            <w:left w:w="0" w:type="dxa"/>
            <w:bottom w:w="0" w:type="dxa"/>
            <w:right w:w="0" w:type="dxa"/>
          </w:tblCellMar>
        </w:tblPrEx>
        <w:trPr>
          <w:trHeight w:val="340" w:hRule="atLeast"/>
          <w:tblHeader/>
        </w:trPr>
        <w:tc>
          <w:tcPr>
            <w:tcW w:w="1570" w:type="dxa"/>
            <w:vMerge w:val="continue"/>
            <w:tcBorders>
              <w:top w:val="single" w:color="auto" w:sz="4" w:space="0"/>
              <w:left w:val="single" w:color="auto" w:sz="12" w:space="0"/>
              <w:bottom w:val="single" w:color="auto" w:sz="4" w:space="0"/>
              <w:right w:val="single" w:color="auto" w:sz="4" w:space="0"/>
            </w:tcBorders>
            <w:vAlign w:val="center"/>
          </w:tcPr>
          <w:p>
            <w:pPr>
              <w:pStyle w:val="117"/>
              <w:bidi w:val="0"/>
              <w:rPr>
                <w:rFonts w:ascii="Times New Roman" w:hAnsi="Times New Roman" w:cs="Times New Roman"/>
                <w:caps w:val="0"/>
                <w:smallCaps w:val="0"/>
              </w:rPr>
            </w:pPr>
          </w:p>
        </w:tc>
        <w:tc>
          <w:tcPr>
            <w:tcW w:w="1090" w:type="dxa"/>
            <w:vMerge w:val="continue"/>
            <w:tcBorders>
              <w:top w:val="single" w:color="auto" w:sz="4" w:space="0"/>
              <w:left w:val="single" w:color="auto" w:sz="4" w:space="0"/>
              <w:bottom w:val="single" w:color="auto" w:sz="4" w:space="0"/>
              <w:right w:val="single" w:color="auto" w:sz="4" w:space="0"/>
            </w:tcBorders>
            <w:vAlign w:val="center"/>
          </w:tcPr>
          <w:p>
            <w:pPr>
              <w:pStyle w:val="117"/>
              <w:bidi w:val="0"/>
              <w:rPr>
                <w:rFonts w:ascii="Times New Roman" w:hAnsi="Times New Roman" w:cs="Times New Roman"/>
                <w:caps w:val="0"/>
                <w:smallCaps w:val="0"/>
              </w:rPr>
            </w:pPr>
          </w:p>
        </w:tc>
        <w:tc>
          <w:tcPr>
            <w:tcW w:w="875" w:type="dxa"/>
            <w:vMerge w:val="continue"/>
            <w:tcBorders>
              <w:top w:val="single" w:color="auto" w:sz="4" w:space="0"/>
              <w:left w:val="single" w:color="auto" w:sz="4" w:space="0"/>
              <w:bottom w:val="single" w:color="auto" w:sz="4" w:space="0"/>
              <w:right w:val="single" w:color="auto" w:sz="4" w:space="0"/>
            </w:tcBorders>
            <w:vAlign w:val="center"/>
          </w:tcPr>
          <w:p>
            <w:pPr>
              <w:pStyle w:val="117"/>
              <w:bidi w:val="0"/>
              <w:rPr>
                <w:rFonts w:ascii="Times New Roman" w:hAnsi="Times New Roman" w:cs="Times New Roman"/>
                <w:caps w:val="0"/>
                <w:smallCaps w:val="0"/>
              </w:rPr>
            </w:pPr>
          </w:p>
        </w:tc>
        <w:tc>
          <w:tcPr>
            <w:tcW w:w="875" w:type="dxa"/>
            <w:vMerge w:val="continue"/>
            <w:tcBorders>
              <w:top w:val="single" w:color="auto" w:sz="4" w:space="0"/>
              <w:left w:val="single" w:color="auto" w:sz="4" w:space="0"/>
              <w:bottom w:val="single" w:color="auto" w:sz="4" w:space="0"/>
              <w:right w:val="single" w:color="auto" w:sz="4" w:space="0"/>
            </w:tcBorders>
            <w:vAlign w:val="center"/>
          </w:tcPr>
          <w:p>
            <w:pPr>
              <w:pStyle w:val="117"/>
              <w:bidi w:val="0"/>
              <w:rPr>
                <w:rFonts w:ascii="Times New Roman" w:hAnsi="Times New Roman" w:cs="Times New Roman"/>
                <w:caps w:val="0"/>
                <w:smallCaps w:val="0"/>
              </w:rPr>
            </w:pP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核算方法</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产生量</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处理量</w:t>
            </w:r>
          </w:p>
        </w:tc>
        <w:tc>
          <w:tcPr>
            <w:tcW w:w="2152" w:type="dxa"/>
            <w:tcBorders>
              <w:top w:val="nil"/>
              <w:left w:val="nil"/>
              <w:bottom w:val="single" w:color="auto" w:sz="4" w:space="0"/>
              <w:right w:val="single" w:color="auto" w:sz="12"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最终去向</w:t>
            </w:r>
          </w:p>
        </w:tc>
      </w:tr>
      <w:tr>
        <w:trPr>
          <w:trHeight w:val="340" w:hRule="atLeast"/>
        </w:trPr>
        <w:tc>
          <w:tcPr>
            <w:tcW w:w="1570" w:type="dxa"/>
            <w:tcBorders>
              <w:top w:val="nil"/>
              <w:left w:val="single" w:color="auto" w:sz="12"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员工生活垃圾</w:t>
            </w:r>
          </w:p>
        </w:tc>
        <w:tc>
          <w:tcPr>
            <w:tcW w:w="1090"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产污系数</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2.475</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2.475</w:t>
            </w:r>
          </w:p>
        </w:tc>
        <w:tc>
          <w:tcPr>
            <w:tcW w:w="2152" w:type="dxa"/>
            <w:vMerge w:val="restart"/>
            <w:tcBorders>
              <w:top w:val="nil"/>
              <w:left w:val="nil"/>
              <w:right w:val="single" w:color="auto" w:sz="12"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环卫部门清运</w:t>
            </w:r>
          </w:p>
        </w:tc>
      </w:tr>
      <w:tr>
        <w:trPr>
          <w:trHeight w:val="340" w:hRule="atLeast"/>
        </w:trPr>
        <w:tc>
          <w:tcPr>
            <w:tcW w:w="1570" w:type="dxa"/>
            <w:tcBorders>
              <w:top w:val="nil"/>
              <w:left w:val="single" w:color="auto" w:sz="12"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到港船舶生活垃圾</w:t>
            </w:r>
          </w:p>
        </w:tc>
        <w:tc>
          <w:tcPr>
            <w:tcW w:w="1090"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生活垃圾</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产污系数</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1.44</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1.44</w:t>
            </w:r>
          </w:p>
        </w:tc>
        <w:tc>
          <w:tcPr>
            <w:tcW w:w="2152" w:type="dxa"/>
            <w:vMerge w:val="continue"/>
            <w:tcBorders>
              <w:left w:val="nil"/>
              <w:bottom w:val="single" w:color="auto" w:sz="4" w:space="0"/>
              <w:right w:val="single" w:color="auto" w:sz="12" w:space="0"/>
            </w:tcBorders>
            <w:shd w:val="clear" w:color="auto" w:fill="auto"/>
            <w:vAlign w:val="center"/>
          </w:tcPr>
          <w:p>
            <w:pPr>
              <w:pStyle w:val="117"/>
              <w:bidi w:val="0"/>
              <w:rPr>
                <w:rFonts w:ascii="Times New Roman" w:hAnsi="Times New Roman" w:cs="Times New Roman"/>
                <w:caps w:val="0"/>
                <w:smallCaps w:val="0"/>
              </w:rPr>
            </w:pPr>
          </w:p>
        </w:tc>
      </w:tr>
      <w:tr>
        <w:tblPrEx>
          <w:tblCellMar>
            <w:top w:w="0" w:type="dxa"/>
            <w:left w:w="0" w:type="dxa"/>
            <w:bottom w:w="0" w:type="dxa"/>
            <w:right w:w="0" w:type="dxa"/>
          </w:tblCellMar>
        </w:tblPrEx>
        <w:trPr>
          <w:trHeight w:val="340" w:hRule="atLeast"/>
        </w:trPr>
        <w:tc>
          <w:tcPr>
            <w:tcW w:w="1570" w:type="dxa"/>
            <w:tcBorders>
              <w:top w:val="nil"/>
              <w:left w:val="single" w:color="auto" w:sz="12" w:space="0"/>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设备维修</w:t>
            </w:r>
          </w:p>
        </w:tc>
        <w:tc>
          <w:tcPr>
            <w:tcW w:w="1090"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泵等设备</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hint="eastAsia" w:ascii="Times New Roman" w:hAnsi="Times New Roman" w:cs="Times New Roman"/>
                <w:caps w:val="0"/>
                <w:smallCaps w:val="0"/>
                <w:lang w:val="en-US" w:eastAsia="zh-CN"/>
              </w:rPr>
            </w:pPr>
            <w:r>
              <w:rPr>
                <w:rFonts w:ascii="Times New Roman" w:hAnsi="Times New Roman" w:cs="Times New Roman"/>
                <w:caps w:val="0"/>
                <w:smallCaps w:val="0"/>
              </w:rPr>
              <w:t>废</w:t>
            </w:r>
            <w:r>
              <w:rPr>
                <w:rFonts w:hint="eastAsia" w:ascii="Times New Roman" w:hAnsi="Times New Roman" w:cs="Times New Roman"/>
                <w:caps w:val="0"/>
                <w:smallCaps w:val="0"/>
                <w:lang w:val="en-US" w:eastAsia="zh-CN"/>
              </w:rPr>
              <w:t>矿物油</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危险废物</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类比法</w:t>
            </w:r>
          </w:p>
        </w:tc>
        <w:tc>
          <w:tcPr>
            <w:tcW w:w="875" w:type="dxa"/>
            <w:tcBorders>
              <w:top w:val="nil"/>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rPr>
              <w:t>1</w:t>
            </w:r>
          </w:p>
        </w:tc>
        <w:tc>
          <w:tcPr>
            <w:tcW w:w="875" w:type="dxa"/>
            <w:tcBorders>
              <w:top w:val="single" w:color="auto" w:sz="4" w:space="0"/>
              <w:left w:val="nil"/>
              <w:bottom w:val="single" w:color="auto" w:sz="4" w:space="0"/>
              <w:right w:val="single" w:color="auto" w:sz="4"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0.</w:t>
            </w:r>
            <w:r>
              <w:rPr>
                <w:rFonts w:hint="eastAsia" w:ascii="Times New Roman" w:hAnsi="Times New Roman" w:cs="Times New Roman"/>
                <w:caps w:val="0"/>
                <w:smallCaps w:val="0"/>
              </w:rPr>
              <w:t>1</w:t>
            </w:r>
          </w:p>
        </w:tc>
        <w:tc>
          <w:tcPr>
            <w:tcW w:w="2152" w:type="dxa"/>
            <w:tcBorders>
              <w:top w:val="single" w:color="auto" w:sz="4" w:space="0"/>
              <w:left w:val="nil"/>
              <w:bottom w:val="single" w:color="auto" w:sz="4" w:space="0"/>
              <w:right w:val="single" w:color="auto" w:sz="12" w:space="0"/>
            </w:tcBorders>
            <w:shd w:val="clear" w:color="auto" w:fill="auto"/>
            <w:noWrap/>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rPr>
              <w:t>交有资质的单位处置</w:t>
            </w:r>
          </w:p>
        </w:tc>
      </w:tr>
      <w:tr>
        <w:trPr>
          <w:trHeight w:val="340" w:hRule="atLeast"/>
        </w:trPr>
        <w:tc>
          <w:tcPr>
            <w:tcW w:w="1570" w:type="dxa"/>
            <w:tcBorders>
              <w:top w:val="nil"/>
              <w:left w:val="single" w:color="auto" w:sz="12" w:space="0"/>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装卸作业</w:t>
            </w:r>
          </w:p>
        </w:tc>
        <w:tc>
          <w:tcPr>
            <w:tcW w:w="1090"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装卸及管道等</w:t>
            </w:r>
          </w:p>
        </w:tc>
        <w:tc>
          <w:tcPr>
            <w:tcW w:w="875"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装卸废</w:t>
            </w:r>
            <w:r>
              <w:rPr>
                <w:rFonts w:hint="eastAsia" w:ascii="Times New Roman" w:hAnsi="Times New Roman" w:cs="Times New Roman"/>
                <w:caps w:val="0"/>
                <w:smallCaps w:val="0"/>
              </w:rPr>
              <w:t>沥青</w:t>
            </w:r>
          </w:p>
        </w:tc>
        <w:tc>
          <w:tcPr>
            <w:tcW w:w="875"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一般工业固体</w:t>
            </w:r>
            <w:r>
              <w:rPr>
                <w:rFonts w:ascii="Times New Roman" w:hAnsi="Times New Roman" w:cs="Times New Roman"/>
                <w:caps w:val="0"/>
                <w:smallCaps w:val="0"/>
              </w:rPr>
              <w:t>废物</w:t>
            </w:r>
          </w:p>
        </w:tc>
        <w:tc>
          <w:tcPr>
            <w:tcW w:w="875"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类比法</w:t>
            </w:r>
          </w:p>
        </w:tc>
        <w:tc>
          <w:tcPr>
            <w:tcW w:w="875" w:type="dxa"/>
            <w:tcBorders>
              <w:top w:val="nil"/>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5</w:t>
            </w:r>
          </w:p>
        </w:tc>
        <w:tc>
          <w:tcPr>
            <w:tcW w:w="875" w:type="dxa"/>
            <w:tcBorders>
              <w:top w:val="single" w:color="auto" w:sz="4" w:space="0"/>
              <w:left w:val="nil"/>
              <w:bottom w:val="single" w:color="auto" w:sz="12" w:space="0"/>
              <w:right w:val="single" w:color="auto" w:sz="4" w:space="0"/>
            </w:tcBorders>
            <w:shd w:val="clear" w:color="auto" w:fill="auto"/>
            <w:noWrap/>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5</w:t>
            </w:r>
          </w:p>
        </w:tc>
        <w:tc>
          <w:tcPr>
            <w:tcW w:w="2152" w:type="dxa"/>
            <w:tcBorders>
              <w:top w:val="single" w:color="auto" w:sz="4" w:space="0"/>
              <w:left w:val="single" w:color="auto" w:sz="4" w:space="0"/>
              <w:bottom w:val="single" w:color="auto" w:sz="12" w:space="0"/>
              <w:right w:val="single" w:color="auto" w:sz="12" w:space="0"/>
            </w:tcBorders>
            <w:vAlign w:val="center"/>
          </w:tcPr>
          <w:p>
            <w:pPr>
              <w:pStyle w:val="117"/>
              <w:bidi w:val="0"/>
              <w:rPr>
                <w:rFonts w:hint="eastAsia" w:ascii="Times New Roman" w:hAnsi="Times New Roman" w:eastAsia="宋体" w:cs="Times New Roman"/>
                <w:caps w:val="0"/>
                <w:smallCaps w:val="0"/>
                <w:lang w:eastAsia="zh-CN"/>
              </w:rPr>
            </w:pPr>
            <w:r>
              <w:rPr>
                <w:rFonts w:hint="eastAsia" w:ascii="Times New Roman" w:hAnsi="Times New Roman" w:cs="Times New Roman"/>
                <w:caps w:val="0"/>
                <w:smallCaps w:val="0"/>
                <w:lang w:eastAsia="zh-CN"/>
              </w:rPr>
              <w:t>回收利用</w:t>
            </w:r>
          </w:p>
        </w:tc>
      </w:tr>
    </w:tbl>
    <w:p>
      <w:pPr>
        <w:wordWrap w:val="0"/>
        <w:spacing w:line="360" w:lineRule="auto"/>
        <w:ind w:firstLine="482" w:firstLineChars="200"/>
        <w:jc w:val="right"/>
        <w:rPr>
          <w:rFonts w:ascii="Times New Roman" w:hAnsi="Times New Roman" w:cs="Times New Roman" w:eastAsiaTheme="minorEastAsia"/>
          <w:b/>
          <w:caps w:val="0"/>
          <w:smallCaps w:val="0"/>
          <w:color w:val="000000"/>
          <w:sz w:val="24"/>
          <w:szCs w:val="24"/>
        </w:rPr>
      </w:pPr>
      <w:r>
        <w:rPr>
          <w:rFonts w:ascii="Times New Roman" w:hAnsi="Times New Roman" w:cs="Times New Roman" w:eastAsiaTheme="minorEastAsia"/>
          <w:b/>
          <w:caps w:val="0"/>
          <w:smallCaps w:val="0"/>
          <w:color w:val="000000"/>
          <w:sz w:val="24"/>
          <w:szCs w:val="24"/>
        </w:rPr>
        <w:t>表</w:t>
      </w:r>
      <w:r>
        <w:rPr>
          <w:rFonts w:hint="eastAsia" w:ascii="Times New Roman" w:hAnsi="Times New Roman"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w:t>
      </w:r>
      <w:r>
        <w:rPr>
          <w:rFonts w:hint="eastAsia" w:ascii="Times New Roman" w:hAnsi="Times New Roman" w:cs="Times New Roman" w:eastAsiaTheme="minorEastAsia"/>
          <w:b/>
          <w:caps w:val="0"/>
          <w:smallCaps w:val="0"/>
          <w:color w:val="000000"/>
          <w:sz w:val="24"/>
          <w:szCs w:val="24"/>
          <w:lang w:val="en-US" w:eastAsia="zh-CN"/>
        </w:rPr>
        <w:t>5</w:t>
      </w:r>
      <w:r>
        <w:rPr>
          <w:rFonts w:ascii="Times New Roman" w:hAnsi="Times New Roman" w:cs="Times New Roman" w:eastAsiaTheme="minorEastAsia"/>
          <w:b/>
          <w:caps w:val="0"/>
          <w:smallCaps w:val="0"/>
          <w:color w:val="000000"/>
          <w:sz w:val="24"/>
          <w:szCs w:val="24"/>
        </w:rPr>
        <w:t>-</w:t>
      </w:r>
      <w:r>
        <w:rPr>
          <w:rFonts w:hint="eastAsia" w:ascii="Times New Roman" w:hAnsi="Times New Roman" w:cs="Times New Roman" w:eastAsiaTheme="minorEastAsia"/>
          <w:b/>
          <w:caps w:val="0"/>
          <w:smallCaps w:val="0"/>
          <w:color w:val="000000"/>
          <w:sz w:val="24"/>
          <w:szCs w:val="24"/>
          <w:lang w:val="en-US" w:eastAsia="zh-CN"/>
        </w:rPr>
        <w:t>2</w:t>
      </w:r>
      <w:r>
        <w:rPr>
          <w:rFonts w:ascii="Times New Roman" w:hAnsi="Times New Roman" w:cs="Times New Roman" w:eastAsiaTheme="minorEastAsia"/>
          <w:b/>
          <w:caps w:val="0"/>
          <w:smallCaps w:val="0"/>
          <w:color w:val="000000"/>
          <w:sz w:val="24"/>
          <w:szCs w:val="24"/>
        </w:rPr>
        <w:t>本项目危险废物具体情况一览表</w:t>
      </w:r>
      <w:r>
        <w:rPr>
          <w:rFonts w:ascii="Times New Roman" w:hAnsi="Times New Roman" w:cs="Times New Roman" w:eastAsiaTheme="minorEastAsia"/>
          <w:caps w:val="0"/>
          <w:smallCaps w:val="0"/>
          <w:color w:val="000000"/>
          <w:sz w:val="24"/>
          <w:szCs w:val="24"/>
        </w:rPr>
        <w:t>单位：t/a</w:t>
      </w:r>
    </w:p>
    <w:tbl>
      <w:tblPr>
        <w:tblStyle w:val="71"/>
        <w:tblW w:w="907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472"/>
        <w:gridCol w:w="832"/>
        <w:gridCol w:w="832"/>
        <w:gridCol w:w="900"/>
        <w:gridCol w:w="750"/>
        <w:gridCol w:w="970"/>
        <w:gridCol w:w="640"/>
        <w:gridCol w:w="668"/>
        <w:gridCol w:w="640"/>
        <w:gridCol w:w="793"/>
        <w:gridCol w:w="668"/>
        <w:gridCol w:w="910"/>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472"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序号</w:t>
            </w:r>
          </w:p>
        </w:tc>
        <w:tc>
          <w:tcPr>
            <w:tcW w:w="832"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危险废物名称</w:t>
            </w:r>
          </w:p>
        </w:tc>
        <w:tc>
          <w:tcPr>
            <w:tcW w:w="832"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危险废物类别</w:t>
            </w:r>
          </w:p>
        </w:tc>
        <w:tc>
          <w:tcPr>
            <w:tcW w:w="90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危险废物代码</w:t>
            </w:r>
          </w:p>
        </w:tc>
        <w:tc>
          <w:tcPr>
            <w:tcW w:w="75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产生量</w:t>
            </w:r>
          </w:p>
        </w:tc>
        <w:tc>
          <w:tcPr>
            <w:tcW w:w="97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产生工序及装置</w:t>
            </w:r>
          </w:p>
        </w:tc>
        <w:tc>
          <w:tcPr>
            <w:tcW w:w="64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形态</w:t>
            </w:r>
          </w:p>
        </w:tc>
        <w:tc>
          <w:tcPr>
            <w:tcW w:w="668"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主要成分</w:t>
            </w:r>
          </w:p>
        </w:tc>
        <w:tc>
          <w:tcPr>
            <w:tcW w:w="64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有害成分</w:t>
            </w:r>
          </w:p>
        </w:tc>
        <w:tc>
          <w:tcPr>
            <w:tcW w:w="793"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产废周期</w:t>
            </w:r>
          </w:p>
        </w:tc>
        <w:tc>
          <w:tcPr>
            <w:tcW w:w="668"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危险特性</w:t>
            </w:r>
          </w:p>
        </w:tc>
        <w:tc>
          <w:tcPr>
            <w:tcW w:w="91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污染防治措施</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340" w:hRule="atLeast"/>
          <w:jc w:val="center"/>
        </w:trPr>
        <w:tc>
          <w:tcPr>
            <w:tcW w:w="472"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1</w:t>
            </w:r>
          </w:p>
        </w:tc>
        <w:tc>
          <w:tcPr>
            <w:tcW w:w="832"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废</w:t>
            </w:r>
            <w:r>
              <w:rPr>
                <w:rFonts w:hint="eastAsia" w:ascii="Times New Roman" w:hAnsi="Times New Roman" w:eastAsia="宋体" w:cs="Times New Roman"/>
                <w:caps w:val="0"/>
                <w:smallCaps w:val="0"/>
                <w:lang w:val="en-US" w:eastAsia="zh-CN"/>
              </w:rPr>
              <w:t>矿物</w:t>
            </w:r>
            <w:r>
              <w:rPr>
                <w:rFonts w:ascii="Times New Roman" w:hAnsi="Times New Roman" w:eastAsia="宋体" w:cs="Times New Roman"/>
                <w:caps w:val="0"/>
                <w:smallCaps w:val="0"/>
              </w:rPr>
              <w:t>油</w:t>
            </w:r>
          </w:p>
        </w:tc>
        <w:tc>
          <w:tcPr>
            <w:tcW w:w="832"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HW08</w:t>
            </w:r>
          </w:p>
        </w:tc>
        <w:tc>
          <w:tcPr>
            <w:tcW w:w="90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900-24 9-08</w:t>
            </w:r>
          </w:p>
        </w:tc>
        <w:tc>
          <w:tcPr>
            <w:tcW w:w="75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0.</w:t>
            </w:r>
            <w:r>
              <w:rPr>
                <w:rFonts w:hint="eastAsia" w:ascii="Times New Roman" w:hAnsi="Times New Roman" w:eastAsia="宋体" w:cs="Times New Roman"/>
                <w:caps w:val="0"/>
                <w:smallCaps w:val="0"/>
              </w:rPr>
              <w:t>1</w:t>
            </w:r>
          </w:p>
        </w:tc>
        <w:tc>
          <w:tcPr>
            <w:tcW w:w="97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设备维修</w:t>
            </w:r>
          </w:p>
        </w:tc>
        <w:tc>
          <w:tcPr>
            <w:tcW w:w="64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液态</w:t>
            </w:r>
          </w:p>
        </w:tc>
        <w:tc>
          <w:tcPr>
            <w:tcW w:w="668"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矿物油</w:t>
            </w:r>
          </w:p>
        </w:tc>
        <w:tc>
          <w:tcPr>
            <w:tcW w:w="64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矿物油</w:t>
            </w:r>
          </w:p>
        </w:tc>
        <w:tc>
          <w:tcPr>
            <w:tcW w:w="793"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1d</w:t>
            </w:r>
          </w:p>
        </w:tc>
        <w:tc>
          <w:tcPr>
            <w:tcW w:w="668"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T,I</w:t>
            </w:r>
          </w:p>
        </w:tc>
        <w:tc>
          <w:tcPr>
            <w:tcW w:w="910" w:type="dxa"/>
            <w:vAlign w:val="center"/>
          </w:tcPr>
          <w:p>
            <w:pPr>
              <w:pStyle w:val="117"/>
              <w:bidi w:val="0"/>
              <w:ind w:firstLine="0"/>
              <w:rPr>
                <w:rFonts w:ascii="Times New Roman" w:hAnsi="Times New Roman" w:eastAsia="宋体" w:cs="Times New Roman"/>
                <w:caps w:val="0"/>
                <w:smallCaps w:val="0"/>
              </w:rPr>
            </w:pPr>
            <w:r>
              <w:rPr>
                <w:rFonts w:ascii="Times New Roman" w:hAnsi="Times New Roman" w:eastAsia="宋体" w:cs="Times New Roman"/>
                <w:caps w:val="0"/>
                <w:smallCaps w:val="0"/>
              </w:rPr>
              <w:t>交有资质单位处理</w:t>
            </w:r>
          </w:p>
        </w:tc>
      </w:tr>
    </w:tbl>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p>
    <w:p>
      <w:pPr>
        <w:pStyle w:val="7"/>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固体废物环境影响分析</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1、固体废物处理处置的环境影响分析</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lang w:val="en-US" w:eastAsia="zh-CN"/>
        </w:rPr>
        <w:t>1</w:t>
      </w:r>
      <w:r>
        <w:rPr>
          <w:rFonts w:hint="eastAsia" w:ascii="Times New Roman" w:hAnsi="Times New Roman" w:cs="Times New Roman" w:eastAsiaTheme="minorEastAsia"/>
          <w:caps w:val="0"/>
          <w:smallCaps w:val="0"/>
          <w:sz w:val="24"/>
          <w:szCs w:val="24"/>
          <w:lang w:eastAsia="zh-CN"/>
        </w:rPr>
        <w:t>）</w:t>
      </w:r>
      <w:r>
        <w:rPr>
          <w:rFonts w:ascii="Times New Roman" w:hAnsi="Times New Roman" w:cs="Times New Roman" w:eastAsiaTheme="minorEastAsia"/>
          <w:caps w:val="0"/>
          <w:smallCaps w:val="0"/>
          <w:color w:val="000000"/>
          <w:sz w:val="24"/>
          <w:szCs w:val="24"/>
          <w:lang w:val="zh-CN"/>
        </w:rPr>
        <w:t>到港船舶生活垃圾</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lang w:val="en-US" w:eastAsia="zh-CN"/>
        </w:rPr>
        <w:t>趸船上设置垃圾接受装置，</w:t>
      </w:r>
      <w:r>
        <w:rPr>
          <w:rFonts w:ascii="Times New Roman" w:hAnsi="Times New Roman" w:cs="Times New Roman" w:eastAsiaTheme="minorEastAsia"/>
          <w:caps w:val="0"/>
          <w:smallCaps w:val="0"/>
          <w:sz w:val="24"/>
          <w:szCs w:val="24"/>
        </w:rPr>
        <w:t>船舶垃圾</w:t>
      </w:r>
      <w:r>
        <w:rPr>
          <w:rFonts w:hint="eastAsia" w:ascii="Times New Roman" w:hAnsi="Times New Roman" w:cs="Times New Roman" w:eastAsiaTheme="minorEastAsia"/>
          <w:caps w:val="0"/>
          <w:smallCaps w:val="0"/>
          <w:sz w:val="24"/>
          <w:szCs w:val="24"/>
          <w:lang w:val="en-US" w:eastAsia="zh-CN"/>
        </w:rPr>
        <w:t>上岸后交环卫部门处理</w:t>
      </w:r>
      <w:r>
        <w:rPr>
          <w:rFonts w:ascii="Times New Roman" w:hAnsi="Times New Roman" w:cs="Times New Roman" w:eastAsiaTheme="minorEastAsia"/>
          <w:caps w:val="0"/>
          <w:smallCaps w:val="0"/>
          <w:sz w:val="24"/>
          <w:szCs w:val="24"/>
        </w:rPr>
        <w:t>，严禁乱丢乱弃，对环境影响较小。</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lang w:val="en-US" w:eastAsia="zh-CN"/>
        </w:rPr>
        <w:t>2</w:t>
      </w:r>
      <w:r>
        <w:rPr>
          <w:rFonts w:hint="eastAsia" w:ascii="Times New Roman" w:hAnsi="Times New Roman" w:cs="Times New Roman" w:eastAsiaTheme="minorEastAsia"/>
          <w:caps w:val="0"/>
          <w:smallCaps w:val="0"/>
          <w:sz w:val="24"/>
          <w:szCs w:val="24"/>
          <w:lang w:eastAsia="zh-CN"/>
        </w:rPr>
        <w:t>）</w:t>
      </w:r>
      <w:r>
        <w:rPr>
          <w:rFonts w:ascii="Times New Roman" w:hAnsi="Times New Roman" w:cs="Times New Roman" w:eastAsiaTheme="minorEastAsia"/>
          <w:caps w:val="0"/>
          <w:smallCaps w:val="0"/>
          <w:color w:val="000000"/>
          <w:sz w:val="24"/>
          <w:szCs w:val="24"/>
          <w:lang w:val="zh-CN"/>
        </w:rPr>
        <w:t>港区工作人员生活垃圾</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rPr>
        <w:t>本工程码头区工作人员生活垃圾通过</w:t>
      </w:r>
      <w:r>
        <w:rPr>
          <w:rFonts w:hint="eastAsia" w:ascii="Times New Roman" w:hAnsi="Times New Roman" w:cs="Times New Roman" w:eastAsiaTheme="minorEastAsia"/>
          <w:caps w:val="0"/>
          <w:smallCaps w:val="0"/>
          <w:sz w:val="24"/>
          <w:szCs w:val="24"/>
          <w:lang w:val="en-US" w:eastAsia="zh-CN"/>
        </w:rPr>
        <w:t>库区</w:t>
      </w:r>
      <w:r>
        <w:rPr>
          <w:rFonts w:ascii="Times New Roman" w:hAnsi="Times New Roman" w:cs="Times New Roman" w:eastAsiaTheme="minorEastAsia"/>
          <w:caps w:val="0"/>
          <w:smallCaps w:val="0"/>
          <w:sz w:val="24"/>
          <w:szCs w:val="24"/>
        </w:rPr>
        <w:t>垃圾</w:t>
      </w:r>
      <w:r>
        <w:rPr>
          <w:rFonts w:hint="eastAsia" w:ascii="Times New Roman" w:hAnsi="Times New Roman" w:cs="Times New Roman" w:eastAsiaTheme="minorEastAsia"/>
          <w:caps w:val="0"/>
          <w:smallCaps w:val="0"/>
          <w:sz w:val="24"/>
          <w:szCs w:val="24"/>
          <w:lang w:val="en-US" w:eastAsia="zh-CN"/>
        </w:rPr>
        <w:t>箱</w:t>
      </w:r>
      <w:r>
        <w:rPr>
          <w:rFonts w:ascii="Times New Roman" w:hAnsi="Times New Roman" w:cs="Times New Roman" w:eastAsiaTheme="minorEastAsia"/>
          <w:caps w:val="0"/>
          <w:smallCaps w:val="0"/>
          <w:sz w:val="24"/>
          <w:szCs w:val="24"/>
        </w:rPr>
        <w:t>收集后，交由环卫部门定期清运，严禁乱丢乱弃，对环境影响较小。</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lang w:val="en-US" w:eastAsia="zh-CN"/>
        </w:rPr>
        <w:t>3</w:t>
      </w:r>
      <w:r>
        <w:rPr>
          <w:rFonts w:hint="eastAsia" w:ascii="Times New Roman" w:hAnsi="Times New Roman" w:cs="Times New Roman" w:eastAsiaTheme="minorEastAsia"/>
          <w:caps w:val="0"/>
          <w:smallCaps w:val="0"/>
          <w:sz w:val="24"/>
          <w:szCs w:val="24"/>
          <w:lang w:eastAsia="zh-CN"/>
        </w:rPr>
        <w:t>）</w:t>
      </w:r>
      <w:r>
        <w:rPr>
          <w:rFonts w:ascii="Times New Roman" w:hAnsi="Times New Roman" w:cs="Times New Roman" w:eastAsiaTheme="minorEastAsia"/>
          <w:caps w:val="0"/>
          <w:smallCaps w:val="0"/>
          <w:color w:val="000000"/>
          <w:sz w:val="24"/>
          <w:szCs w:val="24"/>
          <w:lang w:val="zh-CN"/>
        </w:rPr>
        <w:t>废</w:t>
      </w:r>
      <w:r>
        <w:rPr>
          <w:rFonts w:hint="eastAsia" w:ascii="Times New Roman" w:hAnsi="Times New Roman" w:cs="Times New Roman" w:eastAsiaTheme="minorEastAsia"/>
          <w:caps w:val="0"/>
          <w:smallCaps w:val="0"/>
          <w:color w:val="000000"/>
          <w:sz w:val="24"/>
          <w:szCs w:val="24"/>
          <w:lang w:val="en-US" w:eastAsia="zh-CN"/>
        </w:rPr>
        <w:t>矿物</w:t>
      </w:r>
      <w:r>
        <w:rPr>
          <w:rFonts w:ascii="Times New Roman" w:hAnsi="Times New Roman" w:cs="Times New Roman" w:eastAsiaTheme="minorEastAsia"/>
          <w:caps w:val="0"/>
          <w:smallCaps w:val="0"/>
          <w:color w:val="000000"/>
          <w:sz w:val="24"/>
          <w:szCs w:val="24"/>
          <w:lang w:val="zh-CN"/>
        </w:rPr>
        <w:t>油</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color w:val="000000"/>
          <w:sz w:val="24"/>
          <w:szCs w:val="24"/>
        </w:rPr>
        <w:t>码头设备修理和装卸作业中产生的废</w:t>
      </w:r>
      <w:r>
        <w:rPr>
          <w:rFonts w:hint="eastAsia" w:ascii="Times New Roman" w:hAnsi="Times New Roman" w:cs="Times New Roman" w:eastAsiaTheme="minorEastAsia"/>
          <w:caps w:val="0"/>
          <w:smallCaps w:val="0"/>
          <w:color w:val="000000"/>
          <w:sz w:val="24"/>
          <w:szCs w:val="24"/>
          <w:lang w:val="en-US" w:eastAsia="zh-CN"/>
        </w:rPr>
        <w:t>矿物</w:t>
      </w:r>
      <w:r>
        <w:rPr>
          <w:rFonts w:ascii="Times New Roman" w:hAnsi="Times New Roman" w:cs="Times New Roman" w:eastAsiaTheme="minorEastAsia"/>
          <w:caps w:val="0"/>
          <w:smallCaps w:val="0"/>
          <w:color w:val="000000"/>
          <w:sz w:val="24"/>
          <w:szCs w:val="24"/>
        </w:rPr>
        <w:t>油</w:t>
      </w:r>
      <w:r>
        <w:rPr>
          <w:rFonts w:hint="eastAsia" w:ascii="Times New Roman" w:hAnsi="Times New Roman" w:cs="Times New Roman" w:eastAsiaTheme="minorEastAsia"/>
          <w:caps w:val="0"/>
          <w:smallCaps w:val="0"/>
          <w:color w:val="000000"/>
          <w:sz w:val="24"/>
          <w:szCs w:val="24"/>
          <w:lang w:val="en-US" w:eastAsia="zh-CN"/>
        </w:rPr>
        <w:t>依托岸上库区的危险废物暂存间暂存，定期</w:t>
      </w:r>
      <w:r>
        <w:rPr>
          <w:rFonts w:ascii="Times New Roman" w:hAnsi="Times New Roman" w:cs="Times New Roman" w:eastAsiaTheme="minorEastAsia"/>
          <w:caps w:val="0"/>
          <w:smallCaps w:val="0"/>
          <w:sz w:val="24"/>
          <w:szCs w:val="24"/>
        </w:rPr>
        <w:t>委托有资质单位处置，</w:t>
      </w:r>
      <w:r>
        <w:rPr>
          <w:rFonts w:hint="eastAsia" w:ascii="Times New Roman" w:hAnsi="Times New Roman" w:cs="Times New Roman" w:eastAsiaTheme="minorEastAsia"/>
          <w:caps w:val="0"/>
          <w:smallCaps w:val="0"/>
          <w:sz w:val="24"/>
          <w:szCs w:val="24"/>
          <w:lang w:val="en-US" w:eastAsia="zh-CN"/>
        </w:rPr>
        <w:t>并执行转移联单制度，</w:t>
      </w:r>
      <w:r>
        <w:rPr>
          <w:rFonts w:ascii="Times New Roman" w:hAnsi="Times New Roman" w:cs="Times New Roman" w:eastAsiaTheme="minorEastAsia"/>
          <w:caps w:val="0"/>
          <w:smallCaps w:val="0"/>
          <w:sz w:val="24"/>
          <w:szCs w:val="24"/>
        </w:rPr>
        <w:t>严禁乱丢乱弃，对环境影响较小。</w:t>
      </w:r>
    </w:p>
    <w:p>
      <w:pPr>
        <w:adjustRightInd w:val="0"/>
        <w:snapToGrid w:val="0"/>
        <w:spacing w:line="360" w:lineRule="auto"/>
        <w:ind w:firstLine="480" w:firstLineChars="200"/>
        <w:rPr>
          <w:rFonts w:hint="eastAsia" w:ascii="Times New Roman" w:hAnsi="Times New Roman" w:cs="Times New Roman" w:eastAsiaTheme="minorEastAsia"/>
          <w:caps w:val="0"/>
          <w:smallCaps w:val="0"/>
          <w:sz w:val="24"/>
          <w:szCs w:val="24"/>
          <w:lang w:val="en-US" w:eastAsia="zh-CN"/>
        </w:rPr>
      </w:pP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lang w:val="en-US" w:eastAsia="zh-CN"/>
        </w:rPr>
        <w:t>4</w:t>
      </w: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lang w:val="en-US" w:eastAsia="zh-CN"/>
        </w:rPr>
        <w:t>废沥青</w:t>
      </w:r>
    </w:p>
    <w:p>
      <w:pPr>
        <w:adjustRightInd w:val="0"/>
        <w:snapToGrid w:val="0"/>
        <w:spacing w:line="360" w:lineRule="auto"/>
        <w:ind w:firstLine="480" w:firstLineChars="200"/>
        <w:rPr>
          <w:rFonts w:hint="default" w:ascii="Times New Roman" w:hAnsi="Times New Roman" w:cs="Times New Roman" w:eastAsiaTheme="minorEastAsia"/>
          <w:caps w:val="0"/>
          <w:smallCaps w:val="0"/>
          <w:color w:val="000000"/>
          <w:sz w:val="24"/>
          <w:szCs w:val="24"/>
          <w:lang w:val="en-US" w:eastAsia="zh-CN"/>
        </w:rPr>
      </w:pPr>
      <w:r>
        <w:rPr>
          <w:rFonts w:hint="eastAsia" w:ascii="Times New Roman" w:hAnsi="Times New Roman" w:cs="Times New Roman" w:eastAsiaTheme="minorEastAsia"/>
          <w:caps w:val="0"/>
          <w:smallCaps w:val="0"/>
          <w:color w:val="000000"/>
          <w:sz w:val="24"/>
          <w:szCs w:val="24"/>
          <w:lang w:val="en-US" w:eastAsia="zh-CN"/>
        </w:rPr>
        <w:t>装卸沥青接管时，可能有少量沥青泄漏，泄漏的沥青由趸船的沥青收集池收集，送回库区熔化后回收利用。</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color w:val="000000"/>
          <w:sz w:val="24"/>
          <w:szCs w:val="24"/>
        </w:rPr>
        <w:t>综上所述，本项目产生</w:t>
      </w:r>
      <w:r>
        <w:rPr>
          <w:rFonts w:ascii="Times New Roman" w:hAnsi="Times New Roman" w:cs="Times New Roman" w:eastAsiaTheme="minorEastAsia"/>
          <w:caps w:val="0"/>
          <w:smallCaps w:val="0"/>
          <w:sz w:val="24"/>
          <w:szCs w:val="24"/>
        </w:rPr>
        <w:t>的固体废物均可通过合理途径进行处理处置，对环境影响较小。</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2、固体废物贮运环节的环境影响分析</w:t>
      </w:r>
    </w:p>
    <w:p>
      <w:pPr>
        <w:autoSpaceDE w:val="0"/>
        <w:autoSpaceDN w:val="0"/>
        <w:spacing w:line="360" w:lineRule="auto"/>
        <w:ind w:firstLine="480" w:firstLineChars="200"/>
        <w:rPr>
          <w:rFonts w:hint="eastAsia" w:ascii="Times New Roman" w:hAnsi="Times New Roman" w:cs="Times New Roman"/>
          <w:caps w:val="0"/>
          <w:smallCaps w:val="0"/>
          <w:sz w:val="24"/>
        </w:rPr>
      </w:pPr>
      <w:r>
        <w:rPr>
          <w:rFonts w:hint="eastAsia" w:ascii="Times New Roman" w:hAnsi="Times New Roman" w:cs="Times New Roman"/>
          <w:caps w:val="0"/>
          <w:smallCaps w:val="0"/>
          <w:sz w:val="24"/>
        </w:rPr>
        <w:t>本项目产生的危险危废主要为废矿物油，如不进行合理处置，排入环境中，会对环境产生长期的、难以消除的影响，导致地表水水质受到破坏，地表水中水生生物生长受到毒素和抑制，栖息环境恶劣，生物种群改变和减少。</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本项目</w:t>
      </w:r>
      <w:r>
        <w:rPr>
          <w:rFonts w:hint="eastAsia" w:ascii="Times New Roman" w:hAnsi="Times New Roman" w:cs="Times New Roman"/>
          <w:caps w:val="0"/>
          <w:smallCaps w:val="0"/>
          <w:sz w:val="24"/>
        </w:rPr>
        <w:t>后方</w:t>
      </w:r>
      <w:r>
        <w:rPr>
          <w:rFonts w:ascii="Times New Roman" w:hAnsi="Times New Roman" w:cs="Times New Roman"/>
          <w:caps w:val="0"/>
          <w:smallCaps w:val="0"/>
          <w:sz w:val="24"/>
        </w:rPr>
        <w:t>厂区设有专门危废暂存间，设专用油桶分别收集暂存，由有资质单位每月接收1次，危废暂存间能满足危废暂存要求。</w:t>
      </w:r>
    </w:p>
    <w:p>
      <w:pPr>
        <w:autoSpaceDE w:val="0"/>
        <w:autoSpaceDN w:val="0"/>
        <w:spacing w:line="360" w:lineRule="auto"/>
        <w:ind w:firstLine="480" w:firstLineChars="200"/>
        <w:rPr>
          <w:rFonts w:ascii="Times New Roman" w:hAnsi="Times New Roman" w:cs="Times New Roman"/>
          <w:caps w:val="0"/>
          <w:smallCaps w:val="0"/>
          <w:sz w:val="24"/>
        </w:rPr>
      </w:pPr>
      <w:r>
        <w:rPr>
          <w:rFonts w:hint="eastAsia" w:ascii="Times New Roman" w:hAnsi="Times New Roman" w:cs="Times New Roman"/>
          <w:caps w:val="0"/>
          <w:smallCaps w:val="0"/>
          <w:sz w:val="24"/>
        </w:rPr>
        <w:t>固体废物的日常管理要求</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a.</w:t>
      </w:r>
      <w:r>
        <w:rPr>
          <w:rFonts w:hint="eastAsia" w:ascii="Times New Roman" w:hAnsi="Times New Roman" w:cs="Times New Roman"/>
          <w:caps w:val="0"/>
          <w:smallCaps w:val="0"/>
          <w:sz w:val="24"/>
        </w:rPr>
        <w:t>须做好危险废物情况的纪录，记录上须注明危险废物的名称、来源、数量、特性和包装容器的类别、入库日期、堆放库位、废物出库日期及接收单位名称，并对各类固废分类堆存。</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b.</w:t>
      </w:r>
      <w:r>
        <w:rPr>
          <w:rFonts w:hint="eastAsia" w:ascii="Times New Roman" w:hAnsi="Times New Roman" w:cs="Times New Roman"/>
          <w:caps w:val="0"/>
          <w:smallCaps w:val="0"/>
          <w:sz w:val="24"/>
        </w:rPr>
        <w:t>加强固废在厂内和厂外的转运管理，严格废渣转运通道，尽量减少固废撒落，对撒落的固废进行及时清扫，避免二次污染。</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c.</w:t>
      </w:r>
      <w:r>
        <w:rPr>
          <w:rFonts w:hint="eastAsia" w:ascii="Times New Roman" w:hAnsi="Times New Roman" w:cs="Times New Roman"/>
          <w:caps w:val="0"/>
          <w:smallCaps w:val="0"/>
          <w:sz w:val="24"/>
        </w:rPr>
        <w:t>定期对库进行检查，发现破损，应及时进行修理。</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d.</w:t>
      </w:r>
      <w:r>
        <w:rPr>
          <w:rFonts w:hint="eastAsia" w:ascii="Times New Roman" w:hAnsi="Times New Roman" w:cs="Times New Roman"/>
          <w:caps w:val="0"/>
          <w:smallCaps w:val="0"/>
          <w:sz w:val="24"/>
        </w:rPr>
        <w:t>收集、贮存、运输、利用、处置危险废物的设施、场所，危险废物的容器和包装物必须按《危险废物贮存污染控制标准》（</w:t>
      </w:r>
      <w:r>
        <w:rPr>
          <w:rFonts w:ascii="Times New Roman" w:hAnsi="Times New Roman" w:cs="Times New Roman"/>
          <w:caps w:val="0"/>
          <w:smallCaps w:val="0"/>
          <w:sz w:val="24"/>
        </w:rPr>
        <w:t>GB18597-2001</w:t>
      </w:r>
      <w:r>
        <w:rPr>
          <w:rFonts w:hint="eastAsia" w:ascii="Times New Roman" w:hAnsi="Times New Roman" w:cs="Times New Roman"/>
          <w:caps w:val="0"/>
          <w:smallCaps w:val="0"/>
          <w:sz w:val="24"/>
        </w:rPr>
        <w:t>）附录</w:t>
      </w:r>
      <w:r>
        <w:rPr>
          <w:rFonts w:ascii="Times New Roman" w:hAnsi="Times New Roman" w:cs="Times New Roman"/>
          <w:caps w:val="0"/>
          <w:smallCaps w:val="0"/>
          <w:sz w:val="24"/>
        </w:rPr>
        <w:t>A</w:t>
      </w:r>
      <w:r>
        <w:rPr>
          <w:rFonts w:hint="eastAsia" w:ascii="Times New Roman" w:hAnsi="Times New Roman" w:cs="Times New Roman"/>
          <w:caps w:val="0"/>
          <w:smallCaps w:val="0"/>
          <w:sz w:val="24"/>
        </w:rPr>
        <w:t>和《环境保护图形标志</w:t>
      </w:r>
      <w:r>
        <w:rPr>
          <w:rFonts w:ascii="Times New Roman" w:hAnsi="Times New Roman" w:cs="Times New Roman"/>
          <w:caps w:val="0"/>
          <w:smallCaps w:val="0"/>
          <w:sz w:val="24"/>
        </w:rPr>
        <w:t>-</w:t>
      </w:r>
      <w:r>
        <w:rPr>
          <w:rFonts w:hint="eastAsia" w:ascii="Times New Roman" w:hAnsi="Times New Roman" w:cs="Times New Roman"/>
          <w:caps w:val="0"/>
          <w:smallCaps w:val="0"/>
          <w:sz w:val="24"/>
        </w:rPr>
        <w:t>固体废物贮存（处置）场》（</w:t>
      </w:r>
      <w:r>
        <w:rPr>
          <w:rFonts w:ascii="Times New Roman" w:hAnsi="Times New Roman" w:cs="Times New Roman"/>
          <w:caps w:val="0"/>
          <w:smallCaps w:val="0"/>
          <w:sz w:val="24"/>
        </w:rPr>
        <w:t>GB15562.2-1995</w:t>
      </w:r>
      <w:r>
        <w:rPr>
          <w:rFonts w:hint="eastAsia" w:ascii="Times New Roman" w:hAnsi="Times New Roman" w:cs="Times New Roman"/>
          <w:caps w:val="0"/>
          <w:smallCaps w:val="0"/>
          <w:sz w:val="24"/>
        </w:rPr>
        <w:t>所示标签设置危险废物识别标志。</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e.</w:t>
      </w:r>
      <w:r>
        <w:rPr>
          <w:rFonts w:hint="eastAsia" w:ascii="Times New Roman" w:hAnsi="Times New Roman" w:cs="Times New Roman"/>
          <w:caps w:val="0"/>
          <w:smallCaps w:val="0"/>
          <w:sz w:val="24"/>
        </w:rPr>
        <w:t>按照危险废物特性分类进行收集、贮存，危险废物包装容器上标识明确；危险废物按种类分别存放，且不同类废物间有明显的间隔（如过道等）。</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f.</w:t>
      </w:r>
      <w:r>
        <w:rPr>
          <w:rFonts w:hint="eastAsia" w:ascii="Times New Roman" w:hAnsi="Times New Roman" w:cs="Times New Roman"/>
          <w:caps w:val="0"/>
          <w:smallCaps w:val="0"/>
          <w:sz w:val="24"/>
        </w:rPr>
        <w:t>危险废物库内清理出来的泄漏物，一律按危险废物处理。</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g.</w:t>
      </w:r>
      <w:r>
        <w:rPr>
          <w:rFonts w:hint="eastAsia" w:ascii="Times New Roman" w:hAnsi="Times New Roman" w:cs="Times New Roman"/>
          <w:caps w:val="0"/>
          <w:smallCaps w:val="0"/>
          <w:sz w:val="24"/>
        </w:rPr>
        <w:t>加强对危险固废的日常管理，并按国家有关危险废物管理办法，办理好危险废物的贮存、转移手续。</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h.</w:t>
      </w:r>
      <w:r>
        <w:rPr>
          <w:rFonts w:hint="eastAsia" w:ascii="Times New Roman" w:hAnsi="Times New Roman" w:cs="Times New Roman"/>
          <w:caps w:val="0"/>
          <w:smallCaps w:val="0"/>
          <w:sz w:val="24"/>
        </w:rPr>
        <w:t>在转移危险废物前，向环保部门报批危险废物转移计划，并得到批准。</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j.</w:t>
      </w:r>
      <w:r>
        <w:rPr>
          <w:rFonts w:hint="eastAsia" w:ascii="Times New Roman" w:hAnsi="Times New Roman" w:cs="Times New Roman"/>
          <w:caps w:val="0"/>
          <w:smallCaps w:val="0"/>
          <w:sz w:val="24"/>
        </w:rPr>
        <w:t>转移危险废物的，按照《危险废物转移联单管理办法》有关规定，如实填写转移联单中产生单位栏目，并加盖公章。</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k.</w:t>
      </w:r>
      <w:r>
        <w:rPr>
          <w:rFonts w:hint="eastAsia" w:ascii="Times New Roman" w:hAnsi="Times New Roman" w:cs="Times New Roman"/>
          <w:caps w:val="0"/>
          <w:smallCaps w:val="0"/>
          <w:sz w:val="24"/>
        </w:rPr>
        <w:t>建立危险废物贮存台账，并如实记录危险废物贮存情况。</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l.</w:t>
      </w:r>
      <w:r>
        <w:rPr>
          <w:rFonts w:hint="eastAsia" w:ascii="Times New Roman" w:hAnsi="Times New Roman" w:cs="Times New Roman"/>
          <w:caps w:val="0"/>
          <w:smallCaps w:val="0"/>
          <w:sz w:val="24"/>
        </w:rPr>
        <w:t>有与危险废物经营单位签订的委托利用、处置危险废物合同。</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m.</w:t>
      </w:r>
      <w:r>
        <w:rPr>
          <w:rFonts w:hint="eastAsia" w:ascii="Times New Roman" w:hAnsi="Times New Roman" w:cs="Times New Roman"/>
          <w:caps w:val="0"/>
          <w:smallCaps w:val="0"/>
          <w:sz w:val="24"/>
        </w:rPr>
        <w:t>贮存期限不超过一年；延长贮存期限的，报经环保部门批准。</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n.</w:t>
      </w:r>
      <w:r>
        <w:rPr>
          <w:rFonts w:hint="eastAsia" w:ascii="Times New Roman" w:hAnsi="Times New Roman" w:cs="Times New Roman"/>
          <w:caps w:val="0"/>
          <w:smallCaps w:val="0"/>
          <w:sz w:val="24"/>
        </w:rPr>
        <w:t>相关管理员工和从事危险废物收集、运送、暂存、利用和处置等工作员工掌握国家相关法律法规、规章和有关规范性文件的规定；熟悉本单位指定的危险废物管理规章制度、工作流程和应急预案等各项要求；掌握危险废物分类收集、运送、暂存的正确方法和操作程序。</w:t>
      </w:r>
    </w:p>
    <w:p>
      <w:pPr>
        <w:autoSpaceDE w:val="0"/>
        <w:autoSpaceDN w:val="0"/>
        <w:spacing w:line="360" w:lineRule="auto"/>
        <w:ind w:firstLine="480" w:firstLineChars="200"/>
        <w:rPr>
          <w:rFonts w:ascii="Times New Roman" w:hAnsi="Times New Roman" w:cs="Times New Roman"/>
          <w:caps w:val="0"/>
          <w:smallCaps w:val="0"/>
          <w:sz w:val="24"/>
        </w:rPr>
      </w:pPr>
      <w:r>
        <w:rPr>
          <w:rFonts w:hint="eastAsia" w:ascii="Times New Roman" w:hAnsi="Times New Roman" w:cs="Times New Roman"/>
          <w:caps w:val="0"/>
          <w:smallCaps w:val="0"/>
          <w:sz w:val="24"/>
        </w:rPr>
        <w:t>运输要求：</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a.</w:t>
      </w:r>
      <w:r>
        <w:rPr>
          <w:rFonts w:hint="eastAsia" w:ascii="Times New Roman" w:hAnsi="Times New Roman" w:cs="Times New Roman"/>
          <w:caps w:val="0"/>
          <w:smallCaps w:val="0"/>
          <w:sz w:val="24"/>
        </w:rPr>
        <w:t>本项目危废陆域运输可通过专用汽车运输。</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b.</w:t>
      </w:r>
      <w:r>
        <w:rPr>
          <w:rFonts w:hint="eastAsia" w:ascii="Times New Roman" w:hAnsi="Times New Roman" w:cs="Times New Roman"/>
          <w:caps w:val="0"/>
          <w:smallCaps w:val="0"/>
          <w:sz w:val="24"/>
        </w:rPr>
        <w:t>运输车辆必须要有塑料内衬和帆布盖顶，运输过程中要防渗漏、防扬撒，不得超载；并配备发生事故的应急工具、药剂或其他辅助材料，以便于消除或减轻对环境的污染危害。</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c.</w:t>
      </w:r>
      <w:r>
        <w:rPr>
          <w:rFonts w:hint="eastAsia" w:ascii="Times New Roman" w:hAnsi="Times New Roman" w:cs="Times New Roman"/>
          <w:caps w:val="0"/>
          <w:smallCaps w:val="0"/>
          <w:sz w:val="24"/>
        </w:rPr>
        <w:t>不得与其他固废混装运输，运输工具未经消除污染不能装载其他物品。</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d.</w:t>
      </w:r>
      <w:r>
        <w:rPr>
          <w:rFonts w:hint="eastAsia" w:ascii="Times New Roman" w:hAnsi="Times New Roman" w:cs="Times New Roman"/>
          <w:caps w:val="0"/>
          <w:smallCaps w:val="0"/>
          <w:sz w:val="24"/>
        </w:rPr>
        <w:t>运输车辆应设置明显的标志并经常维护保养，保证车况良好和行车安全。</w:t>
      </w:r>
    </w:p>
    <w:p>
      <w:pPr>
        <w:autoSpaceDE w:val="0"/>
        <w:autoSpaceDN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e.</w:t>
      </w:r>
      <w:r>
        <w:rPr>
          <w:rFonts w:hint="eastAsia" w:ascii="Times New Roman" w:hAnsi="Times New Roman" w:cs="Times New Roman"/>
          <w:caps w:val="0"/>
          <w:smallCaps w:val="0"/>
          <w:sz w:val="24"/>
        </w:rPr>
        <w:t>从事运输员工，应接受专门安全培训后方可上岗。</w:t>
      </w:r>
    </w:p>
    <w:p>
      <w:pPr>
        <w:autoSpaceDE w:val="0"/>
        <w:autoSpaceDN w:val="0"/>
        <w:spacing w:line="360" w:lineRule="auto"/>
        <w:ind w:firstLine="480" w:firstLineChars="200"/>
        <w:rPr>
          <w:rFonts w:hint="eastAsia" w:ascii="Times New Roman" w:hAnsi="Times New Roman" w:cs="Times New Roman"/>
          <w:caps w:val="0"/>
          <w:smallCaps w:val="0"/>
          <w:sz w:val="24"/>
        </w:rPr>
      </w:pPr>
      <w:r>
        <w:rPr>
          <w:rFonts w:hint="eastAsia" w:ascii="Times New Roman" w:hAnsi="Times New Roman" w:cs="Times New Roman"/>
          <w:caps w:val="0"/>
          <w:smallCaps w:val="0"/>
          <w:sz w:val="24"/>
        </w:rPr>
        <w:t>采取上述措施后，本项目固废不会对周围环境造成不良影响。</w:t>
      </w:r>
    </w:p>
    <w:p>
      <w:pPr>
        <w:autoSpaceDE w:val="0"/>
        <w:autoSpaceDN w:val="0"/>
        <w:spacing w:line="360" w:lineRule="auto"/>
        <w:ind w:firstLine="480" w:firstLineChars="200"/>
        <w:rPr>
          <w:rFonts w:hint="eastAsia" w:ascii="Times New Roman" w:hAnsi="Times New Roman" w:cs="Times New Roman"/>
          <w:caps w:val="0"/>
          <w:smallCaps w:val="0"/>
          <w:sz w:val="24"/>
        </w:rPr>
      </w:pPr>
      <w:r>
        <w:rPr>
          <w:rFonts w:hint="eastAsia" w:ascii="Times New Roman" w:hAnsi="Times New Roman" w:cs="Times New Roman"/>
          <w:caps w:val="0"/>
          <w:smallCaps w:val="0"/>
          <w:sz w:val="24"/>
        </w:rPr>
        <w:t>码头生活垃圾通过垃圾筒收集后，交由环卫部门定期清运，环卫部门采用封闭式垃圾清运车清运。因此，本项目生活垃圾运输过程对环境影响较小。</w:t>
      </w:r>
    </w:p>
    <w:p>
      <w:pPr>
        <w:autoSpaceDE w:val="0"/>
        <w:autoSpaceDN w:val="0"/>
        <w:spacing w:line="360" w:lineRule="auto"/>
        <w:ind w:firstLine="480" w:firstLineChars="200"/>
        <w:rPr>
          <w:rFonts w:hint="eastAsia" w:ascii="Times New Roman" w:hAnsi="Times New Roman" w:cs="Times New Roman"/>
          <w:caps w:val="0"/>
          <w:smallCaps w:val="0"/>
          <w:sz w:val="24"/>
        </w:rPr>
      </w:pPr>
      <w:r>
        <w:rPr>
          <w:rFonts w:hint="eastAsia" w:ascii="Times New Roman" w:hAnsi="Times New Roman" w:cs="Times New Roman"/>
          <w:caps w:val="0"/>
          <w:smallCaps w:val="0"/>
          <w:sz w:val="24"/>
        </w:rPr>
        <w:t>综上所述，本项目固体废物贮运环节对环境的影响较小。</w:t>
      </w:r>
    </w:p>
    <w:p>
      <w:pPr>
        <w:pStyle w:val="5"/>
        <w:rPr>
          <w:rFonts w:ascii="Times New Roman" w:hAnsi="Times New Roman" w:cs="Times New Roman" w:eastAsiaTheme="minorEastAsia"/>
          <w:b/>
          <w:caps w:val="0"/>
          <w:smallCaps w:val="0"/>
          <w:color w:val="000000" w:themeColor="text1"/>
          <w14:textFill>
            <w14:solidFill>
              <w14:schemeClr w14:val="tx1"/>
            </w14:solidFill>
          </w14:textFill>
        </w:rPr>
      </w:pPr>
      <w:bookmarkStart w:id="109" w:name="_Toc30642"/>
      <w:r>
        <w:rPr>
          <w:rFonts w:hint="eastAsia" w:ascii="Times New Roman" w:hAnsi="Times New Roman" w:cs="Times New Roman" w:eastAsiaTheme="minorEastAsia"/>
          <w:b/>
          <w:caps w:val="0"/>
          <w:smallCaps w:val="0"/>
          <w:color w:val="000000" w:themeColor="text1"/>
          <w14:textFill>
            <w14:solidFill>
              <w14:schemeClr w14:val="tx1"/>
            </w14:solidFill>
          </w14:textFill>
        </w:rPr>
        <w:t>土壤环境影响评价</w:t>
      </w:r>
      <w:bookmarkEnd w:id="109"/>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评价等级判定</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本项目工程内容包括码头和管线两部分，根据《环境影响评价技术导则土壤环境》（HJ964-2018）第6.2.5条规定：线性工程重点针对主要站场位置（如输油站、泵站、阀室、加油站、维修场所等）6.2.2分段判断评价等级，并按相应等级分别开展评价工作。本项目在码头区域设置阀室平台4个，因此本次评价按码头区域的占地情况来确定土壤评价等级。</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根据导则，建设项目土壤环境影响评价工作等级的划分应依据建设项目行业分类和土壤环境敏感程度分级进行判定：</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⑴</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建设项目行业分类：对照《环境影响评价技术导则土壤环境》（HJ964-2018）附录A，拟建工程属于“交通运输仓储邮政类”中“石油及成品油的输送管线”类，按土壤环境影响评价项目类别划分为</w:t>
      </w:r>
      <w:r>
        <w:rPr>
          <w:rFonts w:hint="eastAsia" w:ascii="Times New Roman" w:hAnsi="Times New Roman" w:cs="Times New Roman"/>
          <w:caps w:val="0"/>
          <w:smallCaps w:val="0"/>
          <w:color w:val="000000" w:themeColor="text1"/>
          <w:sz w:val="24"/>
          <w:szCs w:val="24"/>
          <w:lang w:eastAsia="ja-JP"/>
          <w14:textFill>
            <w14:solidFill>
              <w14:schemeClr w14:val="tx1"/>
            </w14:solidFill>
          </w14:textFill>
        </w:rPr>
        <w:t>Ⅱ</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类。</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⑵</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土壤环境敏感程度分级：</w:t>
      </w:r>
      <w:r>
        <w:rPr>
          <w:rFonts w:ascii="Times New Roman" w:hAnsi="Times New Roman" w:cs="Times New Roman" w:eastAsiaTheme="minorEastAsia"/>
          <w:caps w:val="0"/>
          <w:smallCaps w:val="0"/>
          <w:color w:val="000000"/>
          <w:sz w:val="24"/>
          <w:szCs w:val="24"/>
        </w:rPr>
        <w:t>码头及</w:t>
      </w:r>
      <w:r>
        <w:rPr>
          <w:rFonts w:hint="eastAsia" w:ascii="Times New Roman" w:hAnsi="Times New Roman" w:cs="Times New Roman" w:eastAsiaTheme="minorEastAsia"/>
          <w:caps w:val="0"/>
          <w:smallCaps w:val="0"/>
          <w:color w:val="000000"/>
          <w:sz w:val="24"/>
          <w:szCs w:val="24"/>
        </w:rPr>
        <w:t>引桥均</w:t>
      </w:r>
      <w:r>
        <w:rPr>
          <w:rFonts w:ascii="Times New Roman" w:hAnsi="Times New Roman" w:cs="Times New Roman" w:eastAsiaTheme="minorEastAsia"/>
          <w:caps w:val="0"/>
          <w:smallCaps w:val="0"/>
          <w:color w:val="000000"/>
          <w:sz w:val="24"/>
          <w:szCs w:val="24"/>
        </w:rPr>
        <w:t>于大堤外，工程周边200m范围</w:t>
      </w:r>
      <w:r>
        <w:rPr>
          <w:rFonts w:hint="eastAsia" w:ascii="Times New Roman" w:hAnsi="Times New Roman" w:cs="Times New Roman" w:eastAsiaTheme="minorEastAsia"/>
          <w:caps w:val="0"/>
          <w:smallCaps w:val="0"/>
          <w:color w:val="000000"/>
          <w:sz w:val="24"/>
          <w:szCs w:val="24"/>
        </w:rPr>
        <w:t>不</w:t>
      </w:r>
      <w:r>
        <w:rPr>
          <w:rFonts w:ascii="Times New Roman" w:hAnsi="Times New Roman" w:cs="Times New Roman" w:eastAsiaTheme="minorEastAsia"/>
          <w:caps w:val="0"/>
          <w:smallCaps w:val="0"/>
          <w:color w:val="000000"/>
          <w:sz w:val="24"/>
          <w:szCs w:val="24"/>
        </w:rPr>
        <w:t>存在</w:t>
      </w:r>
      <w:r>
        <w:rPr>
          <w:rFonts w:hint="eastAsia" w:ascii="Times New Roman" w:hAnsi="Times New Roman" w:cs="Times New Roman" w:eastAsiaTheme="minorEastAsia"/>
          <w:caps w:val="0"/>
          <w:smallCaps w:val="0"/>
          <w:color w:val="000000"/>
          <w:sz w:val="24"/>
          <w:szCs w:val="24"/>
        </w:rPr>
        <w:t>耕地、园地、牧草地、饮用水源地或居民区、学校、医院、疗养院、养老院等</w:t>
      </w:r>
      <w:r>
        <w:rPr>
          <w:rFonts w:ascii="Times New Roman" w:hAnsi="Times New Roman" w:cs="Times New Roman" w:eastAsiaTheme="minorEastAsia"/>
          <w:caps w:val="0"/>
          <w:smallCaps w:val="0"/>
          <w:color w:val="000000"/>
          <w:sz w:val="24"/>
          <w:szCs w:val="24"/>
        </w:rPr>
        <w:t>土壤敏感目标。</w:t>
      </w:r>
      <w:r>
        <w:rPr>
          <w:rFonts w:hint="eastAsia" w:ascii="Times New Roman" w:hAnsi="Times New Roman" w:cs="Times New Roman" w:eastAsiaTheme="minorEastAsia"/>
          <w:caps w:val="0"/>
          <w:smallCaps w:val="0"/>
          <w:color w:val="000000"/>
          <w:sz w:val="24"/>
          <w:szCs w:val="24"/>
        </w:rPr>
        <w:t>但项目位于市级江豚自然保护区，建设项目周边存在其他土壤环境敏感目标，</w:t>
      </w:r>
      <w:r>
        <w:rPr>
          <w:rFonts w:ascii="Times New Roman" w:hAnsi="Times New Roman" w:cs="Times New Roman" w:eastAsiaTheme="minorEastAsia"/>
          <w:caps w:val="0"/>
          <w:smallCaps w:val="0"/>
          <w:color w:val="000000"/>
          <w:sz w:val="24"/>
          <w:szCs w:val="24"/>
        </w:rPr>
        <w:t>因此，土壤敏感程度为</w:t>
      </w:r>
      <w:r>
        <w:rPr>
          <w:rFonts w:hint="eastAsia" w:ascii="Times New Roman" w:hAnsi="Times New Roman" w:cs="Times New Roman" w:eastAsiaTheme="minorEastAsia"/>
          <w:caps w:val="0"/>
          <w:smallCaps w:val="0"/>
          <w:color w:val="000000"/>
          <w:sz w:val="24"/>
          <w:szCs w:val="24"/>
        </w:rPr>
        <w:t>较</w:t>
      </w:r>
      <w:r>
        <w:rPr>
          <w:rFonts w:ascii="Times New Roman" w:hAnsi="Times New Roman" w:cs="Times New Roman" w:eastAsiaTheme="minorEastAsia"/>
          <w:caps w:val="0"/>
          <w:smallCaps w:val="0"/>
          <w:color w:val="000000"/>
          <w:sz w:val="24"/>
          <w:szCs w:val="24"/>
        </w:rPr>
        <w:t>敏感</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⑶</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建设项目占地规模分级：码头及</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引桥</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占地规模小于5hm</w:t>
      </w:r>
      <w:r>
        <w:rPr>
          <w:rFonts w:ascii="Times New Roman" w:hAnsi="Times New Roman" w:cs="Times New Roman" w:eastAsiaTheme="minorEastAsia"/>
          <w:caps w:val="0"/>
          <w:smallCaps w:val="0"/>
          <w:color w:val="000000" w:themeColor="text1"/>
          <w:sz w:val="24"/>
          <w:szCs w:val="24"/>
          <w:vertAlign w:val="superscript"/>
          <w14:textFill>
            <w14:solidFill>
              <w14:schemeClr w14:val="tx1"/>
            </w14:solidFill>
          </w14:textFill>
        </w:rPr>
        <w:t>2</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，占地规模为小型。</w:t>
      </w:r>
    </w:p>
    <w:p>
      <w:pPr>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经以上分析，根据《环境影响评价技术导则土壤环境》（HJ964-2018）中相关规定，本项目为污染影响型的</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三</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级土壤评价</w:t>
      </w:r>
      <w:r>
        <w:rPr>
          <w:rFonts w:hint="eastAsia" w:ascii="Times New Roman" w:hAnsi="Times New Roman" w:cs="Times New Roman"/>
          <w:caps w:val="0"/>
          <w:smallCaps w:val="0"/>
          <w:color w:val="000000" w:themeColor="text1"/>
          <w:sz w:val="24"/>
          <w:szCs w:val="32"/>
          <w14:textFill>
            <w14:solidFill>
              <w14:schemeClr w14:val="tx1"/>
            </w14:solidFill>
          </w14:textFill>
        </w:rPr>
        <w:t>。</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影响识别</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本项目</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码头区域</w:t>
      </w:r>
      <w:r>
        <w:rPr>
          <w:rFonts w:hint="eastAsia" w:ascii="Times New Roman" w:hAnsi="Times New Roman" w:cs="Times New Roman"/>
          <w:caps w:val="0"/>
          <w:smallCaps w:val="0"/>
          <w:color w:val="000000" w:themeColor="text1"/>
          <w:sz w:val="24"/>
          <w:szCs w:val="32"/>
          <w14:textFill>
            <w14:solidFill>
              <w14:schemeClr w14:val="tx1"/>
            </w14:solidFill>
          </w14:textFill>
        </w:rPr>
        <w:t>地面硬化，货物管道运输，不涉及地面径流和垂直入渗，对土壤环境的影响主要是挥发性有机物的大气沉降影响。项目土壤环境影响类型与影响途径、土壤环境影响源及影响因子识别如下：</w:t>
      </w:r>
    </w:p>
    <w:p>
      <w:pPr>
        <w:adjustRightInd w:val="0"/>
        <w:snapToGrid w:val="0"/>
        <w:spacing w:line="276"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表6.6-1建设项目土壤环境影响类型与影响途径表</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668"/>
        <w:gridCol w:w="1668"/>
        <w:gridCol w:w="1668"/>
        <w:gridCol w:w="1669"/>
        <w:gridCol w:w="166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00" w:type="pct"/>
            <w:vMerge w:val="restar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不同时段</w:t>
            </w:r>
          </w:p>
        </w:tc>
        <w:tc>
          <w:tcPr>
            <w:tcW w:w="4000" w:type="pct"/>
            <w:gridSpan w:val="4"/>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污染影响型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00"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大气沉降</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地面漫流</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垂直入渗</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其他</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建设期</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运营期</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服务期满后</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c>
          <w:tcPr>
            <w:tcW w:w="100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w:t>
            </w:r>
          </w:p>
        </w:tc>
      </w:tr>
    </w:tbl>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p>
    <w:tbl>
      <w:tblPr>
        <w:tblStyle w:val="71"/>
        <w:tblpPr w:leftFromText="180" w:rightFromText="180" w:vertAnchor="text" w:horzAnchor="page" w:tblpX="1866" w:tblpY="669"/>
        <w:tblOverlap w:val="never"/>
        <w:tblW w:w="503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817"/>
        <w:gridCol w:w="1669"/>
        <w:gridCol w:w="1057"/>
        <w:gridCol w:w="1614"/>
        <w:gridCol w:w="1153"/>
        <w:gridCol w:w="209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86"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污染源</w:t>
            </w:r>
          </w:p>
        </w:tc>
        <w:tc>
          <w:tcPr>
            <w:tcW w:w="993"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工艺流程/节点</w:t>
            </w:r>
          </w:p>
        </w:tc>
        <w:tc>
          <w:tcPr>
            <w:tcW w:w="629"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污染途径</w:t>
            </w:r>
          </w:p>
        </w:tc>
        <w:tc>
          <w:tcPr>
            <w:tcW w:w="96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全部污染物指标</w:t>
            </w:r>
          </w:p>
        </w:tc>
        <w:tc>
          <w:tcPr>
            <w:tcW w:w="686"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特征因子</w:t>
            </w:r>
          </w:p>
        </w:tc>
        <w:tc>
          <w:tcPr>
            <w:tcW w:w="1244"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486"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码头</w:t>
            </w:r>
          </w:p>
        </w:tc>
        <w:tc>
          <w:tcPr>
            <w:tcW w:w="993"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货物装卸</w:t>
            </w:r>
          </w:p>
        </w:tc>
        <w:tc>
          <w:tcPr>
            <w:tcW w:w="629"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大气沉降</w:t>
            </w:r>
          </w:p>
        </w:tc>
        <w:tc>
          <w:tcPr>
            <w:tcW w:w="96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挥发性有机物</w:t>
            </w:r>
          </w:p>
        </w:tc>
        <w:tc>
          <w:tcPr>
            <w:tcW w:w="686"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VOCs</w:t>
            </w:r>
          </w:p>
        </w:tc>
        <w:tc>
          <w:tcPr>
            <w:tcW w:w="1244" w:type="pct"/>
            <w:tcBorders>
              <w:tl2br w:val="nil"/>
              <w:tr2bl w:val="nil"/>
            </w:tcBorders>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val="en-US" w:eastAsia="zh-CN"/>
              </w:rPr>
              <w:t>-</w:t>
            </w:r>
          </w:p>
        </w:tc>
      </w:tr>
    </w:tbl>
    <w:p>
      <w:pPr>
        <w:adjustRightInd w:val="0"/>
        <w:snapToGrid w:val="0"/>
        <w:spacing w:line="276"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表6.6-2项目土壤环境影响源及影响因子识别表</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预测分析</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⑴预测范围</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土壤环境影响预测范围与现状调查评价范围一致，厂区范围内及周边0.2km范围。</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⑵预测时段</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预测时段设定为码头有机废气多年沉降后对区域土壤环境质量的影响：10年、20年、30年。</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⑶预测情景</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正常工况下，码头装卸排放大气污染物以大气沉降方式进入土壤产生的环境影响。</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⑷预测因子</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项目不涉及重金属，因此预测因子选取石油烃（以挥发性有机物计）。</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⑸预测模型</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本次评价采用《环境影响评价技术导则-土壤环境（试行）》（HJ964-2018）推荐的方法一进行计算。</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①单位质量土壤中某中物质的增量可用下式计算。</w:t>
      </w:r>
    </w:p>
    <w:p>
      <w:pPr>
        <w:adjustRightInd w:val="0"/>
        <w:snapToGrid w:val="0"/>
        <w:spacing w:line="360" w:lineRule="auto"/>
        <w:jc w:val="center"/>
        <w:rPr>
          <w:rFonts w:ascii="Times New Roman" w:hAnsi="Times New Roman" w:cs="Times New Roman"/>
          <w:caps w:val="0"/>
          <w:smallCaps w:val="0"/>
          <w:color w:val="000000" w:themeColor="text1"/>
          <w:sz w:val="24"/>
          <w:szCs w:val="32"/>
          <w14:textFill>
            <w14:solidFill>
              <w14:schemeClr w14:val="tx1"/>
            </w14:solidFill>
          </w14:textFill>
        </w:rPr>
      </w:pPr>
      <w:r>
        <w:rPr>
          <w:rFonts w:ascii="Times New Roman" w:hAnsi="Times New Roman" w:cs="Times New Roman"/>
          <w:caps w:val="0"/>
          <w:smallCaps w:val="0"/>
          <w:color w:val="000000" w:themeColor="text1"/>
          <w14:textFill>
            <w14:solidFill>
              <w14:schemeClr w14:val="tx1"/>
            </w14:solidFill>
          </w14:textFill>
        </w:rPr>
        <w:drawing>
          <wp:inline distT="0" distB="0" distL="114300" distR="114300">
            <wp:extent cx="2124075" cy="200025"/>
            <wp:effectExtent l="0" t="0" r="9525" b="7620"/>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174"/>
                    <a:stretch>
                      <a:fillRect/>
                    </a:stretch>
                  </pic:blipFill>
                  <pic:spPr>
                    <a:xfrm>
                      <a:off x="0" y="0"/>
                      <a:ext cx="2124075" cy="200025"/>
                    </a:xfrm>
                    <a:prstGeom prst="rect">
                      <a:avLst/>
                    </a:prstGeom>
                    <a:noFill/>
                    <a:ln>
                      <a:noFill/>
                    </a:ln>
                  </pic:spPr>
                </pic:pic>
              </a:graphicData>
            </a:graphic>
          </wp:inline>
        </w:drawing>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式中：</w:t>
      </w:r>
      <w:r>
        <w:rPr>
          <w:rFonts w:ascii="Times New Roman" w:hAnsi="Times New Roman" w:cs="Times New Roman"/>
          <w:caps w:val="0"/>
          <w:smallCaps w:val="0"/>
          <w:color w:val="000000" w:themeColor="text1"/>
          <w:position w:val="-6"/>
          <w:sz w:val="24"/>
          <w:szCs w:val="24"/>
          <w14:textFill>
            <w14:solidFill>
              <w14:schemeClr w14:val="tx1"/>
            </w14:solidFill>
          </w14:textFill>
        </w:rPr>
        <w:object>
          <v:shape id="_x0000_i1033" o:spt="75" type="#_x0000_t75" style="height:14.25pt;width:18.75pt;" o:ole="t" filled="f" o:preferrelative="t" stroked="f" coordsize="21600,21600">
            <v:path/>
            <v:fill on="f" focussize="0,0"/>
            <v:stroke on="f" joinstyle="miter"/>
            <v:imagedata r:id="rId176" o:title=""/>
            <o:lock v:ext="edit" aspectratio="t"/>
            <w10:wrap type="none"/>
            <w10:anchorlock/>
          </v:shape>
          <o:OLEObject Type="Embed" ProgID="Equation.3" ShapeID="_x0000_i1033" DrawAspect="Content" ObjectID="_1468075733" r:id="rId175">
            <o:LockedField>false</o:LockedField>
          </o:OLEObject>
        </w:object>
      </w:r>
      <w:r>
        <w:rPr>
          <w:rFonts w:ascii="Times New Roman" w:hAnsi="Times New Roman" w:cs="Times New Roman"/>
          <w:caps w:val="0"/>
          <w:smallCaps w:val="0"/>
          <w:color w:val="000000" w:themeColor="text1"/>
          <w:sz w:val="24"/>
          <w:szCs w:val="24"/>
          <w14:textFill>
            <w14:solidFill>
              <w14:schemeClr w14:val="tx1"/>
            </w14:solidFill>
          </w14:textFill>
        </w:rPr>
        <w:t>—单位质量表层土壤中某种物质的增量，g/kg；</w:t>
      </w:r>
    </w:p>
    <w:p>
      <w:pPr>
        <w:adjustRightInd w:val="0"/>
        <w:snapToGrid w:val="0"/>
        <w:spacing w:line="360" w:lineRule="auto"/>
        <w:ind w:firstLine="1200" w:firstLineChars="5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I</w:t>
      </w:r>
      <w:r>
        <w:rPr>
          <w:rFonts w:ascii="Times New Roman" w:hAnsi="Times New Roman" w:cs="Times New Roman"/>
          <w:caps w:val="0"/>
          <w:smallCaps w:val="0"/>
          <w:color w:val="000000" w:themeColor="text1"/>
          <w:sz w:val="24"/>
          <w:szCs w:val="24"/>
          <w:vertAlign w:val="subscript"/>
          <w14:textFill>
            <w14:solidFill>
              <w14:schemeClr w14:val="tx1"/>
            </w14:solidFill>
          </w14:textFill>
        </w:rPr>
        <w:t>s</w:t>
      </w:r>
      <w:r>
        <w:rPr>
          <w:rFonts w:ascii="Times New Roman" w:hAnsi="Times New Roman" w:cs="Times New Roman"/>
          <w:caps w:val="0"/>
          <w:smallCaps w:val="0"/>
          <w:color w:val="000000" w:themeColor="text1"/>
          <w:sz w:val="24"/>
          <w:szCs w:val="24"/>
          <w14:textFill>
            <w14:solidFill>
              <w14:schemeClr w14:val="tx1"/>
            </w14:solidFill>
          </w14:textFill>
        </w:rPr>
        <w:t>—预测评价范围内单位年份表层土壤中某种物质的输入量，g；</w:t>
      </w:r>
    </w:p>
    <w:p>
      <w:pPr>
        <w:adjustRightInd w:val="0"/>
        <w:snapToGrid w:val="0"/>
        <w:spacing w:line="360" w:lineRule="auto"/>
        <w:ind w:firstLine="1200" w:firstLineChars="5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L</w:t>
      </w:r>
      <w:r>
        <w:rPr>
          <w:rFonts w:ascii="Times New Roman" w:hAnsi="Times New Roman" w:cs="Times New Roman"/>
          <w:caps w:val="0"/>
          <w:smallCaps w:val="0"/>
          <w:color w:val="000000" w:themeColor="text1"/>
          <w:sz w:val="24"/>
          <w:szCs w:val="24"/>
          <w:vertAlign w:val="subscript"/>
          <w14:textFill>
            <w14:solidFill>
              <w14:schemeClr w14:val="tx1"/>
            </w14:solidFill>
          </w14:textFill>
        </w:rPr>
        <w:t>s</w:t>
      </w:r>
      <w:r>
        <w:rPr>
          <w:rFonts w:ascii="Times New Roman" w:hAnsi="Times New Roman" w:cs="Times New Roman"/>
          <w:caps w:val="0"/>
          <w:smallCaps w:val="0"/>
          <w:color w:val="000000" w:themeColor="text1"/>
          <w:sz w:val="24"/>
          <w:szCs w:val="24"/>
          <w14:textFill>
            <w14:solidFill>
              <w14:schemeClr w14:val="tx1"/>
            </w14:solidFill>
          </w14:textFill>
        </w:rPr>
        <w:t>—预测评价范围内单位年份表层土壤中某种物质经淋溶排出的量，g；</w:t>
      </w:r>
    </w:p>
    <w:p>
      <w:pPr>
        <w:adjustRightInd w:val="0"/>
        <w:snapToGrid w:val="0"/>
        <w:spacing w:line="360" w:lineRule="auto"/>
        <w:ind w:firstLine="1200" w:firstLineChars="5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R</w:t>
      </w:r>
      <w:r>
        <w:rPr>
          <w:rFonts w:ascii="Times New Roman" w:hAnsi="Times New Roman" w:cs="Times New Roman"/>
          <w:caps w:val="0"/>
          <w:smallCaps w:val="0"/>
          <w:color w:val="000000" w:themeColor="text1"/>
          <w:sz w:val="24"/>
          <w:szCs w:val="24"/>
          <w:vertAlign w:val="subscript"/>
          <w14:textFill>
            <w14:solidFill>
              <w14:schemeClr w14:val="tx1"/>
            </w14:solidFill>
          </w14:textFill>
        </w:rPr>
        <w:t>s</w:t>
      </w:r>
      <w:r>
        <w:rPr>
          <w:rFonts w:ascii="Times New Roman" w:hAnsi="Times New Roman" w:cs="Times New Roman"/>
          <w:caps w:val="0"/>
          <w:smallCaps w:val="0"/>
          <w:color w:val="000000" w:themeColor="text1"/>
          <w:sz w:val="24"/>
          <w:szCs w:val="24"/>
          <w14:textFill>
            <w14:solidFill>
              <w14:schemeClr w14:val="tx1"/>
            </w14:solidFill>
          </w14:textFill>
        </w:rPr>
        <w:t>—预测评价范围内单位年份表层土壤中某种物质经径流排出的量，g；</w:t>
      </w:r>
    </w:p>
    <w:p>
      <w:pPr>
        <w:adjustRightInd w:val="0"/>
        <w:snapToGrid w:val="0"/>
        <w:spacing w:line="360" w:lineRule="auto"/>
        <w:ind w:firstLine="1200" w:firstLineChars="5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position w:val="-12"/>
          <w:sz w:val="24"/>
          <w:szCs w:val="24"/>
          <w14:textFill>
            <w14:solidFill>
              <w14:schemeClr w14:val="tx1"/>
            </w14:solidFill>
          </w14:textFill>
        </w:rPr>
        <w:object>
          <v:shape id="_x0000_i1034" o:spt="75" type="#_x0000_t75" style="height:18.75pt;width:14.25pt;" o:ole="t" filled="f" o:preferrelative="t" stroked="f" coordsize="21600,21600">
            <v:path/>
            <v:fill on="f" focussize="0,0"/>
            <v:stroke on="f" joinstyle="miter"/>
            <v:imagedata r:id="rId178" o:title=""/>
            <o:lock v:ext="edit" aspectratio="t"/>
            <w10:wrap type="none"/>
            <w10:anchorlock/>
          </v:shape>
          <o:OLEObject Type="Embed" ProgID="Equation.3" ShapeID="_x0000_i1034" DrawAspect="Content" ObjectID="_1468075734" r:id="rId177">
            <o:LockedField>false</o:LockedField>
          </o:OLEObject>
        </w:object>
      </w:r>
      <w:r>
        <w:rPr>
          <w:rFonts w:ascii="Times New Roman" w:hAnsi="Times New Roman" w:cs="Times New Roman"/>
          <w:caps w:val="0"/>
          <w:smallCaps w:val="0"/>
          <w:color w:val="000000" w:themeColor="text1"/>
          <w:sz w:val="24"/>
          <w:szCs w:val="24"/>
          <w14:textFill>
            <w14:solidFill>
              <w14:schemeClr w14:val="tx1"/>
            </w14:solidFill>
          </w14:textFill>
        </w:rPr>
        <w:t>—表层土壤容重，kg/m</w:t>
      </w:r>
      <w:r>
        <w:rPr>
          <w:rFonts w:ascii="Times New Roman" w:hAnsi="Times New Roman" w:cs="Times New Roman"/>
          <w:caps w:val="0"/>
          <w:smallCaps w:val="0"/>
          <w:color w:val="000000" w:themeColor="text1"/>
          <w:sz w:val="24"/>
          <w:szCs w:val="24"/>
          <w:vertAlign w:val="superscript"/>
          <w14:textFill>
            <w14:solidFill>
              <w14:schemeClr w14:val="tx1"/>
            </w14:solidFill>
          </w14:textFill>
        </w:rPr>
        <w:t>3</w:t>
      </w:r>
      <w:r>
        <w:rPr>
          <w:rFonts w:ascii="Times New Roman" w:hAnsi="Times New Roman" w:cs="Times New Roman"/>
          <w:caps w:val="0"/>
          <w:smallCaps w:val="0"/>
          <w:color w:val="000000" w:themeColor="text1"/>
          <w:sz w:val="24"/>
          <w:szCs w:val="24"/>
          <w14:textFill>
            <w14:solidFill>
              <w14:schemeClr w14:val="tx1"/>
            </w14:solidFill>
          </w14:textFill>
        </w:rPr>
        <w:t>；</w:t>
      </w:r>
    </w:p>
    <w:p>
      <w:pPr>
        <w:adjustRightInd w:val="0"/>
        <w:snapToGrid w:val="0"/>
        <w:spacing w:line="360" w:lineRule="auto"/>
        <w:ind w:firstLine="1200" w:firstLineChars="5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A—预测评价范围，m</w:t>
      </w:r>
      <w:r>
        <w:rPr>
          <w:rFonts w:ascii="Times New Roman" w:hAnsi="Times New Roman" w:cs="Times New Roman"/>
          <w:caps w:val="0"/>
          <w:smallCaps w:val="0"/>
          <w:color w:val="000000" w:themeColor="text1"/>
          <w:sz w:val="24"/>
          <w:szCs w:val="24"/>
          <w:vertAlign w:val="superscript"/>
          <w14:textFill>
            <w14:solidFill>
              <w14:schemeClr w14:val="tx1"/>
            </w14:solidFill>
          </w14:textFill>
        </w:rPr>
        <w:t>2</w:t>
      </w:r>
      <w:r>
        <w:rPr>
          <w:rFonts w:ascii="Times New Roman" w:hAnsi="Times New Roman" w:cs="Times New Roman"/>
          <w:caps w:val="0"/>
          <w:smallCaps w:val="0"/>
          <w:color w:val="000000" w:themeColor="text1"/>
          <w:sz w:val="24"/>
          <w:szCs w:val="24"/>
          <w14:textFill>
            <w14:solidFill>
              <w14:schemeClr w14:val="tx1"/>
            </w14:solidFill>
          </w14:textFill>
        </w:rPr>
        <w:t>；</w:t>
      </w:r>
    </w:p>
    <w:p>
      <w:pPr>
        <w:adjustRightInd w:val="0"/>
        <w:snapToGrid w:val="0"/>
        <w:spacing w:line="360" w:lineRule="auto"/>
        <w:ind w:firstLine="1200" w:firstLineChars="5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D—表层土壤深度，一般取0.2m，可根据实际情况适当调整；</w:t>
      </w:r>
    </w:p>
    <w:p>
      <w:pPr>
        <w:adjustRightInd w:val="0"/>
        <w:snapToGrid w:val="0"/>
        <w:spacing w:line="360" w:lineRule="auto"/>
        <w:ind w:firstLine="1200" w:firstLineChars="5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n—持续年份，a。</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②</w:t>
      </w:r>
      <w:r>
        <w:rPr>
          <w:rFonts w:ascii="Times New Roman" w:hAnsi="Times New Roman" w:cs="Times New Roman"/>
          <w:caps w:val="0"/>
          <w:smallCaps w:val="0"/>
          <w:color w:val="000000" w:themeColor="text1"/>
          <w:sz w:val="24"/>
          <w:szCs w:val="24"/>
          <w14:textFill>
            <w14:solidFill>
              <w14:schemeClr w14:val="tx1"/>
            </w14:solidFill>
          </w14:textFill>
        </w:rPr>
        <w:t>单位质量土壤中某种物质的预测值可根据其增量叠加现状值进行计算。</w:t>
      </w:r>
    </w:p>
    <w:p>
      <w:pPr>
        <w:adjustRightInd w:val="0"/>
        <w:snapToGrid w:val="0"/>
        <w:spacing w:line="360" w:lineRule="auto"/>
        <w:jc w:val="center"/>
        <w:rPr>
          <w:rFonts w:ascii="Times New Roman" w:hAnsi="Times New Roman" w:cs="Times New Roman"/>
          <w:caps w:val="0"/>
          <w:smallCaps w:val="0"/>
          <w:color w:val="0000FF"/>
          <w:sz w:val="24"/>
          <w:szCs w:val="24"/>
        </w:rPr>
      </w:pPr>
      <w:r>
        <w:rPr>
          <w:rFonts w:ascii="Times New Roman" w:hAnsi="Times New Roman" w:cs="Times New Roman"/>
          <w:caps w:val="0"/>
          <w:smallCaps w:val="0"/>
          <w:color w:val="0000FF"/>
          <w:sz w:val="24"/>
          <w:szCs w:val="24"/>
        </w:rPr>
        <w:drawing>
          <wp:inline distT="0" distB="0" distL="114300" distR="114300">
            <wp:extent cx="714375" cy="22860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9"/>
                    <a:stretch>
                      <a:fillRect/>
                    </a:stretch>
                  </pic:blipFill>
                  <pic:spPr>
                    <a:xfrm>
                      <a:off x="0" y="0"/>
                      <a:ext cx="714375" cy="228600"/>
                    </a:xfrm>
                    <a:prstGeom prst="rect">
                      <a:avLst/>
                    </a:prstGeom>
                    <a:noFill/>
                    <a:ln>
                      <a:noFill/>
                    </a:ln>
                  </pic:spPr>
                </pic:pic>
              </a:graphicData>
            </a:graphic>
          </wp:inline>
        </w:drawing>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式中：S</w:t>
      </w:r>
      <w:r>
        <w:rPr>
          <w:rFonts w:ascii="Times New Roman" w:hAnsi="Times New Roman" w:cs="Times New Roman"/>
          <w:caps w:val="0"/>
          <w:smallCaps w:val="0"/>
          <w:color w:val="000000" w:themeColor="text1"/>
          <w:sz w:val="24"/>
          <w:szCs w:val="24"/>
          <w:vertAlign w:val="subscript"/>
          <w14:textFill>
            <w14:solidFill>
              <w14:schemeClr w14:val="tx1"/>
            </w14:solidFill>
          </w14:textFill>
        </w:rPr>
        <w:t>b</w:t>
      </w:r>
      <w:r>
        <w:rPr>
          <w:rFonts w:ascii="Times New Roman" w:hAnsi="Times New Roman" w:cs="Times New Roman"/>
          <w:caps w:val="0"/>
          <w:smallCaps w:val="0"/>
          <w:color w:val="000000" w:themeColor="text1"/>
          <w:sz w:val="24"/>
          <w:szCs w:val="24"/>
          <w14:textFill>
            <w14:solidFill>
              <w14:schemeClr w14:val="tx1"/>
            </w14:solidFill>
          </w14:textFill>
        </w:rPr>
        <w:t>—单位质量土壤中某种物质的现状值，g/kg；</w:t>
      </w:r>
    </w:p>
    <w:p>
      <w:pPr>
        <w:adjustRightInd w:val="0"/>
        <w:snapToGrid w:val="0"/>
        <w:spacing w:line="360" w:lineRule="auto"/>
        <w:ind w:firstLine="1200" w:firstLineChars="5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S—单位质量土壤中某种物质的预测值，g/kg。</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⑹</w:t>
      </w:r>
      <w:r>
        <w:rPr>
          <w:rFonts w:ascii="Times New Roman" w:hAnsi="Times New Roman" w:cs="Times New Roman"/>
          <w:caps w:val="0"/>
          <w:smallCaps w:val="0"/>
          <w:color w:val="000000" w:themeColor="text1"/>
          <w:sz w:val="24"/>
          <w:szCs w:val="32"/>
          <w14:textFill>
            <w14:solidFill>
              <w14:schemeClr w14:val="tx1"/>
            </w14:solidFill>
          </w14:textFill>
        </w:rPr>
        <w:t>预测参数</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①</w:t>
      </w:r>
      <w:r>
        <w:rPr>
          <w:rFonts w:ascii="Times New Roman" w:hAnsi="Times New Roman" w:cs="Times New Roman"/>
          <w:caps w:val="0"/>
          <w:smallCaps w:val="0"/>
          <w:color w:val="000000" w:themeColor="text1"/>
          <w:sz w:val="24"/>
          <w:szCs w:val="24"/>
          <w14:textFill>
            <w14:solidFill>
              <w14:schemeClr w14:val="tx1"/>
            </w14:solidFill>
          </w14:textFill>
        </w:rPr>
        <w:t>表层土壤中某种物质的输入量Is可通过下列公式估算：</w:t>
      </w:r>
    </w:p>
    <w:p>
      <w:pPr>
        <w:adjustRightInd w:val="0"/>
        <w:snapToGrid w:val="0"/>
        <w:spacing w:line="360" w:lineRule="auto"/>
        <w:jc w:val="center"/>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I</w:t>
      </w:r>
      <w:r>
        <w:rPr>
          <w:rFonts w:ascii="Times New Roman" w:hAnsi="Times New Roman" w:cs="Times New Roman"/>
          <w:caps w:val="0"/>
          <w:smallCaps w:val="0"/>
          <w:color w:val="000000" w:themeColor="text1"/>
          <w:sz w:val="24"/>
          <w:szCs w:val="24"/>
          <w:vertAlign w:val="subscript"/>
          <w14:textFill>
            <w14:solidFill>
              <w14:schemeClr w14:val="tx1"/>
            </w14:solidFill>
          </w14:textFill>
        </w:rPr>
        <w:t>S</w:t>
      </w:r>
      <w:r>
        <w:rPr>
          <w:rFonts w:ascii="Times New Roman" w:hAnsi="Times New Roman" w:cs="Times New Roman"/>
          <w:caps w:val="0"/>
          <w:smallCaps w:val="0"/>
          <w:color w:val="000000" w:themeColor="text1"/>
          <w:sz w:val="24"/>
          <w:szCs w:val="24"/>
          <w14:textFill>
            <w14:solidFill>
              <w14:schemeClr w14:val="tx1"/>
            </w14:solidFill>
          </w14:textFill>
        </w:rPr>
        <w:t>=C×V×T×A</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式中：C—污染物的最大时落地浓度，mg/m</w:t>
      </w:r>
      <w:r>
        <w:rPr>
          <w:rFonts w:ascii="Times New Roman" w:hAnsi="Times New Roman" w:cs="Times New Roman"/>
          <w:caps w:val="0"/>
          <w:smallCaps w:val="0"/>
          <w:color w:val="000000" w:themeColor="text1"/>
          <w:sz w:val="24"/>
          <w:szCs w:val="24"/>
          <w:vertAlign w:val="superscript"/>
          <w14:textFill>
            <w14:solidFill>
              <w14:schemeClr w14:val="tx1"/>
            </w14:solidFill>
          </w14:textFill>
        </w:rPr>
        <w:t>3</w:t>
      </w:r>
      <w:r>
        <w:rPr>
          <w:rFonts w:ascii="Times New Roman" w:hAnsi="Times New Roman" w:cs="Times New Roman"/>
          <w:caps w:val="0"/>
          <w:smallCaps w:val="0"/>
          <w:color w:val="000000" w:themeColor="text1"/>
          <w:sz w:val="24"/>
          <w:szCs w:val="24"/>
          <w14:textFill>
            <w14:solidFill>
              <w14:schemeClr w14:val="tx1"/>
            </w14:solidFill>
          </w14:textFill>
        </w:rPr>
        <w:t>；项目挥发性有机物最大小时落地浓度为0.</w:t>
      </w:r>
      <w:r>
        <w:rPr>
          <w:rFonts w:hint="eastAsia" w:ascii="Times New Roman" w:hAnsi="Times New Roman" w:cs="Times New Roman"/>
          <w:caps w:val="0"/>
          <w:smallCaps w:val="0"/>
          <w:color w:val="000000" w:themeColor="text1"/>
          <w:sz w:val="24"/>
          <w:szCs w:val="24"/>
          <w:lang w:val="en-US" w:eastAsia="zh-CN"/>
          <w14:textFill>
            <w14:solidFill>
              <w14:schemeClr w14:val="tx1"/>
            </w14:solidFill>
          </w14:textFill>
        </w:rPr>
        <w:t>00691</w:t>
      </w:r>
      <w:r>
        <w:rPr>
          <w:rFonts w:ascii="Times New Roman" w:hAnsi="Times New Roman" w:cs="Times New Roman"/>
          <w:caps w:val="0"/>
          <w:smallCaps w:val="0"/>
          <w:color w:val="000000" w:themeColor="text1"/>
          <w:sz w:val="24"/>
          <w:szCs w:val="24"/>
          <w14:textFill>
            <w14:solidFill>
              <w14:schemeClr w14:val="tx1"/>
            </w14:solidFill>
          </w14:textFill>
        </w:rPr>
        <w:t>mg/m</w:t>
      </w:r>
      <w:r>
        <w:rPr>
          <w:rFonts w:ascii="Times New Roman" w:hAnsi="Times New Roman" w:cs="Times New Roman"/>
          <w:caps w:val="0"/>
          <w:smallCaps w:val="0"/>
          <w:color w:val="000000" w:themeColor="text1"/>
          <w:sz w:val="24"/>
          <w:szCs w:val="24"/>
          <w:vertAlign w:val="superscript"/>
          <w14:textFill>
            <w14:solidFill>
              <w14:schemeClr w14:val="tx1"/>
            </w14:solidFill>
          </w14:textFill>
        </w:rPr>
        <w:t>3</w:t>
      </w:r>
      <w:r>
        <w:rPr>
          <w:rFonts w:ascii="Times New Roman" w:hAnsi="Times New Roman" w:cs="Times New Roman"/>
          <w:caps w:val="0"/>
          <w:smallCaps w:val="0"/>
          <w:color w:val="000000" w:themeColor="text1"/>
          <w:sz w:val="24"/>
          <w:szCs w:val="24"/>
          <w14:textFill>
            <w14:solidFill>
              <w14:schemeClr w14:val="tx1"/>
            </w14:solidFill>
          </w14:textFill>
        </w:rPr>
        <w:t>。</w:t>
      </w:r>
    </w:p>
    <w:p>
      <w:pPr>
        <w:adjustRightInd w:val="0"/>
        <w:snapToGrid w:val="0"/>
        <w:spacing w:line="360" w:lineRule="auto"/>
        <w:ind w:firstLine="1080" w:firstLineChars="450"/>
        <w:rPr>
          <w:rFonts w:ascii="Times New Roman" w:hAnsi="Times New Roman" w:cs="Times New Roman"/>
          <w:caps w:val="0"/>
          <w:smallCaps w:val="0"/>
          <w:color w:val="000000" w:themeColor="text1"/>
          <w:sz w:val="24"/>
          <w:szCs w:val="24"/>
          <w14:textFill>
            <w14:solidFill>
              <w14:schemeClr w14:val="tx1"/>
            </w14:solidFill>
          </w14:textFill>
        </w:rPr>
      </w:pPr>
      <w:r>
        <w:rPr>
          <w:rFonts w:ascii="Times New Roman" w:hAnsi="Times New Roman" w:cs="Times New Roman"/>
          <w:caps w:val="0"/>
          <w:smallCaps w:val="0"/>
          <w:color w:val="000000" w:themeColor="text1"/>
          <w:sz w:val="24"/>
          <w:szCs w:val="24"/>
          <w14:textFill>
            <w14:solidFill>
              <w14:schemeClr w14:val="tx1"/>
            </w14:solidFill>
          </w14:textFill>
        </w:rPr>
        <w:t>V—污染物沉降速率，m/s；由于项目排放污染物的粒度较细，粒度小于1μm，沉降速率取值为0.1cm/s（即0.001m/s）。</w:t>
      </w:r>
    </w:p>
    <w:p>
      <w:pPr>
        <w:adjustRightInd w:val="0"/>
        <w:snapToGrid w:val="0"/>
        <w:spacing w:line="360" w:lineRule="auto"/>
        <w:ind w:firstLine="1080" w:firstLineChars="45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T—年内污染物沉降时间，s。项目装卸年运行</w:t>
      </w:r>
      <w:r>
        <w:rPr>
          <w:rFonts w:hint="eastAsia" w:ascii="Times New Roman" w:hAnsi="Times New Roman" w:cs="Times New Roman"/>
          <w:caps w:val="0"/>
          <w:smallCaps w:val="0"/>
          <w:color w:val="000000" w:themeColor="text1"/>
          <w:sz w:val="24"/>
          <w:szCs w:val="24"/>
          <w:lang w:val="en-US" w:eastAsia="zh-CN"/>
          <w14:textFill>
            <w14:solidFill>
              <w14:schemeClr w14:val="tx1"/>
            </w14:solidFill>
          </w14:textFill>
        </w:rPr>
        <w:t>180</w:t>
      </w:r>
      <w:r>
        <w:rPr>
          <w:rFonts w:hint="eastAsia" w:ascii="Times New Roman" w:hAnsi="Times New Roman" w:cs="Times New Roman"/>
          <w:caps w:val="0"/>
          <w:smallCaps w:val="0"/>
          <w:color w:val="000000" w:themeColor="text1"/>
          <w:sz w:val="24"/>
          <w:szCs w:val="24"/>
          <w14:textFill>
            <w14:solidFill>
              <w14:schemeClr w14:val="tx1"/>
            </w14:solidFill>
          </w14:textFill>
        </w:rPr>
        <w:t>0h，即T取</w:t>
      </w:r>
      <w:r>
        <w:rPr>
          <w:rFonts w:hint="eastAsia" w:ascii="Times New Roman" w:hAnsi="Times New Roman" w:cs="Times New Roman"/>
          <w:caps w:val="0"/>
          <w:smallCaps w:val="0"/>
          <w:color w:val="000000" w:themeColor="text1"/>
          <w:sz w:val="24"/>
          <w:szCs w:val="24"/>
          <w:lang w:val="en-US" w:eastAsia="zh-CN"/>
          <w14:textFill>
            <w14:solidFill>
              <w14:schemeClr w14:val="tx1"/>
            </w14:solidFill>
          </w14:textFill>
        </w:rPr>
        <w:t>0.67</w:t>
      </w:r>
      <w:r>
        <w:rPr>
          <w:rFonts w:hint="eastAsia" w:ascii="Times New Roman" w:hAnsi="Times New Roman" w:cs="Times New Roman"/>
          <w:caps w:val="0"/>
          <w:smallCaps w:val="0"/>
          <w:color w:val="000000" w:themeColor="text1"/>
          <w:sz w:val="24"/>
          <w:szCs w:val="24"/>
          <w14:textFill>
            <w14:solidFill>
              <w14:schemeClr w14:val="tx1"/>
            </w14:solidFill>
          </w14:textFill>
        </w:rPr>
        <w:t>×10</w:t>
      </w:r>
      <w:r>
        <w:rPr>
          <w:rFonts w:hint="eastAsia" w:ascii="Times New Roman" w:hAnsi="Times New Roman" w:cs="Times New Roman"/>
          <w:caps w:val="0"/>
          <w:smallCaps w:val="0"/>
          <w:color w:val="000000" w:themeColor="text1"/>
          <w:sz w:val="24"/>
          <w:szCs w:val="24"/>
          <w:vertAlign w:val="superscript"/>
          <w14:textFill>
            <w14:solidFill>
              <w14:schemeClr w14:val="tx1"/>
            </w14:solidFill>
          </w14:textFill>
        </w:rPr>
        <w:t>7</w:t>
      </w:r>
      <w:r>
        <w:rPr>
          <w:rFonts w:hint="eastAsia" w:ascii="Times New Roman" w:hAnsi="Times New Roman" w:cs="Times New Roman"/>
          <w:caps w:val="0"/>
          <w:smallCaps w:val="0"/>
          <w:color w:val="000000" w:themeColor="text1"/>
          <w:sz w:val="24"/>
          <w:szCs w:val="24"/>
          <w14:textFill>
            <w14:solidFill>
              <w14:schemeClr w14:val="tx1"/>
            </w14:solidFill>
          </w14:textFill>
        </w:rPr>
        <w:t>s。</w:t>
      </w:r>
    </w:p>
    <w:p>
      <w:pPr>
        <w:adjustRightInd w:val="0"/>
        <w:snapToGrid w:val="0"/>
        <w:spacing w:line="360" w:lineRule="auto"/>
        <w:ind w:firstLine="1080" w:firstLineChars="45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A—预测评价范围，m</w:t>
      </w:r>
      <w:r>
        <w:rPr>
          <w:rFonts w:hint="eastAsia" w:ascii="Times New Roman" w:hAnsi="Times New Roman" w:cs="Times New Roman"/>
          <w:caps w:val="0"/>
          <w:smallCaps w:val="0"/>
          <w:color w:val="000000" w:themeColor="text1"/>
          <w:sz w:val="24"/>
          <w:szCs w:val="24"/>
          <w:vertAlign w:val="superscript"/>
          <w14:textFill>
            <w14:solidFill>
              <w14:schemeClr w14:val="tx1"/>
            </w14:solidFill>
          </w14:textFill>
        </w:rPr>
        <w:t>2</w:t>
      </w:r>
      <w:r>
        <w:rPr>
          <w:rFonts w:hint="eastAsia" w:ascii="Times New Roman" w:hAnsi="Times New Roman" w:cs="Times New Roman"/>
          <w:caps w:val="0"/>
          <w:smallCaps w:val="0"/>
          <w:color w:val="000000" w:themeColor="text1"/>
          <w:sz w:val="24"/>
          <w:szCs w:val="24"/>
          <w14:textFill>
            <w14:solidFill>
              <w14:schemeClr w14:val="tx1"/>
            </w14:solidFill>
          </w14:textFill>
        </w:rPr>
        <w:t>；本评价取</w:t>
      </w:r>
      <w:r>
        <w:rPr>
          <w:rFonts w:hint="eastAsia" w:ascii="Times New Roman" w:hAnsi="Times New Roman" w:cs="Times New Roman"/>
          <w:caps w:val="0"/>
          <w:smallCaps w:val="0"/>
          <w:color w:val="000000" w:themeColor="text1"/>
          <w:sz w:val="24"/>
          <w:szCs w:val="24"/>
          <w:lang w:val="en-US" w:eastAsia="zh-CN"/>
          <w14:textFill>
            <w14:solidFill>
              <w14:schemeClr w14:val="tx1"/>
            </w14:solidFill>
          </w14:textFill>
        </w:rPr>
        <w:t>1300</w:t>
      </w:r>
      <w:r>
        <w:rPr>
          <w:rFonts w:hint="eastAsia" w:ascii="Times New Roman" w:hAnsi="Times New Roman" w:cs="Times New Roman"/>
          <w:caps w:val="0"/>
          <w:smallCaps w:val="0"/>
          <w:color w:val="000000" w:themeColor="text1"/>
          <w:sz w:val="24"/>
          <w:szCs w:val="24"/>
          <w14:textFill>
            <w14:solidFill>
              <w14:schemeClr w14:val="tx1"/>
            </w14:solidFill>
          </w14:textFill>
        </w:rPr>
        <w:t>m</w:t>
      </w:r>
      <w:r>
        <w:rPr>
          <w:rFonts w:hint="eastAsia" w:ascii="Times New Roman" w:hAnsi="Times New Roman" w:cs="Times New Roman"/>
          <w:caps w:val="0"/>
          <w:smallCaps w:val="0"/>
          <w:color w:val="000000" w:themeColor="text1"/>
          <w:sz w:val="24"/>
          <w:szCs w:val="24"/>
          <w:vertAlign w:val="superscript"/>
          <w14:textFill>
            <w14:solidFill>
              <w14:schemeClr w14:val="tx1"/>
            </w14:solidFill>
          </w14:textFill>
        </w:rPr>
        <w:t>2</w:t>
      </w:r>
      <w:r>
        <w:rPr>
          <w:rFonts w:hint="eastAsia" w:ascii="Times New Roman" w:hAnsi="Times New Roman" w:cs="Times New Roman"/>
          <w:caps w:val="0"/>
          <w:smallCaps w:val="0"/>
          <w:color w:val="000000" w:themeColor="text1"/>
          <w:sz w:val="24"/>
          <w:szCs w:val="24"/>
          <w14:textFill>
            <w14:solidFill>
              <w14:schemeClr w14:val="tx1"/>
            </w14:solidFill>
          </w14:textFill>
        </w:rPr>
        <w:t>。</w:t>
      </w:r>
    </w:p>
    <w:p>
      <w:pPr>
        <w:adjustRightInd w:val="0"/>
        <w:snapToGrid w:val="0"/>
        <w:spacing w:line="360" w:lineRule="auto"/>
        <w:ind w:firstLine="480" w:firstLineChars="200"/>
        <w:rPr>
          <w:rFonts w:hint="eastAsia"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根据以上参数计算得到本项目IS=</w:t>
      </w:r>
      <w:r>
        <w:rPr>
          <w:rFonts w:hint="eastAsia" w:ascii="Times New Roman" w:hAnsi="Times New Roman" w:cs="Times New Roman"/>
          <w:caps w:val="0"/>
          <w:smallCaps w:val="0"/>
          <w:color w:val="000000" w:themeColor="text1"/>
          <w:sz w:val="24"/>
          <w:szCs w:val="24"/>
          <w:lang w:val="en-US" w:eastAsia="zh-CN"/>
          <w14:textFill>
            <w14:solidFill>
              <w14:schemeClr w14:val="tx1"/>
            </w14:solidFill>
          </w14:textFill>
        </w:rPr>
        <w:t>60.186</w:t>
      </w:r>
      <w:r>
        <w:rPr>
          <w:rFonts w:hint="eastAsia" w:ascii="Times New Roman" w:hAnsi="Times New Roman" w:cs="Times New Roman"/>
          <w:caps w:val="0"/>
          <w:smallCaps w:val="0"/>
          <w:color w:val="000000" w:themeColor="text1"/>
          <w:sz w:val="24"/>
          <w:szCs w:val="24"/>
          <w14:textFill>
            <w14:solidFill>
              <w14:schemeClr w14:val="tx1"/>
            </w14:solidFill>
          </w14:textFill>
        </w:rPr>
        <w:t>g。</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②参考有关研究资料，挥发性有机物在土壤中一般不易被自然淋溶迁移，综合考虑作物富集、土壤侵蚀和土壤渗漏等流失途径，因此不考虑这部分淋溶排出量，即Ls=0。</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③本次评价不考虑径流排出量，即：Rs=0。</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④根据土壤理化特性调查，一般表层土壤容重</w:t>
      </w:r>
      <w:r>
        <w:rPr>
          <w:rFonts w:hint="eastAsia" w:ascii="Times New Roman" w:hAnsi="Times New Roman" w:cs="Times New Roman"/>
          <w:caps w:val="0"/>
          <w:smallCaps w:val="0"/>
          <w:color w:val="000000" w:themeColor="text1"/>
          <w:position w:val="-12"/>
          <w:sz w:val="24"/>
          <w:szCs w:val="24"/>
          <w14:textFill>
            <w14:solidFill>
              <w14:schemeClr w14:val="tx1"/>
            </w14:solidFill>
          </w14:textFill>
        </w:rPr>
        <w:object>
          <v:shape id="_x0000_i1035" o:spt="75" type="#_x0000_t75" style="height:18.75pt;width:14.25pt;" o:ole="t" filled="f" o:preferrelative="t" stroked="f" coordsize="21600,21600">
            <v:path/>
            <v:fill on="f" focussize="0,0"/>
            <v:stroke on="f" joinstyle="miter"/>
            <v:imagedata r:id="rId178" o:title=""/>
            <o:lock v:ext="edit" aspectratio="t"/>
            <w10:wrap type="none"/>
            <w10:anchorlock/>
          </v:shape>
          <o:OLEObject Type="Embed" ProgID="Equation.3" ShapeID="_x0000_i1035" DrawAspect="Content" ObjectID="_1468075735" r:id="rId180">
            <o:LockedField>false</o:LockedField>
          </o:OLEObject>
        </w:object>
      </w:r>
      <w:r>
        <w:rPr>
          <w:rFonts w:hint="eastAsia" w:ascii="Times New Roman" w:hAnsi="Times New Roman" w:cs="Times New Roman"/>
          <w:caps w:val="0"/>
          <w:smallCaps w:val="0"/>
          <w:color w:val="000000" w:themeColor="text1"/>
          <w:sz w:val="24"/>
          <w:szCs w:val="24"/>
          <w14:textFill>
            <w14:solidFill>
              <w14:schemeClr w14:val="tx1"/>
            </w14:solidFill>
          </w14:textFill>
        </w:rPr>
        <w:t>平均值为1200kg/m</w:t>
      </w:r>
      <w:r>
        <w:rPr>
          <w:rFonts w:hint="eastAsia" w:ascii="Times New Roman" w:hAnsi="Times New Roman" w:cs="Times New Roman"/>
          <w:caps w:val="0"/>
          <w:smallCaps w:val="0"/>
          <w:color w:val="000000" w:themeColor="text1"/>
          <w:sz w:val="24"/>
          <w:szCs w:val="24"/>
          <w:vertAlign w:val="superscript"/>
          <w14:textFill>
            <w14:solidFill>
              <w14:schemeClr w14:val="tx1"/>
            </w14:solidFill>
          </w14:textFill>
        </w:rPr>
        <w:t>3</w:t>
      </w:r>
      <w:r>
        <w:rPr>
          <w:rFonts w:hint="eastAsia" w:ascii="Times New Roman" w:hAnsi="Times New Roman" w:cs="Times New Roman"/>
          <w:caps w:val="0"/>
          <w:smallCaps w:val="0"/>
          <w:color w:val="000000" w:themeColor="text1"/>
          <w:sz w:val="24"/>
          <w:szCs w:val="24"/>
          <w14:textFill>
            <w14:solidFill>
              <w14:schemeClr w14:val="tx1"/>
            </w14:solidFill>
          </w14:textFill>
        </w:rPr>
        <w:t>。</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⑤预测评价面积A=</w:t>
      </w:r>
      <w:r>
        <w:rPr>
          <w:rFonts w:hint="eastAsia" w:ascii="Times New Roman" w:hAnsi="Times New Roman" w:cs="Times New Roman"/>
          <w:caps w:val="0"/>
          <w:smallCaps w:val="0"/>
          <w:color w:val="000000" w:themeColor="text1"/>
          <w:sz w:val="24"/>
          <w:szCs w:val="24"/>
          <w:lang w:val="en-US" w:eastAsia="zh-CN"/>
          <w14:textFill>
            <w14:solidFill>
              <w14:schemeClr w14:val="tx1"/>
            </w14:solidFill>
          </w14:textFill>
        </w:rPr>
        <w:t>1300</w:t>
      </w:r>
      <w:r>
        <w:rPr>
          <w:rFonts w:hint="eastAsia" w:ascii="Times New Roman" w:hAnsi="Times New Roman" w:cs="Times New Roman"/>
          <w:caps w:val="0"/>
          <w:smallCaps w:val="0"/>
          <w:color w:val="000000" w:themeColor="text1"/>
          <w:sz w:val="24"/>
          <w:szCs w:val="24"/>
          <w14:textFill>
            <w14:solidFill>
              <w14:schemeClr w14:val="tx1"/>
            </w14:solidFill>
          </w14:textFill>
        </w:rPr>
        <w:t>m</w:t>
      </w:r>
      <w:r>
        <w:rPr>
          <w:rFonts w:hint="eastAsia" w:ascii="Times New Roman" w:hAnsi="Times New Roman" w:cs="Times New Roman"/>
          <w:caps w:val="0"/>
          <w:smallCaps w:val="0"/>
          <w:color w:val="000000" w:themeColor="text1"/>
          <w:sz w:val="24"/>
          <w:szCs w:val="24"/>
          <w:vertAlign w:val="superscript"/>
          <w14:textFill>
            <w14:solidFill>
              <w14:schemeClr w14:val="tx1"/>
            </w14:solidFill>
          </w14:textFill>
        </w:rPr>
        <w:t>2</w:t>
      </w:r>
      <w:r>
        <w:rPr>
          <w:rFonts w:hint="eastAsia" w:ascii="Times New Roman" w:hAnsi="Times New Roman" w:cs="Times New Roman"/>
          <w:caps w:val="0"/>
          <w:smallCaps w:val="0"/>
          <w:color w:val="000000" w:themeColor="text1"/>
          <w:sz w:val="24"/>
          <w:szCs w:val="24"/>
          <w14:textFill>
            <w14:solidFill>
              <w14:schemeClr w14:val="tx1"/>
            </w14:solidFill>
          </w14:textFill>
        </w:rPr>
        <w:t>。</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⑥表层土壤深度D=0.2m。</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⑦持续年份n=10年、20年、30年。</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⑺评价标准</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项目评价范围规划为建设用地，评价标准参照《土壤环境质量建设用地土壤污染风险管控标准（试行）》（GB36600-2018）中表1土壤污染风险筛选值执行。</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⑻预测结果</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通过叠加现状背景值，可知项目运营期大气污染物排放对土壤累积影响见下表：</w:t>
      </w:r>
    </w:p>
    <w:p>
      <w:pPr>
        <w:wordWrap/>
        <w:adjustRightInd w:val="0"/>
        <w:snapToGrid w:val="0"/>
        <w:spacing w:line="276" w:lineRule="auto"/>
        <w:jc w:val="center"/>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b/>
          <w:caps w:val="0"/>
          <w:smallCaps w:val="0"/>
          <w:color w:val="000000" w:themeColor="text1"/>
          <w:sz w:val="24"/>
          <w:szCs w:val="24"/>
          <w14:textFill>
            <w14:solidFill>
              <w14:schemeClr w14:val="tx1"/>
            </w14:solidFill>
          </w14:textFill>
        </w:rPr>
        <w:t>表6.6-3土壤累积影响预测</w:t>
      </w:r>
      <w:r>
        <w:rPr>
          <w:rFonts w:hint="eastAsia" w:ascii="Times New Roman" w:hAnsi="Times New Roman" w:cs="Times New Roman" w:eastAsiaTheme="minorEastAsia"/>
          <w:b/>
          <w:caps w:val="0"/>
          <w:smallCaps w:val="0"/>
          <w:color w:val="000000" w:themeColor="text1"/>
          <w:sz w:val="24"/>
          <w:szCs w:val="24"/>
          <w:lang w:val="en-US" w:eastAsia="zh-CN"/>
          <w14:textFill>
            <w14:solidFill>
              <w14:schemeClr w14:val="tx1"/>
            </w14:solidFill>
          </w14:textFill>
        </w:rPr>
        <w:t xml:space="preserve">     </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单位：mg/kg</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812"/>
        <w:gridCol w:w="972"/>
        <w:gridCol w:w="972"/>
        <w:gridCol w:w="852"/>
        <w:gridCol w:w="972"/>
        <w:gridCol w:w="798"/>
        <w:gridCol w:w="973"/>
        <w:gridCol w:w="973"/>
        <w:gridCol w:w="101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7" w:type="pct"/>
            <w:vMerge w:val="restar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污染物</w:t>
            </w:r>
          </w:p>
        </w:tc>
        <w:tc>
          <w:tcPr>
            <w:tcW w:w="1707" w:type="pct"/>
            <w:gridSpan w:val="3"/>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b/>
                <w:bCs/>
                <w:caps w:val="0"/>
                <w:smallCaps w:val="0"/>
                <w:color w:val="000000" w:themeColor="text1"/>
                <w:position w:val="-6"/>
                <w14:textFill>
                  <w14:solidFill>
                    <w14:schemeClr w14:val="tx1"/>
                  </w14:solidFill>
                </w14:textFill>
              </w:rPr>
              <w:object>
                <v:shape id="_x0000_i1036" o:spt="75" type="#_x0000_t75" style="height:14.25pt;width:18.75pt;" o:ole="t" filled="f" o:preferrelative="t" stroked="f" coordsize="21600,21600">
                  <v:path/>
                  <v:fill on="f" focussize="0,0"/>
                  <v:stroke on="f" joinstyle="miter"/>
                  <v:imagedata r:id="rId176" o:title=""/>
                  <o:lock v:ext="edit" aspectratio="t"/>
                  <w10:wrap type="none"/>
                  <w10:anchorlock/>
                </v:shape>
                <o:OLEObject Type="Embed" ProgID="Equation.3" ShapeID="_x0000_i1036" DrawAspect="Content" ObjectID="_1468075736" r:id="rId181">
                  <o:LockedField>false</o:LockedField>
                </o:OLEObject>
              </w:object>
            </w:r>
          </w:p>
        </w:tc>
        <w:tc>
          <w:tcPr>
            <w:tcW w:w="593" w:type="pct"/>
            <w:vMerge w:val="restar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Sb</w:t>
            </w:r>
          </w:p>
        </w:tc>
        <w:tc>
          <w:tcPr>
            <w:tcW w:w="1583" w:type="pct"/>
            <w:gridSpan w:val="3"/>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S</w:t>
            </w:r>
          </w:p>
        </w:tc>
        <w:tc>
          <w:tcPr>
            <w:tcW w:w="620" w:type="pct"/>
            <w:vMerge w:val="restar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评价标准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7"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593"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n=10</w:t>
            </w:r>
          </w:p>
        </w:tc>
        <w:tc>
          <w:tcPr>
            <w:tcW w:w="593"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n=20</w:t>
            </w:r>
          </w:p>
        </w:tc>
        <w:tc>
          <w:tcPr>
            <w:tcW w:w="521"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n=30</w:t>
            </w:r>
          </w:p>
        </w:tc>
        <w:tc>
          <w:tcPr>
            <w:tcW w:w="593" w:type="pct"/>
            <w:vMerge w:val="continue"/>
            <w:tcBorders>
              <w:tl2br w:val="nil"/>
              <w:tr2bl w:val="nil"/>
            </w:tcBorders>
            <w:vAlign w:val="center"/>
          </w:tcPr>
          <w:p>
            <w:pPr>
              <w:pStyle w:val="117"/>
              <w:bidi w:val="0"/>
              <w:rPr>
                <w:rFonts w:ascii="Times New Roman" w:hAnsi="Times New Roman" w:cs="Times New Roman"/>
                <w:caps w:val="0"/>
                <w:smallCaps w:val="0"/>
              </w:rPr>
            </w:pPr>
          </w:p>
        </w:tc>
        <w:tc>
          <w:tcPr>
            <w:tcW w:w="397"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n=10</w:t>
            </w:r>
          </w:p>
        </w:tc>
        <w:tc>
          <w:tcPr>
            <w:tcW w:w="593"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n=20</w:t>
            </w:r>
          </w:p>
        </w:tc>
        <w:tc>
          <w:tcPr>
            <w:tcW w:w="593"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n=30</w:t>
            </w:r>
          </w:p>
        </w:tc>
        <w:tc>
          <w:tcPr>
            <w:tcW w:w="620" w:type="pct"/>
            <w:vMerge w:val="continue"/>
            <w:tcBorders>
              <w:tl2br w:val="nil"/>
              <w:tr2bl w:val="nil"/>
            </w:tcBorders>
            <w:vAlign w:val="center"/>
          </w:tcPr>
          <w:p>
            <w:pPr>
              <w:pStyle w:val="117"/>
              <w:bidi w:val="0"/>
              <w:rPr>
                <w:rFonts w:ascii="Times New Roman" w:hAnsi="Times New Roman" w:cs="Times New Roman"/>
                <w:caps w:val="0"/>
                <w:smallCaps w:val="0"/>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97"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石油烃</w:t>
            </w:r>
          </w:p>
        </w:tc>
        <w:tc>
          <w:tcPr>
            <w:tcW w:w="593"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0.0019</w:t>
            </w:r>
          </w:p>
        </w:tc>
        <w:tc>
          <w:tcPr>
            <w:tcW w:w="593"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0.0038</w:t>
            </w:r>
          </w:p>
        </w:tc>
        <w:tc>
          <w:tcPr>
            <w:tcW w:w="521"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0.0057</w:t>
            </w:r>
          </w:p>
        </w:tc>
        <w:tc>
          <w:tcPr>
            <w:tcW w:w="593"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264</w:t>
            </w:r>
          </w:p>
        </w:tc>
        <w:tc>
          <w:tcPr>
            <w:tcW w:w="397"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264.0019</w:t>
            </w:r>
          </w:p>
        </w:tc>
        <w:tc>
          <w:tcPr>
            <w:tcW w:w="593"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264.0038</w:t>
            </w:r>
          </w:p>
        </w:tc>
        <w:tc>
          <w:tcPr>
            <w:tcW w:w="593" w:type="pct"/>
            <w:tcBorders>
              <w:tl2br w:val="nil"/>
              <w:tr2bl w:val="nil"/>
            </w:tcBorders>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264.0057</w:t>
            </w:r>
          </w:p>
        </w:tc>
        <w:tc>
          <w:tcPr>
            <w:tcW w:w="620" w:type="pct"/>
            <w:tcBorders>
              <w:tl2br w:val="nil"/>
              <w:tr2bl w:val="nil"/>
            </w:tcBorders>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4500</w:t>
            </w:r>
          </w:p>
        </w:tc>
      </w:tr>
    </w:tbl>
    <w:p>
      <w:pPr>
        <w:adjustRightInd w:val="0"/>
        <w:snapToGrid w:val="0"/>
        <w:spacing w:line="360" w:lineRule="auto"/>
        <w:rPr>
          <w:rFonts w:ascii="Times New Roman" w:hAnsi="Times New Roman" w:cs="Times New Roman"/>
          <w:caps w:val="0"/>
          <w:smallCaps w:val="0"/>
          <w:color w:val="000000" w:themeColor="text1"/>
          <w14:textFill>
            <w14:solidFill>
              <w14:schemeClr w14:val="tx1"/>
            </w14:solidFill>
          </w14:textFill>
        </w:rPr>
      </w:pPr>
      <w:r>
        <w:rPr>
          <w:rFonts w:hint="eastAsia" w:ascii="Times New Roman" w:hAnsi="Times New Roman" w:cs="Times New Roman"/>
          <w:caps w:val="0"/>
          <w:smallCaps w:val="0"/>
          <w:color w:val="000000" w:themeColor="text1"/>
          <w14:textFill>
            <w14:solidFill>
              <w14:schemeClr w14:val="tx1"/>
            </w14:solidFill>
          </w14:textFill>
        </w:rPr>
        <w:t>注：S</w:t>
      </w:r>
      <w:r>
        <w:rPr>
          <w:rFonts w:hint="eastAsia" w:ascii="Times New Roman" w:hAnsi="Times New Roman" w:cs="Times New Roman"/>
          <w:caps w:val="0"/>
          <w:smallCaps w:val="0"/>
          <w:color w:val="000000" w:themeColor="text1"/>
          <w:vertAlign w:val="subscript"/>
          <w14:textFill>
            <w14:solidFill>
              <w14:schemeClr w14:val="tx1"/>
            </w14:solidFill>
          </w14:textFill>
        </w:rPr>
        <w:t>b</w:t>
      </w:r>
      <w:r>
        <w:rPr>
          <w:rFonts w:hint="eastAsia" w:ascii="Times New Roman" w:hAnsi="Times New Roman" w:cs="Times New Roman"/>
          <w:caps w:val="0"/>
          <w:smallCaps w:val="0"/>
          <w:color w:val="000000" w:themeColor="text1"/>
          <w14:textFill>
            <w14:solidFill>
              <w14:schemeClr w14:val="tx1"/>
            </w14:solidFill>
          </w14:textFill>
        </w:rPr>
        <w:t>取本次委托监测结果中的最大值。</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24"/>
          <w14:textFill>
            <w14:solidFill>
              <w14:schemeClr w14:val="tx1"/>
            </w14:solidFill>
          </w14:textFill>
        </w:rPr>
      </w:pPr>
      <w:r>
        <w:rPr>
          <w:rFonts w:hint="eastAsia" w:ascii="Times New Roman" w:hAnsi="Times New Roman" w:cs="Times New Roman"/>
          <w:caps w:val="0"/>
          <w:smallCaps w:val="0"/>
          <w:color w:val="000000" w:themeColor="text1"/>
          <w:sz w:val="24"/>
          <w:szCs w:val="24"/>
          <w14:textFill>
            <w14:solidFill>
              <w14:schemeClr w14:val="tx1"/>
            </w14:solidFill>
          </w14:textFill>
        </w:rPr>
        <w:t>由上表可知，本项目运行10年、20年、30年后，正常工况下，装卸过程中排放的挥发性有机物以大气沉降方式进入土壤中的累积量远小于《土壤环境质量建设用地土壤污染风险管控标准（试行）》（GB36600-2018）表1中的第二类土地筛选值，土壤累积影响很小，不会对周边土壤产生明显影响。</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影响分析</w:t>
      </w:r>
    </w:p>
    <w:p>
      <w:pPr>
        <w:adjustRightInd w:val="0"/>
        <w:snapToGri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项目排放的挥发性有机物绝大部分</w:t>
      </w:r>
      <w:r>
        <w:rPr>
          <w:rFonts w:hint="eastAsia" w:ascii="Times New Roman" w:hAnsi="Times New Roman" w:cs="Times New Roman"/>
          <w:caps w:val="0"/>
          <w:smallCaps w:val="0"/>
          <w:color w:val="000000" w:themeColor="text1"/>
          <w:sz w:val="24"/>
          <w:szCs w:val="32"/>
          <w:lang w:val="en-US" w:eastAsia="zh-CN"/>
          <w14:textFill>
            <w14:solidFill>
              <w14:schemeClr w14:val="tx1"/>
            </w14:solidFill>
          </w14:textFill>
        </w:rPr>
        <w:t>沉降</w:t>
      </w:r>
      <w:r>
        <w:rPr>
          <w:rFonts w:hint="eastAsia" w:ascii="Times New Roman" w:hAnsi="Times New Roman" w:cs="Times New Roman"/>
          <w:caps w:val="0"/>
          <w:smallCaps w:val="0"/>
          <w:color w:val="000000" w:themeColor="text1"/>
          <w:sz w:val="24"/>
          <w:szCs w:val="32"/>
          <w14:textFill>
            <w14:solidFill>
              <w14:schemeClr w14:val="tx1"/>
            </w14:solidFill>
          </w14:textFill>
        </w:rPr>
        <w:t>在码头区域及后方储罐区范围内。项目区域周围地面大部分硬化，裸露地很少，污染物沉降到地表会被植物阻挡和吸收，少量落于土壤表层不会对土壤环境产生较大影响。因此，项目对周边土壤环境的影响可接受。</w:t>
      </w:r>
    </w:p>
    <w:p>
      <w:pPr>
        <w:pStyle w:val="5"/>
        <w:rPr>
          <w:rFonts w:ascii="Times New Roman" w:hAnsi="Times New Roman" w:cs="Times New Roman" w:eastAsiaTheme="minorEastAsia"/>
          <w:b/>
          <w:caps w:val="0"/>
          <w:smallCaps w:val="0"/>
          <w:szCs w:val="24"/>
        </w:rPr>
      </w:pPr>
      <w:bookmarkStart w:id="110" w:name="_Toc7156"/>
      <w:r>
        <w:rPr>
          <w:rFonts w:ascii="Times New Roman" w:hAnsi="Times New Roman" w:cs="Times New Roman" w:eastAsiaTheme="minorEastAsia"/>
          <w:b/>
          <w:caps w:val="0"/>
          <w:smallCaps w:val="0"/>
        </w:rPr>
        <w:t>生态环境影响评价</w:t>
      </w:r>
      <w:bookmarkEnd w:id="110"/>
    </w:p>
    <w:p>
      <w:pPr>
        <w:pStyle w:val="6"/>
        <w:rPr>
          <w:rFonts w:ascii="Times New Roman" w:hAnsi="Times New Roman" w:cs="Times New Roman" w:eastAsiaTheme="minorEastAsia"/>
          <w:caps w:val="0"/>
          <w:smallCaps w:val="0"/>
          <w:color w:val="000000" w:themeColor="text1"/>
          <w:szCs w:val="24"/>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对</w:t>
      </w:r>
      <w:r>
        <w:rPr>
          <w:rFonts w:hint="eastAsia" w:ascii="Times New Roman" w:hAnsi="Times New Roman" w:cs="Times New Roman" w:eastAsiaTheme="minorEastAsia"/>
          <w:caps w:val="0"/>
          <w:smallCaps w:val="0"/>
          <w:color w:val="000000" w:themeColor="text1"/>
          <w:lang w:eastAsia="zh-CN"/>
          <w14:textFill>
            <w14:solidFill>
              <w14:schemeClr w14:val="tx1"/>
            </w14:solidFill>
          </w14:textFill>
        </w:rPr>
        <w:t>长江江豚</w:t>
      </w:r>
      <w:r>
        <w:rPr>
          <w:rFonts w:ascii="Times New Roman" w:hAnsi="Times New Roman" w:cs="Times New Roman" w:eastAsiaTheme="minorEastAsia"/>
          <w:caps w:val="0"/>
          <w:smallCaps w:val="0"/>
          <w:color w:val="000000" w:themeColor="text1"/>
          <w14:textFill>
            <w14:solidFill>
              <w14:schemeClr w14:val="tx1"/>
            </w14:solidFill>
          </w14:textFill>
        </w:rPr>
        <w:t>的影响</w:t>
      </w:r>
      <w:r>
        <w:rPr>
          <w:rFonts w:hint="eastAsia" w:ascii="Times New Roman" w:hAnsi="Times New Roman" w:cs="Times New Roman" w:eastAsiaTheme="minorEastAsia"/>
          <w:caps w:val="0"/>
          <w:smallCaps w:val="0"/>
          <w:color w:val="000000" w:themeColor="text1"/>
          <w:lang w:eastAsia="zh-CN"/>
          <w14:textFill>
            <w14:solidFill>
              <w14:schemeClr w14:val="tx1"/>
            </w14:solidFill>
          </w14:textFill>
        </w:rPr>
        <w:t>分</w:t>
      </w:r>
      <w:r>
        <w:rPr>
          <w:rFonts w:ascii="Times New Roman" w:hAnsi="Times New Roman" w:cs="Times New Roman" w:eastAsiaTheme="minorEastAsia"/>
          <w:caps w:val="0"/>
          <w:smallCaps w:val="0"/>
          <w:color w:val="000000" w:themeColor="text1"/>
          <w14:textFill>
            <w14:solidFill>
              <w14:schemeClr w14:val="tx1"/>
            </w14:solidFill>
          </w14:textFill>
        </w:rPr>
        <w:t>析</w:t>
      </w:r>
    </w:p>
    <w:p>
      <w:pPr>
        <w:pStyle w:val="7"/>
        <w:rPr>
          <w:rFonts w:ascii="Times New Roman" w:hAnsi="Times New Roman" w:cs="Times New Roman" w:eastAsiaTheme="minorEastAsia"/>
          <w:caps w:val="0"/>
          <w:smallCaps w:val="0"/>
          <w:color w:val="000000" w:themeColor="text1"/>
          <w:u w:val="single"/>
          <w14:textFill>
            <w14:solidFill>
              <w14:schemeClr w14:val="tx1"/>
            </w14:solidFill>
          </w14:textFill>
        </w:rPr>
      </w:pPr>
      <w:r>
        <w:rPr>
          <w:rFonts w:ascii="Times New Roman" w:hAnsi="Times New Roman" w:cs="Times New Roman" w:eastAsiaTheme="minorEastAsia"/>
          <w:caps w:val="0"/>
          <w:smallCaps w:val="0"/>
          <w:color w:val="000000" w:themeColor="text1"/>
          <w:u w:val="single"/>
          <w14:textFill>
            <w14:solidFill>
              <w14:schemeClr w14:val="tx1"/>
            </w14:solidFill>
          </w14:textFill>
        </w:rPr>
        <w:t>施工期</w:t>
      </w:r>
      <w:r>
        <w:rPr>
          <w:rFonts w:hint="eastAsia" w:ascii="Times New Roman" w:hAnsi="Times New Roman" w:cs="Times New Roman" w:eastAsiaTheme="minorEastAsia"/>
          <w:caps w:val="0"/>
          <w:smallCaps w:val="0"/>
          <w:color w:val="000000" w:themeColor="text1"/>
          <w:u w:val="single"/>
          <w:lang w:eastAsia="zh-CN"/>
          <w14:textFill>
            <w14:solidFill>
              <w14:schemeClr w14:val="tx1"/>
            </w14:solidFill>
          </w14:textFill>
        </w:rPr>
        <w:t>对长江江豚的</w:t>
      </w:r>
      <w:r>
        <w:rPr>
          <w:rFonts w:ascii="Times New Roman" w:hAnsi="Times New Roman" w:cs="Times New Roman" w:eastAsiaTheme="minorEastAsia"/>
          <w:caps w:val="0"/>
          <w:smallCaps w:val="0"/>
          <w:color w:val="000000" w:themeColor="text1"/>
          <w:u w:val="single"/>
          <w14:textFill>
            <w14:solidFill>
              <w14:schemeClr w14:val="tx1"/>
            </w14:solidFill>
          </w14:textFill>
        </w:rPr>
        <w:t>影响</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长江江豚活动范围较大，不同季节可能在不同江段的不同区域或者长江干支流间迁移洄游。根据近年来相关单位对洞庭湖长江江豚的研究及本单位2021年以来在洞庭湖对长江江豚的调查，保护区长江江豚重要栖息地主要分布在东洞庭湖扁山-鲶鱼口敞水区，工程所在的磊石至营田镇江段分布相对较少，工程区附近偶有出现。</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本工程在施工期间对江豚的影响主要包括施工噪声、水下作业噪音和水下施工作业悬浮物。根据江豚的生活习性分析，噪音污染会在一定程度上改变江豚在该江段的游走方向和分布，但不会导致个体死亡，对其资源量不会产生影响。施工产生的悬浮物，对活动在施工下游的江豚会有暂时的影响，但由于污染物浓度增加不多且沉降速度较快，江豚具有灵敏的主动回避行为，水下施工作业产生的悬浮物对江豚造成的影响是短暂的、有限的。</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1）栖息地影响评价结合长江江豚习性、工程区附近流态以及本次调查结果，码头所在地不占用江豚的主要栖息地。根据本次调查结果和历史研究，码头对岸1km处偶有江豚出现，由于码头占用岸线长度较短，且江豚有灵活的主动回避能力，因此本码头的提质改造项目施工期对江豚的影响较小。</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2）觅食影响长江江豚主要以小型鱼类为食，如鲤、黄尾鲴、鲫、短颌鲚、鲇、䱗、鲢、鳊、草鱼等在江豚的胃中都有发现。工程施工产生的悬浮泥沙会对鱼卵、仔稚鱼和幼体会造成伤害，鱼类资源有一定程度减少，从而也影响了江豚的食物来源，导致其食物来源获得性降低。饵料的减少会增加江豚的捕食难度，从而降低抵御危险的能力，另外饵料的短缺还会影响江豚的正常繁殖。工程施工改变了江段鱼类的暂时空间分布，由于工程影响范围较小，且工期短，因此对长江江豚饵料资源的影响较小。</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3）抚幼行为影响评价施工期，码头打桩噪声可能会干扰长江江豚抚幼活动。打桩噪声为低频、高声源级的脉冲信号，其主要能量的频带一般在1kHz以下，打桩噪声的声源级SPLp-p（峰值-峰值声压级）与SELcum（累积声暴露级）均大于200dBre1µPa。在距打桩点50m范围内，打桩噪声很可能会引起长江江豚暂时性听觉阈移（TTS）；根据《打桩水下噪声对长江江豚影响初探》[15]，在距打桩点362m处的打桩噪声仍明显高于背景噪声，很可能掩蔽动物的目标信号、干扰失散的幼豚寻找母豚。</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根据江豚繁殖生物学特征，刚出生的幼豚通常跟随母豚活动在弯曲河道边滩河洲头浅水区。根据湖南水产研究所王崇瑞等2012年6月-2017年12月在东洞庭湖的调查结果，本工程所在的磊石至营田镇河段不是长江江豚的主要栖息地。2021年本次现场调查发现，工程所在水域长江岸线较平直，来往船舶数量较多，受人为干扰较大，上下游附近3-5km范围内均为码头，水生生物不够丰富，不是长江江豚典型的适宜栖息生境，长江江豚在附近洲滩进行抚育活动的概率较小，因此施工期对长江江豚抚幼行为影响较小。</w:t>
      </w:r>
    </w:p>
    <w:p>
      <w:pPr>
        <w:bidi w:val="0"/>
        <w:rPr>
          <w:rFonts w:ascii="Times New Roman" w:hAnsi="Times New Roman" w:cs="Times New Roman"/>
          <w:caps w:val="0"/>
          <w:smallCaps w:val="0"/>
          <w:u w:val="single"/>
        </w:rPr>
      </w:pPr>
      <w:r>
        <w:rPr>
          <w:rFonts w:ascii="Times New Roman" w:hAnsi="Times New Roman" w:cs="Times New Roman"/>
          <w:caps w:val="0"/>
          <w:smallCaps w:val="0"/>
          <w:u w:val="single"/>
        </w:rPr>
        <w:t>（4）长江江豚迁移和散布影响评价江豚的迁移行为与鱼类资源的季节性分布有关，也存在季节性江湖迁移行为。</w:t>
      </w:r>
    </w:p>
    <w:p>
      <w:pPr>
        <w:pStyle w:val="2"/>
        <w:spacing w:before="57" w:line="349" w:lineRule="auto"/>
        <w:ind w:right="239"/>
        <w:jc w:val="left"/>
        <w:rPr>
          <w:rFonts w:ascii="Times New Roman" w:hAnsi="Times New Roman" w:cs="Times New Roman"/>
          <w:caps w:val="0"/>
          <w:smallCaps w:val="0"/>
        </w:rPr>
      </w:pPr>
      <w:r>
        <w:rPr>
          <w:rFonts w:ascii="Times New Roman" w:hAnsi="Times New Roman" w:cs="Times New Roman"/>
          <w:caps w:val="0"/>
          <w:smallCaps w:val="0"/>
          <w:u w:val="single"/>
        </w:rPr>
        <w:t>根据营田段长江江豚数量和分布来看，工程区长江江豚偶见。工程所在区域为近岸水域，离岸约150m，工程处横截面宽为1.1km，工程并不阻碍江豚的迁移。</w:t>
      </w:r>
    </w:p>
    <w:p>
      <w:pPr>
        <w:pStyle w:val="7"/>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运营期对长江江豚的影响</w:t>
      </w:r>
    </w:p>
    <w:p>
      <w:pPr>
        <w:pStyle w:val="2"/>
        <w:spacing w:before="25" w:line="340" w:lineRule="auto"/>
        <w:ind w:right="119"/>
        <w:jc w:val="left"/>
        <w:rPr>
          <w:rFonts w:ascii="Times New Roman" w:hAnsi="Times New Roman" w:cs="Times New Roman"/>
          <w:caps w:val="0"/>
          <w:smallCaps w:val="0"/>
        </w:rPr>
      </w:pPr>
      <w:r>
        <w:rPr>
          <w:rFonts w:ascii="Times New Roman" w:hAnsi="Times New Roman" w:cs="Times New Roman"/>
          <w:caps w:val="0"/>
          <w:smallCaps w:val="0"/>
        </w:rPr>
        <w:t>（</w:t>
      </w:r>
      <w:r>
        <w:rPr>
          <w:rFonts w:ascii="Times New Roman" w:hAnsi="Times New Roman" w:eastAsia="Times New Roman" w:cs="Times New Roman"/>
          <w:caps w:val="0"/>
          <w:smallCaps w:val="0"/>
        </w:rPr>
        <w:t>1</w:t>
      </w:r>
      <w:r>
        <w:rPr>
          <w:rFonts w:ascii="Times New Roman" w:hAnsi="Times New Roman" w:cs="Times New Roman"/>
          <w:caps w:val="0"/>
          <w:smallCaps w:val="0"/>
        </w:rPr>
        <w:t>）对长江江豚迁移和散布的影响运行期</w:t>
      </w:r>
      <w:r>
        <w:rPr>
          <w:rFonts w:ascii="Times New Roman" w:hAnsi="Times New Roman" w:cs="Times New Roman"/>
          <w:caps w:val="0"/>
          <w:smallCaps w:val="0"/>
          <w:spacing w:val="-60"/>
        </w:rPr>
        <w:t>，</w:t>
      </w:r>
      <w:r>
        <w:rPr>
          <w:rFonts w:ascii="Times New Roman" w:hAnsi="Times New Roman" w:cs="Times New Roman"/>
          <w:caps w:val="0"/>
          <w:smallCaps w:val="0"/>
        </w:rPr>
        <w:t>船舶航行噪声将干扰江豚迁移活动</w:t>
      </w:r>
      <w:r>
        <w:rPr>
          <w:rFonts w:ascii="Times New Roman" w:hAnsi="Times New Roman" w:cs="Times New Roman"/>
          <w:caps w:val="0"/>
          <w:smallCaps w:val="0"/>
          <w:spacing w:val="-60"/>
        </w:rPr>
        <w:t>，</w:t>
      </w:r>
      <w:r>
        <w:rPr>
          <w:rFonts w:ascii="Times New Roman" w:hAnsi="Times New Roman" w:cs="Times New Roman"/>
          <w:caps w:val="0"/>
          <w:smallCaps w:val="0"/>
        </w:rPr>
        <w:t>大型船舶枯水期经过工程江段时</w:t>
      </w:r>
      <w:r>
        <w:rPr>
          <w:rFonts w:hint="eastAsia" w:ascii="Times New Roman" w:hAnsi="Times New Roman" w:cs="Times New Roman"/>
          <w:caps w:val="0"/>
          <w:smallCaps w:val="0"/>
          <w:lang w:eastAsia="zh-CN"/>
        </w:rPr>
        <w:t>，</w:t>
      </w:r>
      <w:r>
        <w:rPr>
          <w:rFonts w:ascii="Times New Roman" w:hAnsi="Times New Roman" w:cs="Times New Roman"/>
          <w:caps w:val="0"/>
          <w:smallCaps w:val="0"/>
        </w:rPr>
        <w:t>将对工程江段的长江江豚造成干扰。同时，幼年江豚声呐系统尚未发育完善，易收到来往船舶航行噪声的干扰，导致幼豚和母豚失散，也更容易遭螺旋桨击毙，经常</w:t>
      </w:r>
      <w:r>
        <w:rPr>
          <w:rFonts w:ascii="Times New Roman" w:hAnsi="Times New Roman" w:cs="Times New Roman"/>
          <w:caps w:val="0"/>
          <w:smallCaps w:val="0"/>
          <w:spacing w:val="2"/>
        </w:rPr>
        <w:t>受船舶尾浪冲击搁浅受伤。多数情况下，长江江豚选择水深</w:t>
      </w:r>
      <w:r>
        <w:rPr>
          <w:rFonts w:ascii="Times New Roman" w:hAnsi="Times New Roman" w:eastAsia="Times New Roman" w:cs="Times New Roman"/>
          <w:caps w:val="0"/>
          <w:smallCaps w:val="0"/>
          <w:spacing w:val="-1"/>
        </w:rPr>
        <w:t>3-6m</w:t>
      </w:r>
      <w:r>
        <w:rPr>
          <w:rFonts w:ascii="Times New Roman" w:hAnsi="Times New Roman" w:cs="Times New Roman"/>
          <w:caps w:val="0"/>
          <w:smallCaps w:val="0"/>
          <w:spacing w:val="2"/>
        </w:rPr>
        <w:t>分离区觅食和抚</w:t>
      </w:r>
      <w:r>
        <w:rPr>
          <w:rFonts w:ascii="Times New Roman" w:hAnsi="Times New Roman" w:cs="Times New Roman"/>
          <w:caps w:val="0"/>
          <w:smallCaps w:val="0"/>
          <w:spacing w:val="1"/>
        </w:rPr>
        <w:t>育活动，江豚在上行船舶之间避让的空间不足</w:t>
      </w:r>
      <w:r>
        <w:rPr>
          <w:rFonts w:ascii="Times New Roman" w:hAnsi="Times New Roman" w:eastAsia="Times New Roman" w:cs="Times New Roman"/>
          <w:caps w:val="0"/>
          <w:smallCaps w:val="0"/>
        </w:rPr>
        <w:t>3m</w:t>
      </w:r>
      <w:r>
        <w:rPr>
          <w:rFonts w:ascii="Times New Roman" w:hAnsi="Times New Roman" w:cs="Times New Roman"/>
          <w:caps w:val="0"/>
          <w:smallCaps w:val="0"/>
          <w:spacing w:val="1"/>
        </w:rPr>
        <w:t>水深，江豚受干扰后，可以短暂</w:t>
      </w:r>
      <w:r>
        <w:rPr>
          <w:rFonts w:ascii="Times New Roman" w:hAnsi="Times New Roman" w:cs="Times New Roman"/>
          <w:caps w:val="0"/>
          <w:smallCaps w:val="0"/>
        </w:rPr>
        <w:t>逃到干流深水区，但为了觅食必须返回分离区，特别是饥饿状态下，江豚会选择在穿梭不息上行船之间觅食，其觅食风险增加。</w:t>
      </w:r>
    </w:p>
    <w:p>
      <w:pPr>
        <w:pStyle w:val="2"/>
        <w:bidi w:val="0"/>
        <w:rPr>
          <w:rFonts w:ascii="Times New Roman" w:hAnsi="Times New Roman" w:cs="Times New Roman"/>
          <w:caps w:val="0"/>
          <w:smallCaps w:val="0"/>
        </w:rPr>
      </w:pPr>
      <w:r>
        <w:rPr>
          <w:rFonts w:ascii="Times New Roman" w:hAnsi="Times New Roman" w:cs="Times New Roman"/>
          <w:caps w:val="0"/>
          <w:smallCaps w:val="0"/>
        </w:rPr>
        <w:t>此外，江豚发出一串脉冲后，往往要保持5秒的静默期，向前游动约20m，若运营期船舶数量多，密度过大，容易在静默期被撞伤。运行期仅船舶吨位增加，船舶数量增加不明显，且本工程所在水域不为长江江豚栖息地，所在水域水面宽阔，长江江豚可活动区域大，长江江豚能够有效的避开船舶影响区域，其对长江江豚的影响可控。</w:t>
      </w:r>
    </w:p>
    <w:p>
      <w:pPr>
        <w:pStyle w:val="2"/>
        <w:bidi w:val="0"/>
        <w:rPr>
          <w:rFonts w:ascii="Times New Roman" w:hAnsi="Times New Roman" w:cs="Times New Roman"/>
          <w:caps w:val="0"/>
          <w:smallCaps w:val="0"/>
        </w:rPr>
      </w:pPr>
      <w:r>
        <w:rPr>
          <w:rFonts w:ascii="Times New Roman" w:hAnsi="Times New Roman" w:cs="Times New Roman"/>
          <w:caps w:val="0"/>
          <w:smallCaps w:val="0"/>
        </w:rPr>
        <w:t>（2）机械伤害江豚是主要依赖于声信号进行捕食和个体交流的物种，其声呐系统极易受到船</w:t>
      </w:r>
    </w:p>
    <w:p>
      <w:pPr>
        <w:pStyle w:val="2"/>
        <w:bidi w:val="0"/>
        <w:rPr>
          <w:rFonts w:ascii="Times New Roman" w:hAnsi="Times New Roman" w:cs="Times New Roman"/>
          <w:caps w:val="0"/>
          <w:smallCaps w:val="0"/>
        </w:rPr>
      </w:pPr>
      <w:r>
        <w:rPr>
          <w:rFonts w:ascii="Times New Roman" w:hAnsi="Times New Roman" w:cs="Times New Roman"/>
          <w:caps w:val="0"/>
          <w:smallCaps w:val="0"/>
        </w:rPr>
        <w:t>舶机械噪声干扰，造成被船舶螺旋桨打伤击毙的机会增多。1998年4月18日，在长江界碑江段发现一头被螺旋桨打死的江豚。据统计，1998-2002年在长江新螺段内发现的死亡江豚中，被螺旋桨打死的占33.33%。多数情况下，长江江豚选择水深3-6m分离区觅食与抚幼活动，江豚在上行船舶之间避让的空间不足3m水深。江豚受干扰后，可以短暂逃避到干流深水中，但未能觅食必须返回分离区，特别是饥饿状态下，江豚会选择在穿梭不息上行船之间觅食。根据《江西鄱阳湖湖口水域船舶通行对长江江豚发声行为的影响》[17]，在江西鄱阳湖湖口水域船舶通行对长江江豚发声行为的影响研究中，船舶和长江江豚出现存在弱的负相关关系，船舶经过时狭窄水域中的江豚躲避船舶干扰可能采取一种“临时性”策略。</w:t>
      </w:r>
    </w:p>
    <w:p>
      <w:pPr>
        <w:pStyle w:val="2"/>
        <w:bidi w:val="0"/>
        <w:rPr>
          <w:rFonts w:ascii="Times New Roman" w:hAnsi="Times New Roman" w:cs="Times New Roman"/>
          <w:caps w:val="0"/>
          <w:smallCaps w:val="0"/>
        </w:rPr>
      </w:pPr>
      <w:r>
        <w:rPr>
          <w:rFonts w:ascii="Times New Roman" w:hAnsi="Times New Roman" w:cs="Times New Roman"/>
          <w:caps w:val="0"/>
          <w:smallCaps w:val="0"/>
        </w:rPr>
        <w:t>已有研究表明，长江江豚对船舶噪声有主动躲避行为，比如，船舶出现与长江江豚出现存在负相关关系，在船舶航行轨迹的0~50m垂直距离范围内，通常难以观察到江豚，而在50~100m范围内却能观察到江豚。尽管长江江豚能主动避船，但在某些特殊情形下，仍容易被航行船舶伤害，比如在捕食时，长江江豚容易不理会船舶靠近；在相对狭窄的水道内，高速船舶突然接近时，长江江豚无处躲避或难以在短时间内逃离到安全距离之外。如果营运期内船舶航运量密度过高，船舶之间的距离在200m以内，会对长江江豚产生一定的影响。因此，需控制到港船舶之间的距离，便于长江江豚及时躲避。施工期采取施工期保护观察和现场临时救护策略，运营期在提出长江江豚监测、设置长江江豚水下声学监测点，并进行船舶航行控制后，可缓解工程带来的影响。</w:t>
      </w:r>
    </w:p>
    <w:p>
      <w:pPr>
        <w:pStyle w:val="2"/>
        <w:bidi w:val="0"/>
        <w:rPr>
          <w:rFonts w:ascii="Times New Roman" w:hAnsi="Times New Roman" w:cs="Times New Roman"/>
          <w:caps w:val="0"/>
          <w:smallCaps w:val="0"/>
        </w:rPr>
      </w:pPr>
      <w:r>
        <w:rPr>
          <w:rFonts w:ascii="Times New Roman" w:hAnsi="Times New Roman" w:cs="Times New Roman"/>
          <w:caps w:val="0"/>
          <w:smallCaps w:val="0"/>
        </w:rPr>
        <w:t>根据岳阳市洞庭湖江豚保护中心提供的船舶流量统计数据，2021年工程所在江段湘江岳阳汨罗段船舶日流量为196艘，船舶类型为货船为主，其中上行88艘，下行108艘，来往船舶机械伤害将对长江江豚产生一定影响。根据海丰码头近年到港船型统计数据，目前到港沥青运输船舶主要由1000t/2000t级船舶构成，丰水期极少数船舶达到3000t级，船舶大型化趋势明显。码头营运后，仅船舶吨位增加，船舶数量增加不明显。根据海丰物流码头现有运量，每年到港船舶数约20多条，到港船舶数较少，对江豚的影响较小。</w:t>
      </w:r>
    </w:p>
    <w:p>
      <w:pPr>
        <w:pStyle w:val="6"/>
        <w:bidi w:val="0"/>
        <w:rPr>
          <w:rFonts w:ascii="Times New Roman" w:hAnsi="Times New Roman" w:cs="Times New Roman"/>
          <w:caps w:val="0"/>
          <w:smallCaps w:val="0"/>
          <w:u w:val="single"/>
        </w:rPr>
      </w:pPr>
      <w:r>
        <w:rPr>
          <w:rFonts w:ascii="Times New Roman" w:hAnsi="Times New Roman" w:cs="Times New Roman"/>
          <w:caps w:val="0"/>
          <w:smallCaps w:val="0"/>
          <w:u w:val="single"/>
        </w:rPr>
        <w:t>对湖南省重点保护野生水生动物的影响</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列入《湖南省地方重点保护野生动物名录》的有9种，分别为太湖新银鱼、洞庭小鳔鮈、湘江蛇鮈、胡子鮎、长体鳜、月鳢、叉尾斗鱼、中华圆田螺、三型矛蚌。</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本工程为旧有码头改造工程，原码头所在水域长江岸线固化，不为鱼类的产卵场和索饵场，且水生生物分布较少。本工程在疏浚、抛石、打桩等施工过程中，可能对太湖新银鱼、洞庭小鳔鮈、湘江蛇鮈、胡子鮎、长体鳜、月鳢、叉尾斗鱼产生一定干扰，造成这些湖南省重点保护野生鱼类的主动回避，只在一定程度上影响鱼类的空间分布。</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本工程疏浚、抛石、打桩等施工过程中可能对该水域范围内的中华圆田螺、三型矛蚌等底栖动物产生直接破坏。根据现场调查，本次调查中在评价范围内未调查到，根据资料显示，这2种底栖动物在保护区江段有一定资源量，工程施工期可能对其产生一定影响，在采取增殖放流措施后可在一定程度减缓此影响。</w:t>
      </w:r>
    </w:p>
    <w:p>
      <w:pPr>
        <w:pStyle w:val="6"/>
        <w:bidi w:val="0"/>
        <w:rPr>
          <w:rFonts w:ascii="Times New Roman" w:hAnsi="Times New Roman" w:cs="Times New Roman"/>
          <w:caps w:val="0"/>
          <w:smallCaps w:val="0"/>
        </w:rPr>
      </w:pPr>
      <w:r>
        <w:rPr>
          <w:rFonts w:ascii="Times New Roman" w:hAnsi="Times New Roman" w:cs="Times New Roman"/>
          <w:caps w:val="0"/>
          <w:smallCaps w:val="0"/>
          <w:w w:val="95"/>
        </w:rPr>
        <w:t>对水生生物资源的影响预测与分析</w:t>
      </w:r>
    </w:p>
    <w:p>
      <w:pPr>
        <w:pStyle w:val="7"/>
        <w:bidi w:val="0"/>
        <w:rPr>
          <w:rFonts w:ascii="Times New Roman" w:hAnsi="Times New Roman" w:cs="Times New Roman"/>
          <w:caps w:val="0"/>
          <w:smallCaps w:val="0"/>
        </w:rPr>
      </w:pPr>
      <w:r>
        <w:rPr>
          <w:rFonts w:ascii="Times New Roman" w:hAnsi="Times New Roman" w:cs="Times New Roman"/>
          <w:caps w:val="0"/>
          <w:smallCaps w:val="0"/>
        </w:rPr>
        <w:t>对鱼类等水生生物区系、种群结构、资源组成的影响</w:t>
      </w:r>
    </w:p>
    <w:p>
      <w:pPr>
        <w:pStyle w:val="2"/>
        <w:bidi w:val="0"/>
        <w:rPr>
          <w:rFonts w:hint="eastAsia" w:ascii="Times New Roman" w:hAnsi="Times New Roman" w:eastAsia="宋体" w:cs="Times New Roman"/>
          <w:caps w:val="0"/>
          <w:smallCaps w:val="0"/>
          <w:u w:val="single"/>
          <w:lang w:val="en-US" w:eastAsia="zh-CN"/>
        </w:rPr>
      </w:pPr>
      <w:r>
        <w:rPr>
          <w:rFonts w:hint="eastAsia" w:ascii="Times New Roman" w:hAnsi="Times New Roman" w:cs="Times New Roman"/>
          <w:caps w:val="0"/>
          <w:smallCaps w:val="0"/>
          <w:u w:val="single"/>
          <w:lang w:val="en-US" w:eastAsia="zh-CN"/>
        </w:rPr>
        <w:t>1、施工期</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本工程水工建筑有趸船及附属设施组成。海丰物流码头水工建筑物桩基在保护区内的占地为17.4m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，投影面积为1098.85m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。施工期主要有抛石护坡、桩基施工、疏浚等施工活动会对水生生物造成影响。</w:t>
      </w:r>
    </w:p>
    <w:p>
      <w:pPr>
        <w:pStyle w:val="2"/>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eastAsia="zh-CN"/>
        </w:rPr>
        <w:t>①</w:t>
      </w:r>
      <w:r>
        <w:rPr>
          <w:rFonts w:ascii="Times New Roman" w:hAnsi="Times New Roman" w:cs="Times New Roman"/>
          <w:caps w:val="0"/>
          <w:smallCaps w:val="0"/>
          <w:u w:val="single"/>
        </w:rPr>
        <w:t>施工产生的噪声对鱼类的影响趸船及附属设施安装的船舶作业噪声对施工区鱼类产生惊吓效果，不会对鱼类造成明显的伤害或导致其死亡。</w:t>
      </w:r>
    </w:p>
    <w:p>
      <w:pPr>
        <w:pStyle w:val="2"/>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eastAsia="zh-CN"/>
        </w:rPr>
        <w:t>②</w:t>
      </w:r>
      <w:r>
        <w:rPr>
          <w:rFonts w:ascii="Times New Roman" w:hAnsi="Times New Roman" w:cs="Times New Roman"/>
          <w:caps w:val="0"/>
          <w:smallCaps w:val="0"/>
          <w:u w:val="single"/>
        </w:rPr>
        <w:t>施工产生的废水对鱼类的影响施工期间废水主要来自生产和生活，包括机修间含油废水、冲洗废水和生活污水等；施工期因水质污染对鱼类、浮游植物及底栖动物等有一定不利影响，但由于施工期较短，且为点状施工，影响程度不大。</w:t>
      </w:r>
    </w:p>
    <w:p>
      <w:pPr>
        <w:pStyle w:val="2"/>
        <w:bidi w:val="0"/>
        <w:rPr>
          <w:rFonts w:ascii="Times New Roman" w:hAnsi="Times New Roman" w:cs="Times New Roman"/>
          <w:caps w:val="0"/>
          <w:smallCaps w:val="0"/>
        </w:rPr>
      </w:pPr>
      <w:r>
        <w:rPr>
          <w:rFonts w:hint="eastAsia" w:ascii="Times New Roman" w:hAnsi="Times New Roman" w:cs="Times New Roman"/>
          <w:caps w:val="0"/>
          <w:smallCaps w:val="0"/>
          <w:u w:val="single"/>
          <w:lang w:eastAsia="zh-CN"/>
        </w:rPr>
        <w:t>③</w:t>
      </w:r>
      <w:r>
        <w:rPr>
          <w:rFonts w:ascii="Times New Roman" w:hAnsi="Times New Roman" w:cs="Times New Roman"/>
          <w:caps w:val="0"/>
          <w:smallCaps w:val="0"/>
          <w:u w:val="single"/>
        </w:rPr>
        <w:t>施工产生的悬浮物对鱼类的影响疏浚、水下抛石等施工活动，将会使岸边一定范围水域悬浮物浓度的增加，影响栖息在该区域鱼类的正常生长。有研究表明，水下抛石等施工产生的悬浮泥沙会对鱼卵、仔稚鱼和幼体会造成伤害，主要表现为影响胚胎发育、堵塞生物的腮部造成窒息死亡，悬浮物沉积造成水体缺氧而导致死亡等，从而导致保护区工程区域江段鱼类数量的减少，尤其对于喜好清洁的流水环境的鱼类，如长吻鮠、铜鱼、胭脂鱼等。</w:t>
      </w:r>
    </w:p>
    <w:p>
      <w:pPr>
        <w:pStyle w:val="2"/>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2、营运期</w:t>
      </w:r>
    </w:p>
    <w:p>
      <w:pPr>
        <w:pStyle w:val="2"/>
        <w:bidi w:val="0"/>
        <w:rPr>
          <w:rFonts w:ascii="Times New Roman" w:hAnsi="Times New Roman" w:cs="Times New Roman"/>
          <w:caps w:val="0"/>
          <w:smallCaps w:val="0"/>
        </w:rPr>
      </w:pPr>
      <w:r>
        <w:rPr>
          <w:rFonts w:ascii="Times New Roman" w:hAnsi="Times New Roman" w:cs="Times New Roman"/>
          <w:caps w:val="0"/>
          <w:smallCaps w:val="0"/>
        </w:rPr>
        <w:t>根据海丰码头近年到港船型统计数据，目前到港沥青运输船舶主要由</w:t>
      </w: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000t/2000t级船舶构成，丰水期极少数船舶达到3000t级，船舶大型化趋势明显。码头营运后，仅船舶吨位增加，目前长江上船舶大型化，船舶数量增加不明显。根据海丰物流码头现有运量，每年到港船舶数约20多条，到港船舶数较少。</w:t>
      </w:r>
    </w:p>
    <w:p>
      <w:pPr>
        <w:pStyle w:val="2"/>
        <w:bidi w:val="0"/>
        <w:rPr>
          <w:rFonts w:ascii="Times New Roman" w:hAnsi="Times New Roman" w:cs="Times New Roman"/>
          <w:caps w:val="0"/>
          <w:smallCaps w:val="0"/>
        </w:rPr>
      </w:pPr>
      <w:r>
        <w:rPr>
          <w:rFonts w:ascii="Times New Roman" w:hAnsi="Times New Roman" w:cs="Times New Roman"/>
          <w:caps w:val="0"/>
          <w:smallCaps w:val="0"/>
        </w:rPr>
        <w:t>营运期主要为船舶废水及码头面雨水、冲洗废水排放的影响。营运期由于船舶舱底含油污水，雨污水含沥青，若直接排入保护区，则会直接产生污染；同时船上工作人员的生活污水若直接排放，也会对该区域产生影响，从而对保护区的水质造成破坏。更新改造工程后雨水收集系统将明显改善船舶含沥青水及油污水随雨水进入保护区的状况。</w:t>
      </w:r>
    </w:p>
    <w:p>
      <w:pPr>
        <w:pStyle w:val="7"/>
        <w:bidi w:val="0"/>
        <w:rPr>
          <w:rFonts w:ascii="Times New Roman" w:hAnsi="Times New Roman" w:cs="Times New Roman"/>
          <w:caps w:val="0"/>
          <w:smallCaps w:val="0"/>
          <w:u w:val="single"/>
        </w:rPr>
      </w:pPr>
      <w:r>
        <w:rPr>
          <w:rFonts w:ascii="Times New Roman" w:hAnsi="Times New Roman" w:cs="Times New Roman"/>
          <w:caps w:val="0"/>
          <w:smallCaps w:val="0"/>
          <w:u w:val="single"/>
        </w:rPr>
        <w:t>对鱼类等水生生物繁殖、索饵、越冬的影响预测与分析</w:t>
      </w:r>
    </w:p>
    <w:p>
      <w:pPr>
        <w:pStyle w:val="2"/>
        <w:bidi w:val="0"/>
        <w:rPr>
          <w:rFonts w:hint="eastAsia" w:ascii="Times New Roman" w:hAnsi="Times New Roman" w:cs="Times New Roman"/>
          <w:caps w:val="0"/>
          <w:smallCaps w:val="0"/>
          <w:u w:val="single"/>
          <w:lang w:val="en-US" w:eastAsia="zh-CN"/>
        </w:rPr>
      </w:pPr>
      <w:bookmarkStart w:id="111" w:name="5.3.2.1对产卵场的影响"/>
      <w:bookmarkEnd w:id="111"/>
      <w:r>
        <w:rPr>
          <w:rFonts w:hint="eastAsia" w:ascii="Times New Roman" w:hAnsi="Times New Roman" w:cs="Times New Roman"/>
          <w:caps w:val="0"/>
          <w:smallCaps w:val="0"/>
          <w:u w:val="single"/>
          <w:lang w:val="en-US" w:eastAsia="zh-CN"/>
        </w:rPr>
        <w:t>1、对产卵场的影响</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根据现场调查，本工程为提质改造技改工程，原有老码头沿岸固化，码头附近几公里均有码头分布，沿岸岸线固化，受人为干扰较大，无水生植物分布，工程河段不存在鱼类产卵场，距海丰物流码头提质改造项目最近的产粘性卵鱼类产卵场为工程下游9km处。由于本施工水域距离产卵场较远，工程的施工及运行对该类型产卵场几乎无影响。</w:t>
      </w:r>
    </w:p>
    <w:p>
      <w:pPr>
        <w:pStyle w:val="2"/>
        <w:bidi w:val="0"/>
        <w:rPr>
          <w:rFonts w:hint="eastAsia" w:ascii="Times New Roman" w:hAnsi="Times New Roman" w:cs="Times New Roman"/>
          <w:caps w:val="0"/>
          <w:smallCaps w:val="0"/>
          <w:u w:val="single"/>
          <w:lang w:val="en-US" w:eastAsia="zh-CN"/>
        </w:rPr>
      </w:pPr>
      <w:bookmarkStart w:id="112" w:name="5.3.2.2对索饵场的影响"/>
      <w:bookmarkEnd w:id="112"/>
      <w:r>
        <w:rPr>
          <w:rFonts w:hint="eastAsia" w:ascii="Times New Roman" w:hAnsi="Times New Roman" w:cs="Times New Roman"/>
          <w:caps w:val="0"/>
          <w:smallCaps w:val="0"/>
          <w:u w:val="single"/>
          <w:lang w:val="en-US" w:eastAsia="zh-CN"/>
        </w:rPr>
        <w:t>2、对索饵场的影响</w:t>
      </w:r>
    </w:p>
    <w:p>
      <w:pPr>
        <w:pStyle w:val="2"/>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主要经济鱼类索饵场一般跟产卵场分布重叠。根据现场调查，本工程为提质改造技改工程，原有老码头沿岸固化，码头附近几公里均有码头分布，沿岸岸线固化，受人为干扰较大，无水生植物分布，工程河段不存在鱼类索饵场，因此，工程施工几乎不会对该处索饵场的功能产生影响。</w:t>
      </w:r>
    </w:p>
    <w:p>
      <w:pPr>
        <w:pStyle w:val="2"/>
        <w:bidi w:val="0"/>
        <w:rPr>
          <w:rFonts w:hint="eastAsia" w:ascii="Times New Roman" w:hAnsi="Times New Roman" w:cs="Times New Roman"/>
          <w:caps w:val="0"/>
          <w:smallCaps w:val="0"/>
          <w:u w:val="single"/>
          <w:lang w:val="en-US" w:eastAsia="zh-CN"/>
        </w:rPr>
      </w:pPr>
      <w:bookmarkStart w:id="113" w:name="5.3.2.3对越冬场的影响"/>
      <w:bookmarkEnd w:id="113"/>
      <w:r>
        <w:rPr>
          <w:rFonts w:hint="eastAsia" w:ascii="Times New Roman" w:hAnsi="Times New Roman" w:cs="Times New Roman"/>
          <w:caps w:val="0"/>
          <w:smallCaps w:val="0"/>
          <w:u w:val="single"/>
          <w:lang w:val="en-US" w:eastAsia="zh-CN"/>
        </w:rPr>
        <w:t>3、对越冬场的影响</w:t>
      </w:r>
    </w:p>
    <w:p>
      <w:pPr>
        <w:pStyle w:val="2"/>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鱼类越冬场主要集中在干流的河床深处或坑穴中，工程在长江沿岸施工，不占用鱼类越冬场。施工期对鱼类的影响最主要的是施工期产生的船舶噪音，施工噪音将对施工区鱼类产生惊吓效果，鱼类会产生本能的回避反应，在远离施工区域较远的深水水域越冬。</w:t>
      </w:r>
    </w:p>
    <w:p>
      <w:pPr>
        <w:pStyle w:val="2"/>
        <w:spacing w:before="34" w:line="360" w:lineRule="auto"/>
        <w:ind w:right="219" w:firstLine="480"/>
        <w:jc w:val="both"/>
        <w:rPr>
          <w:rFonts w:ascii="Times New Roman" w:hAnsi="Times New Roman" w:cs="Times New Roman"/>
          <w:caps w:val="0"/>
          <w:smallCaps w:val="0"/>
          <w:u w:val="single"/>
        </w:rPr>
      </w:pPr>
      <w:bookmarkStart w:id="114" w:name="5.3.2.4对洄游通道的影响"/>
      <w:bookmarkEnd w:id="114"/>
      <w:r>
        <w:rPr>
          <w:rFonts w:ascii="Times New Roman" w:hAnsi="Times New Roman" w:cs="Times New Roman"/>
          <w:caps w:val="0"/>
          <w:smallCaps w:val="0"/>
          <w:u w:val="single"/>
        </w:rPr>
        <w:t>4</w:t>
      </w:r>
      <w:r>
        <w:rPr>
          <w:rFonts w:hint="eastAsia" w:ascii="Times New Roman" w:hAnsi="Times New Roman" w:cs="Times New Roman"/>
          <w:caps w:val="0"/>
          <w:smallCaps w:val="0"/>
          <w:u w:val="single"/>
          <w:lang w:eastAsia="zh-CN"/>
        </w:rPr>
        <w:t>、</w:t>
      </w:r>
      <w:r>
        <w:rPr>
          <w:rFonts w:ascii="Times New Roman" w:hAnsi="Times New Roman" w:cs="Times New Roman"/>
          <w:caps w:val="0"/>
          <w:smallCaps w:val="0"/>
          <w:u w:val="single"/>
        </w:rPr>
        <w:t>对洄游通道的影响</w:t>
      </w:r>
    </w:p>
    <w:p>
      <w:pPr>
        <w:pStyle w:val="2"/>
        <w:spacing w:before="34" w:line="360" w:lineRule="auto"/>
        <w:ind w:right="219" w:firstLine="480"/>
        <w:jc w:val="both"/>
        <w:rPr>
          <w:rFonts w:ascii="Times New Roman" w:hAnsi="Times New Roman" w:cs="Times New Roman"/>
          <w:caps w:val="0"/>
          <w:smallCaps w:val="0"/>
        </w:rPr>
      </w:pPr>
      <w:r>
        <w:rPr>
          <w:rFonts w:ascii="Times New Roman" w:hAnsi="Times New Roman" w:cs="Times New Roman"/>
          <w:caps w:val="0"/>
          <w:smallCaps w:val="0"/>
          <w:u w:val="single"/>
        </w:rPr>
        <w:t>施工水域是许多重要水生动物的洄游通道，如“四大家鱼”等江河半洄游性鱼类，刀鲚等江海洄游性鱼类。在其洄游季节，施工作业产生的噪声、悬浮物等可能对其洄游行为产生影响。</w:t>
      </w:r>
    </w:p>
    <w:p>
      <w:pPr>
        <w:pStyle w:val="2"/>
        <w:spacing w:before="34" w:line="360" w:lineRule="auto"/>
        <w:ind w:right="219" w:firstLine="480"/>
        <w:jc w:val="both"/>
        <w:rPr>
          <w:rFonts w:ascii="Times New Roman" w:hAnsi="Times New Roman" w:cs="Times New Roman"/>
          <w:caps w:val="0"/>
          <w:smallCaps w:val="0"/>
        </w:rPr>
      </w:pPr>
      <w:r>
        <w:rPr>
          <w:rFonts w:ascii="Times New Roman" w:hAnsi="Times New Roman" w:cs="Times New Roman"/>
          <w:caps w:val="0"/>
          <w:smallCaps w:val="0"/>
        </w:rPr>
        <w:t>运营期内，船只进出码头的航行噪声会干扰和驱赶洄游鱼类，对水生生物的洄游造成一定影响，多数洄游鱼类会主动回避，对其影响较小。</w:t>
      </w:r>
    </w:p>
    <w:p>
      <w:pPr>
        <w:pStyle w:val="7"/>
        <w:bidi w:val="0"/>
        <w:rPr>
          <w:rFonts w:ascii="Times New Roman" w:hAnsi="Times New Roman" w:cs="Times New Roman"/>
          <w:caps w:val="0"/>
          <w:smallCaps w:val="0"/>
          <w:u w:val="single"/>
        </w:rPr>
      </w:pPr>
      <w:bookmarkStart w:id="115" w:name="_bookmark84"/>
      <w:bookmarkEnd w:id="115"/>
      <w:bookmarkStart w:id="116" w:name="5.3.3对饵料生物的影响预测与分析"/>
      <w:bookmarkEnd w:id="116"/>
      <w:r>
        <w:rPr>
          <w:rFonts w:ascii="Times New Roman" w:hAnsi="Times New Roman" w:cs="Times New Roman"/>
          <w:caps w:val="0"/>
          <w:smallCaps w:val="0"/>
          <w:u w:val="single"/>
        </w:rPr>
        <w:t>对饵料生物的影响预测与分析</w:t>
      </w:r>
    </w:p>
    <w:p>
      <w:pPr>
        <w:pStyle w:val="2"/>
        <w:spacing w:before="34" w:line="360" w:lineRule="auto"/>
        <w:ind w:right="219" w:firstLine="480"/>
        <w:jc w:val="both"/>
        <w:rPr>
          <w:rFonts w:ascii="Times New Roman" w:hAnsi="Times New Roman" w:cs="Times New Roman"/>
          <w:caps w:val="0"/>
          <w:smallCaps w:val="0"/>
          <w:u w:val="single"/>
        </w:rPr>
      </w:pPr>
      <w:bookmarkStart w:id="117" w:name="5.3.3.1对浮游植物的影响评价"/>
      <w:bookmarkEnd w:id="117"/>
      <w:r>
        <w:rPr>
          <w:rFonts w:ascii="Times New Roman" w:hAnsi="Times New Roman" w:cs="Times New Roman"/>
          <w:caps w:val="0"/>
          <w:smallCaps w:val="0"/>
          <w:u w:val="single"/>
        </w:rPr>
        <w:t>1</w:t>
      </w:r>
      <w:r>
        <w:rPr>
          <w:rFonts w:hint="eastAsia" w:ascii="Times New Roman" w:hAnsi="Times New Roman" w:cs="Times New Roman"/>
          <w:caps w:val="0"/>
          <w:smallCaps w:val="0"/>
          <w:u w:val="single"/>
          <w:lang w:eastAsia="zh-CN"/>
        </w:rPr>
        <w:t>、</w:t>
      </w:r>
      <w:r>
        <w:rPr>
          <w:rFonts w:ascii="Times New Roman" w:hAnsi="Times New Roman" w:cs="Times New Roman"/>
          <w:caps w:val="0"/>
          <w:smallCaps w:val="0"/>
          <w:u w:val="single"/>
        </w:rPr>
        <w:t>对浮游植物的影响评价</w:t>
      </w:r>
    </w:p>
    <w:p>
      <w:pPr>
        <w:pStyle w:val="2"/>
        <w:spacing w:before="34" w:line="360" w:lineRule="auto"/>
        <w:ind w:right="219" w:firstLine="480"/>
        <w:jc w:val="both"/>
        <w:rPr>
          <w:rFonts w:ascii="Times New Roman" w:hAnsi="Times New Roman" w:cs="Times New Roman"/>
          <w:caps w:val="0"/>
          <w:smallCaps w:val="0"/>
          <w:u w:val="single"/>
        </w:rPr>
      </w:pPr>
      <w:r>
        <w:rPr>
          <w:rFonts w:ascii="Times New Roman" w:hAnsi="Times New Roman" w:cs="Times New Roman"/>
          <w:caps w:val="0"/>
          <w:smallCaps w:val="0"/>
          <w:u w:val="single"/>
        </w:rPr>
        <w:t>码头工程对浮游植物的影响主要是施工期，水下桩基施工打桩、港池疏浚产生的悬浮物的影响，局部水域悬浮物浓度增加，使水中浮游植物光合作用暂时降低，不利于藻类生长繁殖，数量减少。施工水域平均水深约6m，通过计算，在施工期浮游植物的损失量为1116.6kg。虽然工程施工会使浮游植物的生物量有一定的减少，但由于浮游植物繁殖速度快，待施工结束后，浮游植物的数量将会逐步恢复，工程施工对该江段的浮游植物的影响只是短期的。</w:t>
      </w:r>
    </w:p>
    <w:p>
      <w:pPr>
        <w:pStyle w:val="2"/>
        <w:spacing w:before="34" w:line="360" w:lineRule="auto"/>
        <w:ind w:right="219" w:firstLine="480"/>
        <w:jc w:val="both"/>
        <w:rPr>
          <w:rFonts w:ascii="Times New Roman" w:hAnsi="Times New Roman" w:cs="Times New Roman"/>
          <w:caps w:val="0"/>
          <w:smallCaps w:val="0"/>
          <w:u w:val="single"/>
        </w:rPr>
      </w:pPr>
      <w:bookmarkStart w:id="118" w:name="5.3.3.2对浮游动物的影响评价"/>
      <w:bookmarkEnd w:id="118"/>
      <w:r>
        <w:rPr>
          <w:rFonts w:ascii="Times New Roman" w:hAnsi="Times New Roman" w:cs="Times New Roman"/>
          <w:caps w:val="0"/>
          <w:smallCaps w:val="0"/>
          <w:u w:val="single"/>
        </w:rPr>
        <w:t>2</w:t>
      </w:r>
      <w:r>
        <w:rPr>
          <w:rFonts w:hint="eastAsia" w:ascii="Times New Roman" w:hAnsi="Times New Roman" w:cs="Times New Roman"/>
          <w:caps w:val="0"/>
          <w:smallCaps w:val="0"/>
          <w:u w:val="single"/>
          <w:lang w:eastAsia="zh-CN"/>
        </w:rPr>
        <w:t>、</w:t>
      </w:r>
      <w:r>
        <w:rPr>
          <w:rFonts w:ascii="Times New Roman" w:hAnsi="Times New Roman" w:cs="Times New Roman"/>
          <w:caps w:val="0"/>
          <w:smallCaps w:val="0"/>
          <w:u w:val="single"/>
        </w:rPr>
        <w:t>对浮游动物的影响评价</w:t>
      </w:r>
    </w:p>
    <w:p>
      <w:pPr>
        <w:pStyle w:val="2"/>
        <w:spacing w:before="34" w:line="360" w:lineRule="auto"/>
        <w:ind w:right="219" w:firstLine="480"/>
        <w:jc w:val="both"/>
        <w:rPr>
          <w:rFonts w:ascii="Times New Roman" w:hAnsi="Times New Roman" w:cs="Times New Roman"/>
          <w:caps w:val="0"/>
          <w:smallCaps w:val="0"/>
          <w:u w:val="single"/>
        </w:rPr>
      </w:pPr>
      <w:r>
        <w:rPr>
          <w:rFonts w:ascii="Times New Roman" w:hAnsi="Times New Roman" w:cs="Times New Roman"/>
          <w:caps w:val="0"/>
          <w:smallCaps w:val="0"/>
          <w:u w:val="single"/>
        </w:rPr>
        <w:t>码头工程对浮游动物的影响主要是施工期，工程导致的局部水域水质浑浊，一方面会直接造成浮游动物的死亡，另一方面这些施工作业会造成作为饵料的浮游植物减少，同样也会加速浮游动物数量和种类的减少。通过计算，在施工期浮游动物的损失量4229.6kg。同浮游植物一样，工程施工虽然会使浮游动物的生物量有一定的减少，但这种影响只是局部的和暂时的，因此工程施工对评价区的浮游动物的影响有限。</w:t>
      </w:r>
    </w:p>
    <w:p>
      <w:pPr>
        <w:pStyle w:val="2"/>
        <w:spacing w:before="34" w:line="360" w:lineRule="auto"/>
        <w:ind w:right="219" w:firstLine="480"/>
        <w:jc w:val="both"/>
        <w:rPr>
          <w:rFonts w:ascii="Times New Roman" w:hAnsi="Times New Roman" w:cs="Times New Roman"/>
          <w:caps w:val="0"/>
          <w:smallCaps w:val="0"/>
          <w:u w:val="single"/>
        </w:rPr>
      </w:pPr>
      <w:bookmarkStart w:id="119" w:name="5.3.3.3对底栖生物的影响评价"/>
      <w:bookmarkEnd w:id="119"/>
      <w:r>
        <w:rPr>
          <w:rFonts w:ascii="Times New Roman" w:hAnsi="Times New Roman" w:cs="Times New Roman"/>
          <w:caps w:val="0"/>
          <w:smallCaps w:val="0"/>
          <w:u w:val="single"/>
        </w:rPr>
        <w:t>3</w:t>
      </w:r>
      <w:r>
        <w:rPr>
          <w:rFonts w:hint="eastAsia" w:ascii="Times New Roman" w:hAnsi="Times New Roman" w:cs="Times New Roman"/>
          <w:caps w:val="0"/>
          <w:smallCaps w:val="0"/>
          <w:u w:val="single"/>
          <w:lang w:eastAsia="zh-CN"/>
        </w:rPr>
        <w:t>、</w:t>
      </w:r>
      <w:r>
        <w:rPr>
          <w:rFonts w:ascii="Times New Roman" w:hAnsi="Times New Roman" w:cs="Times New Roman"/>
          <w:caps w:val="0"/>
          <w:smallCaps w:val="0"/>
          <w:u w:val="single"/>
        </w:rPr>
        <w:t>对底栖生物的影响评价</w:t>
      </w:r>
    </w:p>
    <w:p>
      <w:pPr>
        <w:pStyle w:val="2"/>
        <w:spacing w:before="34" w:line="360" w:lineRule="auto"/>
        <w:ind w:right="219" w:firstLine="480"/>
        <w:jc w:val="both"/>
        <w:rPr>
          <w:rFonts w:ascii="Times New Roman" w:hAnsi="Times New Roman" w:cs="Times New Roman"/>
          <w:caps w:val="0"/>
          <w:smallCaps w:val="0"/>
        </w:rPr>
      </w:pPr>
      <w:r>
        <w:rPr>
          <w:rFonts w:ascii="Times New Roman" w:hAnsi="Times New Roman" w:cs="Times New Roman"/>
          <w:caps w:val="0"/>
          <w:smallCaps w:val="0"/>
          <w:u w:val="single"/>
        </w:rPr>
        <w:t>工程施工期间，常水位线以下桩基施工对底栖动物生存不利。在施工期，疏浚、抛石区域及桩基施工区域的底栖动物大部分都会死亡，从而对该江段底栖动物的种类和数量产生影响。同时施工所产生的悬浮物也会影响到附近水域底栖动物的呼吸、摄食等生命活动，也直接改变了其栖息环境；营运期桩基将永久占用底栖动物栖息</w:t>
      </w:r>
      <w:r>
        <w:rPr>
          <w:rFonts w:ascii="Times New Roman" w:hAnsi="Times New Roman" w:cs="Times New Roman"/>
          <w:caps w:val="0"/>
          <w:smallCaps w:val="0"/>
          <w:spacing w:val="-2"/>
          <w:u w:val="single"/>
        </w:rPr>
        <w:t>空间。经计算，在施工期直接扰动造成底栖动物的损失量为</w:t>
      </w:r>
      <w:r>
        <w:rPr>
          <w:rFonts w:ascii="Times New Roman" w:hAnsi="Times New Roman" w:eastAsia="Times New Roman" w:cs="Times New Roman"/>
          <w:caps w:val="0"/>
          <w:smallCaps w:val="0"/>
          <w:spacing w:val="-2"/>
          <w:u w:val="single"/>
        </w:rPr>
        <w:t>2578kg</w:t>
      </w:r>
      <w:r>
        <w:rPr>
          <w:rFonts w:ascii="Times New Roman" w:hAnsi="Times New Roman" w:cs="Times New Roman"/>
          <w:caps w:val="0"/>
          <w:smallCaps w:val="0"/>
          <w:spacing w:val="-2"/>
          <w:u w:val="single"/>
        </w:rPr>
        <w:t>，由于施工影响</w:t>
      </w:r>
      <w:r>
        <w:rPr>
          <w:rFonts w:ascii="Times New Roman" w:hAnsi="Times New Roman" w:cs="Times New Roman"/>
          <w:caps w:val="0"/>
          <w:smallCaps w:val="0"/>
          <w:u w:val="single"/>
        </w:rPr>
        <w:t>范围有限，一段时间之后，施工区域生态效应作用将会逐渐形成新的平衡。</w:t>
      </w:r>
      <w:r>
        <w:rPr>
          <w:rFonts w:ascii="Times New Roman" w:hAnsi="Times New Roman" w:cs="Times New Roman"/>
          <w:caps w:val="0"/>
          <w:smallCaps w:val="0"/>
        </w:rPr>
        <w:t>运营期底栖动物的损失量为</w:t>
      </w:r>
      <w:r>
        <w:rPr>
          <w:rFonts w:ascii="Times New Roman" w:hAnsi="Times New Roman" w:eastAsia="Times New Roman" w:cs="Times New Roman"/>
          <w:caps w:val="0"/>
          <w:smallCaps w:val="0"/>
        </w:rPr>
        <w:t>3.4kg</w:t>
      </w:r>
      <w:r>
        <w:rPr>
          <w:rFonts w:ascii="Times New Roman" w:hAnsi="Times New Roman" w:cs="Times New Roman"/>
          <w:caps w:val="0"/>
          <w:smallCaps w:val="0"/>
        </w:rPr>
        <w:t>，在采取增殖放流措施后，可在一定程度减缓此影响。</w:t>
      </w:r>
      <w:bookmarkStart w:id="120" w:name="5.3.3.4对水生维管束植物的影响评价"/>
      <w:bookmarkEnd w:id="120"/>
    </w:p>
    <w:p>
      <w:pPr>
        <w:pStyle w:val="2"/>
        <w:spacing w:before="34" w:line="360" w:lineRule="auto"/>
        <w:ind w:right="219" w:firstLine="480"/>
        <w:jc w:val="both"/>
        <w:rPr>
          <w:rFonts w:ascii="Times New Roman" w:hAnsi="Times New Roman" w:cs="Times New Roman"/>
          <w:caps w:val="0"/>
          <w:smallCaps w:val="0"/>
          <w:u w:val="single"/>
        </w:rPr>
      </w:pPr>
      <w:r>
        <w:rPr>
          <w:rFonts w:hint="eastAsia" w:ascii="Times New Roman" w:hAnsi="Times New Roman" w:cs="Times New Roman"/>
          <w:caps w:val="0"/>
          <w:smallCaps w:val="0"/>
          <w:u w:val="single"/>
          <w:lang w:val="en-US" w:eastAsia="zh-CN"/>
        </w:rPr>
        <w:t>4、</w:t>
      </w:r>
      <w:r>
        <w:rPr>
          <w:rFonts w:ascii="Times New Roman" w:hAnsi="Times New Roman" w:cs="Times New Roman"/>
          <w:caps w:val="0"/>
          <w:smallCaps w:val="0"/>
          <w:u w:val="single"/>
        </w:rPr>
        <w:t>对水生维管束植物的影响评价</w:t>
      </w:r>
    </w:p>
    <w:p>
      <w:pPr>
        <w:pStyle w:val="2"/>
        <w:spacing w:before="29" w:line="360" w:lineRule="auto"/>
        <w:ind w:right="219" w:firstLine="360"/>
        <w:jc w:val="both"/>
        <w:rPr>
          <w:rFonts w:ascii="Times New Roman" w:hAnsi="Times New Roman" w:cs="Times New Roman"/>
          <w:caps w:val="0"/>
          <w:smallCaps w:val="0"/>
          <w:u w:val="single"/>
        </w:rPr>
      </w:pPr>
      <w:r>
        <w:rPr>
          <w:rFonts w:ascii="Times New Roman" w:hAnsi="Times New Roman" w:cs="Times New Roman"/>
          <w:caps w:val="0"/>
          <w:smallCaps w:val="0"/>
          <w:u w:val="single"/>
        </w:rPr>
        <w:t>工程对水生植被的影响主要是码头施工过程中</w:t>
      </w:r>
      <w:r>
        <w:rPr>
          <w:rFonts w:ascii="Times New Roman" w:hAnsi="Times New Roman" w:cs="Times New Roman"/>
          <w:caps w:val="0"/>
          <w:smallCaps w:val="0"/>
          <w:spacing w:val="-60"/>
          <w:u w:val="single"/>
        </w:rPr>
        <w:t>，</w:t>
      </w:r>
      <w:r>
        <w:rPr>
          <w:rFonts w:ascii="Times New Roman" w:hAnsi="Times New Roman" w:cs="Times New Roman"/>
          <w:caps w:val="0"/>
          <w:smallCaps w:val="0"/>
          <w:u w:val="single"/>
        </w:rPr>
        <w:t>疏浚</w:t>
      </w:r>
      <w:r>
        <w:rPr>
          <w:rFonts w:ascii="Times New Roman" w:hAnsi="Times New Roman" w:cs="Times New Roman"/>
          <w:caps w:val="0"/>
          <w:smallCaps w:val="0"/>
          <w:spacing w:val="-60"/>
          <w:u w:val="single"/>
        </w:rPr>
        <w:t>、</w:t>
      </w:r>
      <w:r>
        <w:rPr>
          <w:rFonts w:ascii="Times New Roman" w:hAnsi="Times New Roman" w:cs="Times New Roman"/>
          <w:caps w:val="0"/>
          <w:smallCaps w:val="0"/>
          <w:u w:val="single"/>
        </w:rPr>
        <w:t>抛石和桩基永久占地对沿岸湿生植被的直接破坏，此外，施工过程中所产生的粉尘等会附着在水生植被上，对水生植被产生一定影响。由于施工区江段水生维管束植物较少，以陆生植物和湿生植物为主，因此工程对水生维管束植物的影响较小。</w:t>
      </w:r>
    </w:p>
    <w:p>
      <w:pPr>
        <w:pStyle w:val="6"/>
        <w:bidi w:val="0"/>
        <w:rPr>
          <w:rFonts w:ascii="Times New Roman" w:hAnsi="Times New Roman" w:cs="Times New Roman"/>
          <w:caps w:val="0"/>
          <w:smallCaps w:val="0"/>
          <w:u w:val="single"/>
        </w:rPr>
      </w:pPr>
      <w:r>
        <w:rPr>
          <w:rFonts w:ascii="Times New Roman" w:hAnsi="Times New Roman" w:cs="Times New Roman"/>
          <w:caps w:val="0"/>
          <w:smallCaps w:val="0"/>
          <w:u w:val="single"/>
        </w:rPr>
        <w:t>对保护区结构和功能的影响</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工程未改变保护区整体水文情势，工程施工、运营未改变保护区水生态系统整体特征，工程附近水域无鱼类“三场”。保护区总面积66700hm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，运行期本工程（含水面趸船、桩柱上引桥等投影）占用保护区约1098.85m</w:t>
      </w:r>
      <w:r>
        <w:rPr>
          <w:rFonts w:ascii="Times New Roman" w:hAnsi="Times New Roman" w:cs="Times New Roman"/>
          <w:caps w:val="0"/>
          <w:smallCaps w:val="0"/>
          <w:u w:val="single"/>
          <w:vertAlign w:val="superscript"/>
        </w:rPr>
        <w:t>2</w:t>
      </w:r>
      <w:r>
        <w:rPr>
          <w:rFonts w:ascii="Times New Roman" w:hAnsi="Times New Roman" w:cs="Times New Roman"/>
          <w:caps w:val="0"/>
          <w:smallCaps w:val="0"/>
          <w:u w:val="single"/>
        </w:rPr>
        <w:t>，占保护区面积的0.02%，因此工程的建设对保护区水生生物资源的生境影响很小。</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工程实施后船舶吨位增加，数量变化不大，运行期内对长江江豚的影响主要为水污染、船舶搁浅、碰撞、溢油及危化品泄露等风险事故造成的影响。码头平台配置有雨污分流制度，污水不会外排；增设船舶垃圾分类收集站；设围油栏以防船舶漏油扩散。因此，工程本身对保护区水生生物多样性的影响较小，对保护区结构和功能完整性的影响较小。</w:t>
      </w:r>
    </w:p>
    <w:p>
      <w:pPr>
        <w:pStyle w:val="2"/>
        <w:bidi w:val="0"/>
        <w:rPr>
          <w:rFonts w:ascii="Times New Roman" w:hAnsi="Times New Roman" w:cs="Times New Roman"/>
          <w:caps w:val="0"/>
          <w:smallCaps w:val="0"/>
          <w:u w:val="single"/>
        </w:rPr>
      </w:pPr>
      <w:r>
        <w:rPr>
          <w:rFonts w:ascii="Times New Roman" w:hAnsi="Times New Roman" w:cs="Times New Roman"/>
          <w:caps w:val="0"/>
          <w:smallCaps w:val="0"/>
          <w:u w:val="single"/>
        </w:rPr>
        <w:t>由于本项目施工期较短、施工影响范围较小，营运期对水质、噪声的影响范围有限，在采取环保措施后，工程的建设对保护区的功能影响较小，在保护区水生生态系统的可承受范围内。</w:t>
      </w:r>
    </w:p>
    <w:p>
      <w:pPr>
        <w:pStyle w:val="6"/>
        <w:bidi w:val="0"/>
        <w:rPr>
          <w:rFonts w:ascii="Times New Roman" w:hAnsi="Times New Roman" w:cs="Times New Roman"/>
          <w:caps w:val="0"/>
          <w:smallCaps w:val="0"/>
          <w:u w:val="single"/>
        </w:rPr>
      </w:pPr>
      <w:r>
        <w:rPr>
          <w:rFonts w:ascii="Times New Roman" w:hAnsi="Times New Roman" w:cs="Times New Roman"/>
          <w:caps w:val="0"/>
          <w:smallCaps w:val="0"/>
          <w:u w:val="single"/>
        </w:rPr>
        <w:t>对陆域生态的影响</w:t>
      </w:r>
    </w:p>
    <w:p>
      <w:pPr>
        <w:adjustRightInd w:val="0"/>
        <w:snapToGrid w:val="0"/>
        <w:spacing w:line="360" w:lineRule="auto"/>
        <w:ind w:firstLine="482"/>
        <w:rPr>
          <w:rFonts w:ascii="Times New Roman" w:hAnsi="Times New Roman" w:cs="Times New Roman" w:eastAsiaTheme="minorEastAsia"/>
          <w:caps w:val="0"/>
          <w:smallCaps w:val="0"/>
          <w:sz w:val="24"/>
          <w:szCs w:val="24"/>
        </w:rPr>
      </w:pPr>
      <w:r>
        <w:rPr>
          <w:rFonts w:ascii="Times New Roman" w:hAnsi="Times New Roman" w:cs="Times New Roman" w:eastAsiaTheme="minorEastAsia"/>
          <w:caps w:val="0"/>
          <w:smallCaps w:val="0"/>
          <w:sz w:val="24"/>
          <w:szCs w:val="24"/>
          <w:u w:val="single"/>
        </w:rPr>
        <w:t>本项目陆域用地现状为河岸滩地，码头的建设将清除河岸滩地内的灌木、草本植被，使区域内生物总量减少、植被覆盖率降低。本项目占用</w:t>
      </w:r>
      <w:r>
        <w:rPr>
          <w:rFonts w:hint="eastAsia" w:ascii="Times New Roman" w:hAnsi="Times New Roman" w:cs="Times New Roman" w:eastAsiaTheme="minorEastAsia"/>
          <w:caps w:val="0"/>
          <w:smallCaps w:val="0"/>
          <w:sz w:val="24"/>
          <w:szCs w:val="24"/>
          <w:u w:val="single"/>
          <w:lang w:eastAsia="zh-CN"/>
        </w:rPr>
        <w:t>湘江</w:t>
      </w:r>
      <w:r>
        <w:rPr>
          <w:rFonts w:ascii="Times New Roman" w:hAnsi="Times New Roman" w:cs="Times New Roman" w:eastAsiaTheme="minorEastAsia"/>
          <w:caps w:val="0"/>
          <w:smallCaps w:val="0"/>
          <w:sz w:val="24"/>
          <w:szCs w:val="24"/>
          <w:u w:val="single"/>
        </w:rPr>
        <w:t>岸线长度</w:t>
      </w:r>
      <w:r>
        <w:rPr>
          <w:rFonts w:hint="eastAsia" w:ascii="Times New Roman" w:hAnsi="Times New Roman" w:cs="Times New Roman" w:eastAsiaTheme="minorEastAsia"/>
          <w:caps w:val="0"/>
          <w:smallCaps w:val="0"/>
          <w:sz w:val="24"/>
          <w:szCs w:val="24"/>
          <w:u w:val="single"/>
          <w:lang w:val="en-US" w:eastAsia="zh-CN"/>
        </w:rPr>
        <w:t>150</w:t>
      </w:r>
      <w:r>
        <w:rPr>
          <w:rFonts w:ascii="Times New Roman" w:hAnsi="Times New Roman" w:cs="Times New Roman" w:eastAsiaTheme="minorEastAsia"/>
          <w:caps w:val="0"/>
          <w:smallCaps w:val="0"/>
          <w:sz w:val="24"/>
          <w:szCs w:val="24"/>
          <w:u w:val="single"/>
        </w:rPr>
        <w:t>m，占用滩地数量较小，植被损失量较小，不会导致</w:t>
      </w:r>
      <w:r>
        <w:rPr>
          <w:rFonts w:hint="eastAsia" w:ascii="Times New Roman" w:hAnsi="Times New Roman" w:cs="Times New Roman" w:eastAsiaTheme="minorEastAsia"/>
          <w:caps w:val="0"/>
          <w:smallCaps w:val="0"/>
          <w:sz w:val="24"/>
          <w:szCs w:val="24"/>
          <w:u w:val="single"/>
          <w:lang w:eastAsia="zh-CN"/>
        </w:rPr>
        <w:t>湘江</w:t>
      </w:r>
      <w:r>
        <w:rPr>
          <w:rFonts w:ascii="Times New Roman" w:hAnsi="Times New Roman" w:cs="Times New Roman" w:eastAsiaTheme="minorEastAsia"/>
          <w:caps w:val="0"/>
          <w:smallCaps w:val="0"/>
          <w:sz w:val="24"/>
          <w:szCs w:val="24"/>
          <w:u w:val="single"/>
        </w:rPr>
        <w:t>河岸滩地的生态环境功能的退化，其生态功能和稳定性不会受到大的影响。</w:t>
      </w:r>
    </w:p>
    <w:p>
      <w:pPr>
        <w:pStyle w:val="60"/>
        <w:rPr>
          <w:rFonts w:ascii="Times New Roman" w:hAnsi="Times New Roman" w:cs="Times New Roman"/>
          <w:caps w:val="0"/>
          <w:smallCaps w:val="0"/>
        </w:rPr>
      </w:pPr>
    </w:p>
    <w:p>
      <w:pPr>
        <w:rPr>
          <w:rFonts w:hint="eastAsia" w:ascii="Times New Roman" w:hAnsi="Times New Roman" w:cs="Times New Roman" w:eastAsiaTheme="minorEastAsia"/>
          <w:b/>
          <w:caps w:val="0"/>
          <w:smallCaps w:val="0"/>
          <w:color w:val="000000" w:themeColor="text1"/>
          <w:sz w:val="32"/>
          <w:szCs w:val="32"/>
          <w:lang w:val="en-US" w:eastAsia="zh-CN"/>
          <w14:textFill>
            <w14:solidFill>
              <w14:schemeClr w14:val="tx1"/>
            </w14:solidFill>
          </w14:textFill>
        </w:rPr>
      </w:pPr>
      <w:r>
        <w:rPr>
          <w:rFonts w:hint="eastAsia" w:ascii="Times New Roman" w:hAnsi="Times New Roman" w:cs="Times New Roman" w:eastAsiaTheme="minorEastAsia"/>
          <w:b/>
          <w:caps w:val="0"/>
          <w:smallCaps w:val="0"/>
          <w:color w:val="000000" w:themeColor="text1"/>
          <w:sz w:val="32"/>
          <w:szCs w:val="32"/>
          <w:lang w:val="en-US" w:eastAsia="zh-CN"/>
          <w14:textFill>
            <w14:solidFill>
              <w14:schemeClr w14:val="tx1"/>
            </w14:solidFill>
          </w14:textFill>
        </w:rPr>
        <w:br w:type="page"/>
      </w:r>
    </w:p>
    <w:p>
      <w:pPr>
        <w:pStyle w:val="4"/>
        <w:spacing w:line="480" w:lineRule="auto"/>
        <w:ind w:left="431" w:hanging="431"/>
        <w:jc w:val="center"/>
        <w:rPr>
          <w:rFonts w:hint="eastAsia" w:ascii="Times New Roman" w:hAnsi="Times New Roman" w:cs="Times New Roman" w:eastAsiaTheme="minorEastAsia"/>
          <w:b/>
          <w:caps w:val="0"/>
          <w:smallCaps w:val="0"/>
          <w:color w:val="000000" w:themeColor="text1"/>
          <w:sz w:val="32"/>
          <w:szCs w:val="32"/>
          <w:lang w:val="en-US" w:eastAsia="zh-CN"/>
          <w14:textFill>
            <w14:solidFill>
              <w14:schemeClr w14:val="tx1"/>
            </w14:solidFill>
          </w14:textFill>
        </w:rPr>
      </w:pPr>
      <w:r>
        <w:rPr>
          <w:rFonts w:hint="eastAsia" w:ascii="Times New Roman" w:hAnsi="Times New Roman" w:cs="Times New Roman" w:eastAsiaTheme="minorEastAsia"/>
          <w:b/>
          <w:caps w:val="0"/>
          <w:smallCaps w:val="0"/>
          <w:color w:val="000000" w:themeColor="text1"/>
          <w:sz w:val="32"/>
          <w:szCs w:val="32"/>
          <w:lang w:val="en-US" w:eastAsia="zh-CN"/>
          <w14:textFill>
            <w14:solidFill>
              <w14:schemeClr w14:val="tx1"/>
            </w14:solidFill>
          </w14:textFill>
        </w:rPr>
        <w:t xml:space="preserve">  </w:t>
      </w:r>
      <w:bookmarkStart w:id="121" w:name="_Toc959"/>
      <w:r>
        <w:rPr>
          <w:rFonts w:hint="eastAsia" w:ascii="Times New Roman" w:hAnsi="Times New Roman" w:cs="Times New Roman" w:eastAsiaTheme="minorEastAsia"/>
          <w:b/>
          <w:caps w:val="0"/>
          <w:smallCaps w:val="0"/>
          <w:color w:val="000000" w:themeColor="text1"/>
          <w:sz w:val="32"/>
          <w:szCs w:val="32"/>
          <w:lang w:val="en-US" w:eastAsia="zh-CN"/>
          <w14:textFill>
            <w14:solidFill>
              <w14:schemeClr w14:val="tx1"/>
            </w14:solidFill>
          </w14:textFill>
        </w:rPr>
        <w:t>环境风险影响评价</w:t>
      </w:r>
      <w:bookmarkEnd w:id="121"/>
    </w:p>
    <w:p>
      <w:pPr>
        <w:pStyle w:val="5"/>
        <w:bidi w:val="0"/>
        <w:rPr>
          <w:rFonts w:ascii="Times New Roman" w:hAnsi="Times New Roman" w:cs="Times New Roman"/>
          <w:caps w:val="0"/>
          <w:smallCaps w:val="0"/>
        </w:rPr>
      </w:pPr>
      <w:bookmarkStart w:id="122" w:name="_Toc23429144"/>
      <w:bookmarkStart w:id="123" w:name="_Toc29208"/>
      <w:r>
        <w:rPr>
          <w:rFonts w:ascii="Times New Roman" w:hAnsi="Times New Roman" w:cs="Times New Roman"/>
          <w:caps w:val="0"/>
          <w:smallCaps w:val="0"/>
        </w:rPr>
        <w:t>评价</w:t>
      </w:r>
      <w:bookmarkEnd w:id="122"/>
      <w:r>
        <w:rPr>
          <w:rFonts w:hint="eastAsia" w:ascii="Times New Roman" w:hAnsi="Times New Roman" w:cs="Times New Roman"/>
          <w:caps w:val="0"/>
          <w:smallCaps w:val="0"/>
        </w:rPr>
        <w:t>目的和重点</w:t>
      </w:r>
      <w:bookmarkEnd w:id="123"/>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根据《建设项目环境风险评价技术导则》（HJ169-2018），环境风险评价的基本内容包括风险调查、环境风险潜势初判、风险识别、风险事故情形分析、风险预测与评价、环境风险管理等，其具体如下：</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⑴工程风险调查。在分析建设项目物质及工艺系统危险性和环境敏感性的基础下，进行风险潜势的判断，确定风险评价等级。</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⑵工程风险识别及风险事故情形分析。明确危险物质在生产系统中的主要分布，筛选具有代表性的风险事故情形，合理设定事故源项。</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⑶开展预测评价。各环境要素按确定的评价工作等级分别预测评价，并分析说明环境风险危害范围与程度，提出环境风险防范的基本要求。</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⑷提出环境风险管理对策，明确环境风险防范措施及突发环境事件应急预案编制要求。</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⑸综合环境风险评价过程，给出评价结论与建议。</w:t>
      </w:r>
    </w:p>
    <w:p>
      <w:pPr>
        <w:pStyle w:val="5"/>
        <w:bidi w:val="0"/>
        <w:rPr>
          <w:rFonts w:ascii="Times New Roman" w:hAnsi="Times New Roman" w:cs="Times New Roman"/>
          <w:caps w:val="0"/>
          <w:smallCaps w:val="0"/>
        </w:rPr>
      </w:pPr>
      <w:bookmarkStart w:id="124" w:name="_Toc2960"/>
      <w:r>
        <w:rPr>
          <w:rFonts w:ascii="Times New Roman" w:hAnsi="Times New Roman" w:cs="Times New Roman"/>
          <w:caps w:val="0"/>
          <w:smallCaps w:val="0"/>
        </w:rPr>
        <w:t>环境风险潜势初判</w:t>
      </w:r>
      <w:bookmarkEnd w:id="124"/>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依据《建设项目环境风险评价技术导则》（HJ169-2018）中规定的易燃易爆和有毒物质的临界量限值。</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本项目</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到港</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货物</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主要为</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沥青</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，不</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涉及</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剧毒、有毒易燃和爆炸性物质，本项目涉及危险物料主要为废矿物油</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、到港船舶燃料</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柴油</w:t>
      </w:r>
      <w:r>
        <w:rPr>
          <w:rFonts w:hint="eastAsia" w:cs="Times New Roman" w:eastAsiaTheme="minorEastAsia"/>
          <w:caps w:val="0"/>
          <w:smallCaps w:val="0"/>
          <w:color w:val="000000" w:themeColor="text1"/>
          <w:sz w:val="24"/>
          <w:szCs w:val="24"/>
          <w:lang w:eastAsia="zh-CN"/>
          <w14:textFill>
            <w14:solidFill>
              <w14:schemeClr w14:val="tx1"/>
            </w14:solidFill>
          </w14:textFill>
        </w:rPr>
        <w:t>、装卸过程装卸管道保温的导热油</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。本项目共</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1个泊位，最多同时能停泊1艘2000吨级货船，每艘货船暂存燃料柴油约10吨，则本项目到港船舶燃料</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柴油</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同时存在量最大为10吨。</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根据《建设项目环境风险评价技术导则》（HJ169-2018），建设项目环境风险潜势划分为</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begin"/>
      </w:r>
      <w:r>
        <w:rPr>
          <w:rFonts w:ascii="Times New Roman" w:hAnsi="Times New Roman" w:cs="Times New Roman" w:eastAsiaTheme="minorEastAsia"/>
          <w:caps w:val="0"/>
          <w:smallCaps w:val="0"/>
          <w:color w:val="000000" w:themeColor="text1"/>
          <w:sz w:val="24"/>
          <w:szCs w:val="24"/>
          <w14:textFill>
            <w14:solidFill>
              <w14:schemeClr w14:val="tx1"/>
            </w14:solidFill>
          </w14:textFill>
        </w:rPr>
        <w:instrText xml:space="preserve">=1\*ROMAN</w:instrTex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separate"/>
      </w:r>
      <w:r>
        <w:rPr>
          <w:rFonts w:ascii="Times New Roman" w:hAnsi="Times New Roman" w:cs="Times New Roman" w:eastAsiaTheme="minorEastAsia"/>
          <w:caps w:val="0"/>
          <w:smallCaps w:val="0"/>
          <w:color w:val="000000" w:themeColor="text1"/>
          <w:sz w:val="24"/>
          <w:szCs w:val="24"/>
          <w14:textFill>
            <w14:solidFill>
              <w14:schemeClr w14:val="tx1"/>
            </w14:solidFill>
          </w14:textFill>
        </w:rPr>
        <w:t>I</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end"/>
      </w:r>
      <w:r>
        <w:rPr>
          <w:rFonts w:ascii="Times New Roman" w:hAnsi="Times New Roman" w:cs="Times New Roman" w:eastAsiaTheme="minorEastAsia"/>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begin"/>
      </w:r>
      <w:r>
        <w:rPr>
          <w:rFonts w:ascii="Times New Roman" w:hAnsi="Times New Roman" w:cs="Times New Roman" w:eastAsiaTheme="minorEastAsia"/>
          <w:caps w:val="0"/>
          <w:smallCaps w:val="0"/>
          <w:color w:val="000000" w:themeColor="text1"/>
          <w:sz w:val="24"/>
          <w:szCs w:val="24"/>
          <w14:textFill>
            <w14:solidFill>
              <w14:schemeClr w14:val="tx1"/>
            </w14:solidFill>
          </w14:textFill>
        </w:rPr>
        <w:instrText xml:space="preserve">=2\*ROMAN</w:instrTex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separate"/>
      </w:r>
      <w:r>
        <w:rPr>
          <w:rFonts w:ascii="Times New Roman" w:hAnsi="Times New Roman" w:cs="Times New Roman" w:eastAsiaTheme="minorEastAsia"/>
          <w:caps w:val="0"/>
          <w:smallCaps w:val="0"/>
          <w:color w:val="000000" w:themeColor="text1"/>
          <w:sz w:val="24"/>
          <w:szCs w:val="24"/>
          <w14:textFill>
            <w14:solidFill>
              <w14:schemeClr w14:val="tx1"/>
            </w14:solidFill>
          </w14:textFill>
        </w:rPr>
        <w:t>II</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end"/>
      </w:r>
      <w:r>
        <w:rPr>
          <w:rFonts w:ascii="Times New Roman" w:hAnsi="Times New Roman" w:cs="Times New Roman" w:eastAsiaTheme="minorEastAsia"/>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begin"/>
      </w:r>
      <w:r>
        <w:rPr>
          <w:rFonts w:ascii="Times New Roman" w:hAnsi="Times New Roman" w:cs="Times New Roman" w:eastAsiaTheme="minorEastAsia"/>
          <w:caps w:val="0"/>
          <w:smallCaps w:val="0"/>
          <w:color w:val="000000" w:themeColor="text1"/>
          <w:sz w:val="24"/>
          <w:szCs w:val="24"/>
          <w14:textFill>
            <w14:solidFill>
              <w14:schemeClr w14:val="tx1"/>
            </w14:solidFill>
          </w14:textFill>
        </w:rPr>
        <w:instrText xml:space="preserve">=3\*ROMAN</w:instrTex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separate"/>
      </w:r>
      <w:r>
        <w:rPr>
          <w:rFonts w:ascii="Times New Roman" w:hAnsi="Times New Roman" w:cs="Times New Roman" w:eastAsiaTheme="minorEastAsia"/>
          <w:caps w:val="0"/>
          <w:smallCaps w:val="0"/>
          <w:color w:val="000000" w:themeColor="text1"/>
          <w:sz w:val="24"/>
          <w:szCs w:val="24"/>
          <w14:textFill>
            <w14:solidFill>
              <w14:schemeClr w14:val="tx1"/>
            </w14:solidFill>
          </w14:textFill>
        </w:rPr>
        <w:t>III</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end"/>
      </w:r>
      <w:r>
        <w:rPr>
          <w:rFonts w:ascii="Times New Roman" w:hAnsi="Times New Roman" w:cs="Times New Roman" w:eastAsiaTheme="minorEastAsia"/>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begin"/>
      </w:r>
      <w:r>
        <w:rPr>
          <w:rFonts w:ascii="Times New Roman" w:hAnsi="Times New Roman" w:cs="Times New Roman" w:eastAsiaTheme="minorEastAsia"/>
          <w:caps w:val="0"/>
          <w:smallCaps w:val="0"/>
          <w:color w:val="000000" w:themeColor="text1"/>
          <w:sz w:val="24"/>
          <w:szCs w:val="24"/>
          <w14:textFill>
            <w14:solidFill>
              <w14:schemeClr w14:val="tx1"/>
            </w14:solidFill>
          </w14:textFill>
        </w:rPr>
        <w:instrText xml:space="preserve">=4\*ROMAN</w:instrTex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separate"/>
      </w:r>
      <w:r>
        <w:rPr>
          <w:rFonts w:ascii="Times New Roman" w:hAnsi="Times New Roman" w:cs="Times New Roman" w:eastAsiaTheme="minorEastAsia"/>
          <w:caps w:val="0"/>
          <w:smallCaps w:val="0"/>
          <w:color w:val="000000" w:themeColor="text1"/>
          <w:sz w:val="24"/>
          <w:szCs w:val="24"/>
          <w14:textFill>
            <w14:solidFill>
              <w14:schemeClr w14:val="tx1"/>
            </w14:solidFill>
          </w14:textFill>
        </w:rPr>
        <w:t>IV</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end"/>
      </w:r>
      <w:r>
        <w:rPr>
          <w:rFonts w:ascii="Times New Roman" w:hAnsi="Times New Roman" w:cs="Times New Roman" w:eastAsiaTheme="minorEastAsia"/>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begin"/>
      </w:r>
      <w:r>
        <w:rPr>
          <w:rFonts w:ascii="Times New Roman" w:hAnsi="Times New Roman" w:cs="Times New Roman" w:eastAsiaTheme="minorEastAsia"/>
          <w:caps w:val="0"/>
          <w:smallCaps w:val="0"/>
          <w:color w:val="000000" w:themeColor="text1"/>
          <w:sz w:val="24"/>
          <w:szCs w:val="24"/>
          <w14:textFill>
            <w14:solidFill>
              <w14:schemeClr w14:val="tx1"/>
            </w14:solidFill>
          </w14:textFill>
        </w:rPr>
        <w:instrText xml:space="preserve">=4\*ROMAN</w:instrTex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separate"/>
      </w:r>
      <w:r>
        <w:rPr>
          <w:rFonts w:ascii="Times New Roman" w:hAnsi="Times New Roman" w:cs="Times New Roman" w:eastAsiaTheme="minorEastAsia"/>
          <w:caps w:val="0"/>
          <w:smallCaps w:val="0"/>
          <w:color w:val="000000" w:themeColor="text1"/>
          <w:sz w:val="24"/>
          <w:szCs w:val="24"/>
          <w14:textFill>
            <w14:solidFill>
              <w14:schemeClr w14:val="tx1"/>
            </w14:solidFill>
          </w14:textFill>
        </w:rPr>
        <w:t>IV</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end"/>
      </w:r>
      <w:r>
        <w:rPr>
          <w:rFonts w:ascii="Times New Roman" w:hAnsi="Times New Roman" w:cs="Times New Roman" w:eastAsiaTheme="minorEastAsia"/>
          <w:caps w:val="0"/>
          <w:smallCaps w:val="0"/>
          <w:color w:val="000000" w:themeColor="text1"/>
          <w:sz w:val="24"/>
          <w:szCs w:val="24"/>
          <w:vertAlign w:val="superscript"/>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级。根据建设项目涉及的物质和工艺系统的危险性及其所在地的环境敏感程度，结合事故情形下环境影响途径，对建设项目潜在环境危害程度进行概化分析，按照表</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6.2</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-1</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确定环境风险潜势。</w:t>
      </w:r>
    </w:p>
    <w:p>
      <w:pPr>
        <w:pStyle w:val="94"/>
        <w:rPr>
          <w:rFonts w:ascii="Times New Roman" w:hAnsi="Times New Roman" w:cs="Times New Roman"/>
          <w:caps w:val="0"/>
          <w:smallCaps w:val="0"/>
          <w:sz w:val="21"/>
          <w:szCs w:val="21"/>
        </w:rPr>
      </w:pPr>
      <w:r>
        <w:rPr>
          <w:rFonts w:ascii="Times New Roman" w:hAnsi="Times New Roman" w:cs="Times New Roman"/>
          <w:caps w:val="0"/>
          <w:smallCaps w:val="0"/>
          <w:sz w:val="21"/>
          <w:szCs w:val="21"/>
        </w:rPr>
        <w:t>表</w:t>
      </w:r>
      <w:r>
        <w:rPr>
          <w:rFonts w:hint="eastAsia" w:ascii="Times New Roman" w:hAnsi="Times New Roman" w:cs="Times New Roman"/>
          <w:caps w:val="0"/>
          <w:smallCaps w:val="0"/>
          <w:sz w:val="21"/>
          <w:szCs w:val="21"/>
          <w:lang w:val="en-US" w:eastAsia="zh-CN"/>
        </w:rPr>
        <w:t>6.2</w:t>
      </w:r>
      <w:r>
        <w:rPr>
          <w:rFonts w:hint="eastAsia" w:ascii="Times New Roman" w:hAnsi="Times New Roman" w:cs="Times New Roman"/>
          <w:caps w:val="0"/>
          <w:smallCaps w:val="0"/>
          <w:sz w:val="21"/>
          <w:szCs w:val="21"/>
        </w:rPr>
        <w:t>-1</w:t>
      </w:r>
      <w:r>
        <w:rPr>
          <w:rFonts w:ascii="Times New Roman" w:hAnsi="Times New Roman" w:cs="Times New Roman"/>
          <w:caps w:val="0"/>
          <w:smallCaps w:val="0"/>
          <w:sz w:val="21"/>
          <w:szCs w:val="21"/>
        </w:rPr>
        <w:t>建设项目环境风险潜势划分</w:t>
      </w:r>
    </w:p>
    <w:tbl>
      <w:tblPr>
        <w:tblStyle w:val="71"/>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00"/>
        <w:gridCol w:w="1701"/>
        <w:gridCol w:w="1701"/>
        <w:gridCol w:w="1701"/>
        <w:gridCol w:w="170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0" w:type="dxa"/>
            <w:vMerge w:val="restar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环境敏感程度（E）</w:t>
            </w:r>
          </w:p>
        </w:tc>
        <w:tc>
          <w:tcPr>
            <w:tcW w:w="6804" w:type="dxa"/>
            <w:gridSpan w:val="4"/>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危险物质及工艺系统危险性（P）</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0" w:type="dxa"/>
            <w:vMerge w:val="continue"/>
            <w:noWrap w:val="0"/>
            <w:vAlign w:val="center"/>
          </w:tcPr>
          <w:p>
            <w:pPr>
              <w:pStyle w:val="117"/>
              <w:bidi w:val="0"/>
              <w:rPr>
                <w:rFonts w:ascii="Times New Roman" w:hAnsi="Times New Roman" w:cs="Times New Roman"/>
                <w:caps w:val="0"/>
                <w:smallCaps w:val="0"/>
                <w:lang w:val="en-US" w:eastAsia="zh-CN"/>
              </w:rPr>
            </w:pP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极高危害（P1）</w:t>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高度危害（P2）</w:t>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中度危害（P3）</w:t>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轻度危害（P4）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0"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环境高度敏感区（E1）</w:t>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=4\*ROMAN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IV</w:t>
            </w:r>
            <w:r>
              <w:rPr>
                <w:rFonts w:ascii="Times New Roman" w:hAnsi="Times New Roman" w:cs="Times New Roman"/>
                <w:caps w:val="0"/>
                <w:smallCaps w:val="0"/>
                <w:lang w:val="en-US" w:eastAsia="zh-CN"/>
              </w:rPr>
              <w:fldChar w:fldCharType="end"/>
            </w:r>
            <w:r>
              <w:rPr>
                <w:rFonts w:ascii="Times New Roman" w:hAnsi="Times New Roman" w:cs="Times New Roman"/>
                <w:caps w:val="0"/>
                <w:smallCaps w:val="0"/>
                <w:lang w:val="en-US" w:eastAsia="zh-CN"/>
              </w:rPr>
              <w:t>+</w:t>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=4\*ROMAN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IV</w:t>
            </w:r>
            <w:r>
              <w:rPr>
                <w:rFonts w:ascii="Times New Roman" w:hAnsi="Times New Roman" w:cs="Times New Roman"/>
                <w:caps w:val="0"/>
                <w:smallCaps w:val="0"/>
                <w:lang w:val="en-US" w:eastAsia="zh-CN"/>
              </w:rPr>
              <w:fldChar w:fldCharType="end"/>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=3\*ROMAN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III</w:t>
            </w:r>
            <w:r>
              <w:rPr>
                <w:rFonts w:ascii="Times New Roman" w:hAnsi="Times New Roman" w:cs="Times New Roman"/>
                <w:caps w:val="0"/>
                <w:smallCaps w:val="0"/>
                <w:lang w:val="en-US" w:eastAsia="zh-CN"/>
              </w:rPr>
              <w:fldChar w:fldCharType="end"/>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=3\*ROMAN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III</w:t>
            </w:r>
            <w:r>
              <w:rPr>
                <w:rFonts w:ascii="Times New Roman" w:hAnsi="Times New Roman" w:cs="Times New Roman"/>
                <w:caps w:val="0"/>
                <w:smallCaps w:val="0"/>
                <w:lang w:val="en-US" w:eastAsia="zh-CN"/>
              </w:rPr>
              <w:fldChar w:fldCharType="end"/>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0"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环境高度敏感区（E1）</w:t>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=4\*ROMAN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IV</w:t>
            </w:r>
            <w:r>
              <w:rPr>
                <w:rFonts w:ascii="Times New Roman" w:hAnsi="Times New Roman" w:cs="Times New Roman"/>
                <w:caps w:val="0"/>
                <w:smallCaps w:val="0"/>
                <w:lang w:val="en-US" w:eastAsia="zh-CN"/>
              </w:rPr>
              <w:fldChar w:fldCharType="end"/>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=3\*ROMAN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III</w:t>
            </w:r>
            <w:r>
              <w:rPr>
                <w:rFonts w:ascii="Times New Roman" w:hAnsi="Times New Roman" w:cs="Times New Roman"/>
                <w:caps w:val="0"/>
                <w:smallCaps w:val="0"/>
                <w:lang w:val="en-US" w:eastAsia="zh-CN"/>
              </w:rPr>
              <w:fldChar w:fldCharType="end"/>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=3\*ROMAN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III</w:t>
            </w:r>
            <w:r>
              <w:rPr>
                <w:rFonts w:ascii="Times New Roman" w:hAnsi="Times New Roman" w:cs="Times New Roman"/>
                <w:caps w:val="0"/>
                <w:smallCaps w:val="0"/>
                <w:lang w:val="en-US" w:eastAsia="zh-CN"/>
              </w:rPr>
              <w:fldChar w:fldCharType="end"/>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=2\*ROMAN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w:t>
            </w:r>
            <w:r>
              <w:rPr>
                <w:rFonts w:ascii="Times New Roman" w:hAnsi="Times New Roman" w:cs="Times New Roman"/>
                <w:caps w:val="0"/>
                <w:smallCaps w:val="0"/>
                <w:lang w:val="en-US" w:eastAsia="zh-CN"/>
              </w:rPr>
              <w:fldChar w:fldCharType="end"/>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00"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环境高度敏感区（E1）</w:t>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=3\*ROMAN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III</w:t>
            </w:r>
            <w:r>
              <w:rPr>
                <w:rFonts w:ascii="Times New Roman" w:hAnsi="Times New Roman" w:cs="Times New Roman"/>
                <w:caps w:val="0"/>
                <w:smallCaps w:val="0"/>
                <w:lang w:val="en-US" w:eastAsia="zh-CN"/>
              </w:rPr>
              <w:fldChar w:fldCharType="end"/>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=3\*ROMAN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III</w:t>
            </w:r>
            <w:r>
              <w:rPr>
                <w:rFonts w:ascii="Times New Roman" w:hAnsi="Times New Roman" w:cs="Times New Roman"/>
                <w:caps w:val="0"/>
                <w:smallCaps w:val="0"/>
                <w:lang w:val="en-US" w:eastAsia="zh-CN"/>
              </w:rPr>
              <w:fldChar w:fldCharType="end"/>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=2\*ROMAN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w:t>
            </w:r>
            <w:r>
              <w:rPr>
                <w:rFonts w:ascii="Times New Roman" w:hAnsi="Times New Roman" w:cs="Times New Roman"/>
                <w:caps w:val="0"/>
                <w:smallCaps w:val="0"/>
                <w:lang w:val="en-US" w:eastAsia="zh-CN"/>
              </w:rPr>
              <w:fldChar w:fldCharType="end"/>
            </w:r>
          </w:p>
        </w:tc>
        <w:tc>
          <w:tcPr>
            <w:tcW w:w="170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=1\*ROMAN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w:t>
            </w:r>
            <w:r>
              <w:rPr>
                <w:rFonts w:ascii="Times New Roman" w:hAnsi="Times New Roman" w:cs="Times New Roman"/>
                <w:caps w:val="0"/>
                <w:smallCaps w:val="0"/>
                <w:lang w:val="en-US" w:eastAsia="zh-CN"/>
              </w:rPr>
              <w:fldChar w:fldCharType="end"/>
            </w:r>
          </w:p>
        </w:tc>
      </w:tr>
    </w:tbl>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根据上表可知，风险潜势由危险物质及工艺系统危险性（P）与环境敏感程度（E）共同确定，而P的分级由危险物质数量与临界量的比值（Q）和所属行业及生产工艺特点（M）共同确定。</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危险物质数量与临界量比值（Q）为每种危险物质在厂界内的最大存在总量与其在《建设项目环境风险评价技术导则》（HJ169-2018）附录B中对应临界量的比值Q，当只涉及一种危险物质时，计算该物质的总量与其临界量比值，即为Q；当存在多种危险物质时，则按照下式计算物质总量与其临界量比值（Q）：</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m:oMathPara>
        <m:oMath>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Q=</m:t>
          </m:r>
          <m:f>
            <m:fP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fPr>
            <m:num>
              <m:sSub>
                <m:sSubP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SubPr>
                <m:e>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q</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e>
                <m:sub>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1</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ub>
              </m:sSub>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num>
            <m:den>
              <m:sSub>
                <m:sSubP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SubPr>
                <m:e>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Q</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e>
                <m:sub>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1</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ub>
              </m:sSub>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den>
          </m:f>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m:t>
          </m:r>
          <m:f>
            <m:fP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fPr>
            <m:num>
              <m:sSub>
                <m:sSubP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SubPr>
                <m:e>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q</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e>
                <m:sub>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2</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ub>
              </m:sSub>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num>
            <m:den>
              <m:sSub>
                <m:sSubP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SubPr>
                <m:e>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Q</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e>
                <m:sub>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2</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ub>
              </m:sSub>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den>
          </m:f>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m:t>
          </m:r>
          <m:f>
            <m:fP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fPr>
            <m:num>
              <m:sSub>
                <m:sSubP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SubPr>
                <m:e>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q</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e>
                <m:sub>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n</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ub>
              </m:sSub>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num>
            <m:den>
              <m:sSub>
                <m:sSubP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SubPr>
                <m:e>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Q</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e>
                <m:sub>
                  <m:r>
                    <m:rPr>
                      <m:sty m:val="p"/>
                    </m:r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t>n</m:t>
                  </m:r>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sub>
              </m:sSub>
              <m:ctrlPr>
                <w:rPr>
                  <w:rFonts w:hint="default" w:ascii="Cambria Math" w:hAnsi="Cambria Math" w:cs="Times New Roman" w:eastAsiaTheme="minorEastAsia"/>
                  <w:caps w:val="0"/>
                  <w:smallCaps w:val="0"/>
                  <w:color w:val="000000" w:themeColor="text1"/>
                  <w:sz w:val="24"/>
                  <w:szCs w:val="24"/>
                  <w14:textFill>
                    <w14:solidFill>
                      <w14:schemeClr w14:val="tx1"/>
                    </w14:solidFill>
                  </w14:textFill>
                </w:rPr>
              </m:ctrlPr>
            </m:den>
          </m:f>
        </m:oMath>
      </m:oMathPara>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式中：q1，q2，…，qn——每种危险物质的最大存在量，t；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Q1，Q2，…，Qn——每种危险物质的临界量，t。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当Q＜1时，该项目风险潜势为</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begin"/>
      </w:r>
      <w:r>
        <w:rPr>
          <w:rFonts w:ascii="Times New Roman" w:hAnsi="Times New Roman" w:cs="Times New Roman" w:eastAsiaTheme="minorEastAsia"/>
          <w:caps w:val="0"/>
          <w:smallCaps w:val="0"/>
          <w:color w:val="000000" w:themeColor="text1"/>
          <w:sz w:val="24"/>
          <w:szCs w:val="24"/>
          <w14:textFill>
            <w14:solidFill>
              <w14:schemeClr w14:val="tx1"/>
            </w14:solidFill>
          </w14:textFill>
        </w:rPr>
        <w:instrText xml:space="preserve">=1\*ROMAN</w:instrTex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separate"/>
      </w:r>
      <w:r>
        <w:rPr>
          <w:rFonts w:ascii="Times New Roman" w:hAnsi="Times New Roman" w:cs="Times New Roman" w:eastAsiaTheme="minorEastAsia"/>
          <w:caps w:val="0"/>
          <w:smallCaps w:val="0"/>
          <w:color w:val="000000" w:themeColor="text1"/>
          <w:sz w:val="24"/>
          <w:szCs w:val="24"/>
          <w14:textFill>
            <w14:solidFill>
              <w14:schemeClr w14:val="tx1"/>
            </w14:solidFill>
          </w14:textFill>
        </w:rPr>
        <w:t>I</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fldChar w:fldCharType="end"/>
      </w:r>
      <w:r>
        <w:rPr>
          <w:rFonts w:ascii="Times New Roman" w:hAnsi="Times New Roman" w:cs="Times New Roman" w:eastAsiaTheme="minorEastAsia"/>
          <w:caps w:val="0"/>
          <w:smallCaps w:val="0"/>
          <w:color w:val="000000" w:themeColor="text1"/>
          <w:sz w:val="24"/>
          <w:szCs w:val="24"/>
          <w14:textFill>
            <w14:solidFill>
              <w14:schemeClr w14:val="tx1"/>
            </w14:solidFill>
          </w14:textFill>
        </w:rPr>
        <w: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当Q≥1时，将Q值划分为：（1）1≤Q＜10；（2）10≤Q＜100；（3）Q≥100。</w:t>
      </w:r>
    </w:p>
    <w:p>
      <w:pPr>
        <w:pStyle w:val="94"/>
        <w:rPr>
          <w:rFonts w:ascii="Times New Roman" w:hAnsi="Times New Roman" w:cs="Times New Roman"/>
          <w:caps w:val="0"/>
          <w:smallCaps w:val="0"/>
        </w:rPr>
      </w:pPr>
      <w:r>
        <w:rPr>
          <w:rFonts w:ascii="Times New Roman" w:hAnsi="Times New Roman" w:cs="Times New Roman"/>
          <w:caps w:val="0"/>
          <w:smallCaps w:val="0"/>
        </w:rPr>
        <w:t>表</w:t>
      </w:r>
      <w:r>
        <w:rPr>
          <w:rFonts w:hint="eastAsia" w:ascii="Times New Roman" w:hAnsi="Times New Roman" w:cs="Times New Roman"/>
          <w:caps w:val="0"/>
          <w:smallCaps w:val="0"/>
          <w:lang w:val="en-US" w:eastAsia="zh-CN"/>
        </w:rPr>
        <w:t>6.2</w:t>
      </w:r>
      <w:r>
        <w:rPr>
          <w:rFonts w:hint="eastAsia" w:ascii="Times New Roman" w:hAnsi="Times New Roman" w:cs="Times New Roman"/>
          <w:caps w:val="0"/>
          <w:smallCaps w:val="0"/>
        </w:rPr>
        <w:t>-2</w:t>
      </w:r>
      <w:r>
        <w:rPr>
          <w:rFonts w:ascii="Times New Roman" w:hAnsi="Times New Roman" w:cs="Times New Roman"/>
          <w:caps w:val="0"/>
          <w:smallCaps w:val="0"/>
        </w:rPr>
        <w:t>涉及的风险物质及Q值计算一览表</w:t>
      </w:r>
    </w:p>
    <w:tbl>
      <w:tblPr>
        <w:tblStyle w:val="71"/>
        <w:tblW w:w="8504"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30" w:type="dxa"/>
          <w:bottom w:w="0" w:type="dxa"/>
          <w:right w:w="30" w:type="dxa"/>
        </w:tblCellMar>
      </w:tblPr>
      <w:tblGrid>
        <w:gridCol w:w="523"/>
        <w:gridCol w:w="1148"/>
        <w:gridCol w:w="1397"/>
        <w:gridCol w:w="1259"/>
        <w:gridCol w:w="1155"/>
        <w:gridCol w:w="1071"/>
        <w:gridCol w:w="900"/>
        <w:gridCol w:w="1051"/>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30" w:type="dxa"/>
            <w:bottom w:w="0" w:type="dxa"/>
            <w:right w:w="30" w:type="dxa"/>
          </w:tblCellMar>
        </w:tblPrEx>
        <w:trPr>
          <w:trHeight w:val="340" w:hRule="atLeast"/>
          <w:jc w:val="center"/>
        </w:trPr>
        <w:tc>
          <w:tcPr>
            <w:tcW w:w="523"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序号</w:t>
            </w:r>
          </w:p>
        </w:tc>
        <w:tc>
          <w:tcPr>
            <w:tcW w:w="1148"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名称</w:t>
            </w:r>
          </w:p>
        </w:tc>
        <w:tc>
          <w:tcPr>
            <w:tcW w:w="1397"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理化性质</w:t>
            </w:r>
          </w:p>
        </w:tc>
        <w:tc>
          <w:tcPr>
            <w:tcW w:w="1259"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危害特性</w:t>
            </w:r>
          </w:p>
        </w:tc>
        <w:tc>
          <w:tcPr>
            <w:tcW w:w="1155"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贮存方式</w:t>
            </w:r>
          </w:p>
        </w:tc>
        <w:tc>
          <w:tcPr>
            <w:tcW w:w="107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最大贮存量q</w:t>
            </w:r>
            <w:r>
              <w:rPr>
                <w:rFonts w:hint="eastAsia" w:ascii="Times New Roman" w:hAnsi="Times New Roman" w:cs="Times New Roman"/>
                <w:caps w:val="0"/>
                <w:smallCaps w:val="0"/>
                <w:lang w:val="en-US" w:eastAsia="zh-CN"/>
              </w:rPr>
              <w:t>i</w:t>
            </w:r>
          </w:p>
        </w:tc>
        <w:tc>
          <w:tcPr>
            <w:tcW w:w="900"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临界量Q</w:t>
            </w:r>
            <w:r>
              <w:rPr>
                <w:rFonts w:hint="eastAsia" w:ascii="Times New Roman" w:hAnsi="Times New Roman" w:cs="Times New Roman"/>
                <w:caps w:val="0"/>
                <w:smallCaps w:val="0"/>
                <w:lang w:val="en-US" w:eastAsia="zh-CN"/>
              </w:rPr>
              <w:t>i</w:t>
            </w:r>
          </w:p>
        </w:tc>
        <w:tc>
          <w:tcPr>
            <w:tcW w:w="105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q</w:t>
            </w:r>
            <w:r>
              <w:rPr>
                <w:rFonts w:hint="eastAsia" w:ascii="Times New Roman" w:hAnsi="Times New Roman" w:cs="Times New Roman"/>
                <w:caps w:val="0"/>
                <w:smallCaps w:val="0"/>
                <w:lang w:val="en-US" w:eastAsia="zh-CN"/>
              </w:rPr>
              <w:t>i</w:t>
            </w:r>
            <w:r>
              <w:rPr>
                <w:rFonts w:ascii="Times New Roman" w:hAnsi="Times New Roman" w:cs="Times New Roman"/>
                <w:caps w:val="0"/>
                <w:smallCaps w:val="0"/>
                <w:lang w:val="en-US" w:eastAsia="zh-CN"/>
              </w:rPr>
              <w:t>/Q</w:t>
            </w:r>
            <w:r>
              <w:rPr>
                <w:rFonts w:hint="eastAsia" w:ascii="Times New Roman" w:hAnsi="Times New Roman" w:cs="Times New Roman"/>
                <w:caps w:val="0"/>
                <w:smallCaps w:val="0"/>
                <w:lang w:val="en-US" w:eastAsia="zh-CN"/>
              </w:rPr>
              <w:t>i</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30" w:type="dxa"/>
            <w:bottom w:w="0" w:type="dxa"/>
            <w:right w:w="30" w:type="dxa"/>
          </w:tblCellMar>
        </w:tblPrEx>
        <w:trPr>
          <w:trHeight w:val="340" w:hRule="atLeast"/>
          <w:jc w:val="center"/>
        </w:trPr>
        <w:tc>
          <w:tcPr>
            <w:tcW w:w="523"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w:t>
            </w:r>
          </w:p>
        </w:tc>
        <w:tc>
          <w:tcPr>
            <w:tcW w:w="1148"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废矿物油</w:t>
            </w:r>
          </w:p>
        </w:tc>
        <w:tc>
          <w:tcPr>
            <w:tcW w:w="1397" w:type="dxa"/>
            <w:noWrap w:val="0"/>
            <w:vAlign w:val="center"/>
          </w:tcPr>
          <w:p>
            <w:pPr>
              <w:pStyle w:val="117"/>
              <w:bidi w:val="0"/>
              <w:rPr>
                <w:rFonts w:hint="eastAsia" w:ascii="Times New Roman" w:hAnsi="Times New Roman" w:cs="Times New Roman"/>
                <w:caps w:val="0"/>
                <w:smallCaps w:val="0"/>
                <w:lang w:val="en-US" w:eastAsia="zh-CN"/>
              </w:rPr>
            </w:pPr>
            <w:r>
              <w:rPr>
                <w:rFonts w:ascii="Times New Roman" w:hAnsi="Times New Roman" w:cs="Times New Roman"/>
                <w:caps w:val="0"/>
                <w:smallCaps w:val="0"/>
                <w:lang w:val="en-US" w:eastAsia="zh-CN"/>
              </w:rPr>
              <w:t>危险固废HW08</w:t>
            </w:r>
          </w:p>
        </w:tc>
        <w:tc>
          <w:tcPr>
            <w:tcW w:w="1259"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危险废物</w:t>
            </w:r>
          </w:p>
        </w:tc>
        <w:tc>
          <w:tcPr>
            <w:tcW w:w="1155"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w:t>
            </w:r>
          </w:p>
        </w:tc>
        <w:tc>
          <w:tcPr>
            <w:tcW w:w="1071"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0.1t</w:t>
            </w:r>
          </w:p>
        </w:tc>
        <w:tc>
          <w:tcPr>
            <w:tcW w:w="900"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2500t</w:t>
            </w:r>
          </w:p>
        </w:tc>
        <w:tc>
          <w:tcPr>
            <w:tcW w:w="1051" w:type="dxa"/>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0.00004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30" w:type="dxa"/>
            <w:bottom w:w="0" w:type="dxa"/>
            <w:right w:w="30" w:type="dxa"/>
          </w:tblCellMar>
        </w:tblPrEx>
        <w:trPr>
          <w:trHeight w:val="340" w:hRule="atLeast"/>
          <w:jc w:val="center"/>
        </w:trPr>
        <w:tc>
          <w:tcPr>
            <w:tcW w:w="523"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w:t>
            </w:r>
          </w:p>
        </w:tc>
        <w:tc>
          <w:tcPr>
            <w:tcW w:w="1148"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导热油</w:t>
            </w:r>
          </w:p>
        </w:tc>
        <w:tc>
          <w:tcPr>
            <w:tcW w:w="1397" w:type="dxa"/>
            <w:noWrap w:val="0"/>
            <w:vAlign w:val="center"/>
          </w:tcPr>
          <w:p>
            <w:pPr>
              <w:pStyle w:val="117"/>
              <w:bidi w:val="0"/>
              <w:ind w:firstLine="0" w:firstLineChars="0"/>
              <w:rPr>
                <w:rFonts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lang w:val="en-US" w:eastAsia="zh-CN"/>
              </w:rPr>
              <w:t>矿物油类</w:t>
            </w:r>
          </w:p>
        </w:tc>
        <w:tc>
          <w:tcPr>
            <w:tcW w:w="1259" w:type="dxa"/>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lang w:val="en-US" w:eastAsia="zh-CN" w:bidi="ar-SA"/>
              </w:rPr>
            </w:pPr>
            <w:r>
              <w:rPr>
                <w:rFonts w:ascii="Times New Roman" w:hAnsi="Times New Roman" w:cs="Times New Roman"/>
                <w:caps w:val="0"/>
                <w:smallCaps w:val="0"/>
                <w:lang w:val="en-US" w:eastAsia="zh-CN"/>
              </w:rPr>
              <w:t>易燃物质</w:t>
            </w:r>
          </w:p>
        </w:tc>
        <w:tc>
          <w:tcPr>
            <w:tcW w:w="1155"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导热油系统</w:t>
            </w:r>
          </w:p>
        </w:tc>
        <w:tc>
          <w:tcPr>
            <w:tcW w:w="1071" w:type="dxa"/>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0.1t</w:t>
            </w:r>
          </w:p>
        </w:tc>
        <w:tc>
          <w:tcPr>
            <w:tcW w:w="900"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2500t</w:t>
            </w:r>
          </w:p>
        </w:tc>
        <w:tc>
          <w:tcPr>
            <w:tcW w:w="1051"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0.00004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30" w:type="dxa"/>
            <w:bottom w:w="0" w:type="dxa"/>
            <w:right w:w="30" w:type="dxa"/>
          </w:tblCellMar>
        </w:tblPrEx>
        <w:trPr>
          <w:trHeight w:val="340" w:hRule="atLeast"/>
          <w:jc w:val="center"/>
        </w:trPr>
        <w:tc>
          <w:tcPr>
            <w:tcW w:w="523" w:type="dxa"/>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3</w:t>
            </w:r>
          </w:p>
        </w:tc>
        <w:tc>
          <w:tcPr>
            <w:tcW w:w="1148" w:type="dxa"/>
            <w:noWrap w:val="0"/>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柴油</w:t>
            </w:r>
          </w:p>
        </w:tc>
        <w:tc>
          <w:tcPr>
            <w:tcW w:w="1397"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矿物油类</w:t>
            </w:r>
          </w:p>
        </w:tc>
        <w:tc>
          <w:tcPr>
            <w:tcW w:w="1259" w:type="dxa"/>
            <w:noWrap w:val="0"/>
            <w:vAlign w:val="center"/>
          </w:tcPr>
          <w:p>
            <w:pPr>
              <w:pStyle w:val="117"/>
              <w:bidi w:val="0"/>
              <w:rPr>
                <w:rFonts w:hint="eastAsia" w:ascii="Times New Roman" w:hAnsi="Times New Roman" w:cs="Times New Roman"/>
                <w:caps w:val="0"/>
                <w:smallCaps w:val="0"/>
                <w:lang w:val="en-US" w:eastAsia="zh-CN"/>
              </w:rPr>
            </w:pPr>
            <w:r>
              <w:rPr>
                <w:rFonts w:ascii="Times New Roman" w:hAnsi="Times New Roman" w:cs="Times New Roman"/>
                <w:caps w:val="0"/>
                <w:smallCaps w:val="0"/>
                <w:lang w:val="en-US" w:eastAsia="zh-CN"/>
              </w:rPr>
              <w:t>易燃物质</w:t>
            </w:r>
          </w:p>
        </w:tc>
        <w:tc>
          <w:tcPr>
            <w:tcW w:w="1155"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趸船</w:t>
            </w:r>
          </w:p>
        </w:tc>
        <w:tc>
          <w:tcPr>
            <w:tcW w:w="1071" w:type="dxa"/>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10t</w:t>
            </w:r>
          </w:p>
        </w:tc>
        <w:tc>
          <w:tcPr>
            <w:tcW w:w="900" w:type="dxa"/>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2500t</w:t>
            </w:r>
          </w:p>
        </w:tc>
        <w:tc>
          <w:tcPr>
            <w:tcW w:w="1051" w:type="dxa"/>
            <w:noWrap w:val="0"/>
            <w:vAlign w:val="center"/>
          </w:tcPr>
          <w:p>
            <w:pPr>
              <w:pStyle w:val="117"/>
              <w:bidi w:val="0"/>
              <w:rPr>
                <w:rFonts w:hint="eastAsia"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0.004</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30" w:type="dxa"/>
            <w:bottom w:w="0" w:type="dxa"/>
            <w:right w:w="30" w:type="dxa"/>
          </w:tblCellMar>
        </w:tblPrEx>
        <w:trPr>
          <w:trHeight w:val="340" w:hRule="atLeast"/>
          <w:jc w:val="center"/>
        </w:trPr>
        <w:tc>
          <w:tcPr>
            <w:tcW w:w="7453" w:type="dxa"/>
            <w:gridSpan w:val="7"/>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合计</w:t>
            </w:r>
          </w:p>
        </w:tc>
        <w:tc>
          <w:tcPr>
            <w:tcW w:w="1051" w:type="dxa"/>
            <w:noWrap w:val="0"/>
            <w:vAlign w:val="center"/>
          </w:tcPr>
          <w:p>
            <w:pPr>
              <w:pStyle w:val="117"/>
              <w:bidi w:val="0"/>
              <w:rPr>
                <w:rFonts w:hint="default" w:ascii="Times New Roman" w:hAnsi="Times New Roman" w:cs="Times New Roman"/>
                <w:caps w:val="0"/>
                <w:smallCaps w:val="0"/>
                <w:lang w:val="en-US" w:eastAsia="zh-CN"/>
              </w:rPr>
            </w:pPr>
            <w:r>
              <w:rPr>
                <w:rFonts w:ascii="Times New Roman" w:hAnsi="Times New Roman" w:cs="Times New Roman"/>
                <w:caps w:val="0"/>
                <w:smallCaps w:val="0"/>
                <w:lang w:val="en-US" w:eastAsia="zh-CN"/>
              </w:rPr>
              <w:t>0.0</w:t>
            </w:r>
            <w:r>
              <w:rPr>
                <w:rFonts w:hint="eastAsia" w:ascii="Times New Roman" w:hAnsi="Times New Roman" w:cs="Times New Roman"/>
                <w:caps w:val="0"/>
                <w:smallCaps w:val="0"/>
                <w:lang w:val="en-US" w:eastAsia="zh-CN"/>
              </w:rPr>
              <w:t>0408</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30" w:type="dxa"/>
            <w:bottom w:w="0" w:type="dxa"/>
            <w:right w:w="30" w:type="dxa"/>
          </w:tblCellMar>
        </w:tblPrEx>
        <w:trPr>
          <w:trHeight w:val="340" w:hRule="atLeast"/>
          <w:jc w:val="center"/>
        </w:trPr>
        <w:tc>
          <w:tcPr>
            <w:tcW w:w="8504" w:type="dxa"/>
            <w:gridSpan w:val="8"/>
            <w:noWrap w:val="0"/>
            <w:vAlign w:val="center"/>
          </w:tcPr>
          <w:p>
            <w:pPr>
              <w:pStyle w:val="117"/>
              <w:bidi w:val="0"/>
              <w:rPr>
                <w:rFonts w:hint="eastAsia" w:ascii="Times New Roman" w:hAnsi="Times New Roman" w:cs="Times New Roman"/>
                <w:caps w:val="0"/>
                <w:smallCaps w:val="0"/>
                <w:lang w:val="en-US" w:eastAsia="zh-CN"/>
              </w:rPr>
            </w:pPr>
            <w:r>
              <w:rPr>
                <w:rFonts w:ascii="Times New Roman" w:hAnsi="Times New Roman" w:cs="Times New Roman"/>
                <w:caps w:val="0"/>
                <w:smallCaps w:val="0"/>
                <w:lang w:val="en-US" w:eastAsia="zh-CN"/>
              </w:rPr>
              <w:t>注：</w:t>
            </w:r>
            <w:r>
              <w:rPr>
                <w:rFonts w:hint="eastAsia" w:ascii="Times New Roman" w:hAnsi="Times New Roman" w:cs="Times New Roman"/>
                <w:caps w:val="0"/>
                <w:smallCaps w:val="0"/>
                <w:lang w:val="en-US" w:eastAsia="zh-CN"/>
              </w:rPr>
              <w:t>临界量Qi参照《建设项目环境风险评价技术导则》（HJ169-2018）附录B里所列的临界值，均以纯物质来计。</w:t>
            </w:r>
          </w:p>
        </w:tc>
      </w:tr>
    </w:tbl>
    <w:p>
      <w:pPr>
        <w:pStyle w:val="137"/>
        <w:ind w:firstLine="480"/>
        <w:rPr>
          <w:rFonts w:ascii="Times New Roman" w:hAnsi="Times New Roman" w:cs="Times New Roman"/>
          <w:caps w:val="0"/>
          <w:smallCaps w:val="0"/>
        </w:rPr>
      </w:pPr>
      <w:r>
        <w:rPr>
          <w:rFonts w:ascii="Times New Roman" w:hAnsi="Times New Roman" w:cs="Times New Roman"/>
          <w:caps w:val="0"/>
          <w:smallCaps w:val="0"/>
        </w:rPr>
        <w:t>所以本项目危险物质的数量与临界量比值Q</w:t>
      </w:r>
      <w:r>
        <w:rPr>
          <w:rFonts w:hint="eastAsia" w:ascii="Times New Roman" w:hAnsi="Times New Roman" w:cs="Times New Roman"/>
          <w:caps w:val="0"/>
          <w:smallCaps w:val="0"/>
        </w:rPr>
        <w:t>=</w:t>
      </w:r>
      <w:r>
        <w:rPr>
          <w:rFonts w:ascii="Times New Roman" w:hAnsi="Times New Roman" w:cs="Times New Roman"/>
          <w:caps w:val="0"/>
          <w:smallCaps w:val="0"/>
        </w:rPr>
        <w:t>0.</w:t>
      </w:r>
      <w:r>
        <w:rPr>
          <w:rFonts w:hint="eastAsia" w:ascii="Times New Roman" w:hAnsi="Times New Roman" w:cs="Times New Roman"/>
          <w:caps w:val="0"/>
          <w:smallCaps w:val="0"/>
          <w:lang w:eastAsia="zh-CN"/>
        </w:rPr>
        <w:t>004</w:t>
      </w:r>
      <w:r>
        <w:rPr>
          <w:rFonts w:hint="eastAsia" w:ascii="Times New Roman" w:hAnsi="Times New Roman" w:cs="Times New Roman"/>
          <w:caps w:val="0"/>
          <w:smallCaps w:val="0"/>
          <w:lang w:val="en-US" w:eastAsia="zh-CN"/>
        </w:rPr>
        <w:t>04</w:t>
      </w:r>
      <w:r>
        <w:rPr>
          <w:rFonts w:ascii="Times New Roman" w:hAnsi="Times New Roman" w:cs="Times New Roman"/>
          <w:caps w:val="0"/>
          <w:smallCaps w:val="0"/>
        </w:rPr>
        <w:t>＜1，风险潜势为</w:t>
      </w:r>
      <w:r>
        <w:rPr>
          <w:rFonts w:ascii="Times New Roman" w:hAnsi="Times New Roman" w:cs="Times New Roman"/>
          <w:caps w:val="0"/>
          <w:smallCaps w:val="0"/>
        </w:rPr>
        <w:fldChar w:fldCharType="begin"/>
      </w:r>
      <w:r>
        <w:rPr>
          <w:rFonts w:ascii="Times New Roman" w:hAnsi="Times New Roman" w:cs="Times New Roman"/>
          <w:caps w:val="0"/>
          <w:smallCaps w:val="0"/>
        </w:rPr>
        <w:instrText xml:space="preserve">=1\*ROMAN</w:instrText>
      </w:r>
      <w:r>
        <w:rPr>
          <w:rFonts w:ascii="Times New Roman" w:hAnsi="Times New Roman" w:cs="Times New Roman"/>
          <w:caps w:val="0"/>
          <w:smallCaps w:val="0"/>
        </w:rPr>
        <w:fldChar w:fldCharType="separate"/>
      </w:r>
      <w:r>
        <w:rPr>
          <w:rFonts w:ascii="Times New Roman" w:hAnsi="Times New Roman" w:cs="Times New Roman"/>
          <w:caps w:val="0"/>
          <w:smallCaps w:val="0"/>
        </w:rPr>
        <w:t>I</w:t>
      </w:r>
      <w:r>
        <w:rPr>
          <w:rFonts w:ascii="Times New Roman" w:hAnsi="Times New Roman" w:cs="Times New Roman"/>
          <w:caps w:val="0"/>
          <w:smallCaps w:val="0"/>
        </w:rPr>
        <w:fldChar w:fldCharType="end"/>
      </w:r>
      <w:r>
        <w:rPr>
          <w:rFonts w:ascii="Times New Roman" w:hAnsi="Times New Roman" w:cs="Times New Roman"/>
          <w:caps w:val="0"/>
          <w:smallCaps w:val="0"/>
        </w:rPr>
        <w:t>。</w:t>
      </w:r>
    </w:p>
    <w:p>
      <w:pPr>
        <w:pStyle w:val="5"/>
        <w:bidi w:val="0"/>
        <w:rPr>
          <w:rFonts w:ascii="Times New Roman" w:hAnsi="Times New Roman" w:cs="Times New Roman"/>
          <w:caps w:val="0"/>
          <w:smallCaps w:val="0"/>
        </w:rPr>
      </w:pPr>
      <w:bookmarkStart w:id="125" w:name="_Toc20623"/>
      <w:r>
        <w:rPr>
          <w:rFonts w:hint="eastAsia" w:ascii="Times New Roman" w:hAnsi="Times New Roman" w:cs="Times New Roman"/>
          <w:caps w:val="0"/>
          <w:smallCaps w:val="0"/>
          <w:lang w:val="en-US" w:eastAsia="zh-CN"/>
        </w:rPr>
        <w:t>评价等级判定</w:t>
      </w:r>
      <w:bookmarkEnd w:id="125"/>
    </w:p>
    <w:p>
      <w:pPr>
        <w:spacing w:line="360" w:lineRule="auto"/>
        <w:ind w:firstLine="480" w:firstLineChars="200"/>
        <w:rPr>
          <w:rFonts w:ascii="Times New Roman" w:hAnsi="Times New Roman" w:cs="Times New Roman"/>
          <w:caps w:val="0"/>
          <w:smallCaps w:val="0"/>
          <w:kern w:val="0"/>
          <w:sz w:val="18"/>
          <w:szCs w:val="18"/>
        </w:rPr>
      </w:pPr>
      <w:r>
        <w:rPr>
          <w:rFonts w:ascii="Times New Roman" w:hAnsi="Times New Roman" w:cs="Times New Roman"/>
          <w:caps w:val="0"/>
          <w:smallCaps w:val="0"/>
          <w:kern w:val="0"/>
          <w:sz w:val="24"/>
        </w:rPr>
        <w:t>环境风险评价工作等级划分为一级、二级、三级。根据建设项目设计的物质及工艺系统危险性和所在地的环境敏感性确定环境风险潜势，按照下表确定工作等级。风险潜势为</w:t>
      </w:r>
      <w:r>
        <w:rPr>
          <w:rFonts w:ascii="Times New Roman" w:hAnsi="Times New Roman" w:cs="Times New Roman"/>
          <w:bCs/>
          <w:caps w:val="0"/>
          <w:smallCaps w:val="0"/>
          <w:sz w:val="24"/>
        </w:rPr>
        <w:fldChar w:fldCharType="begin"/>
      </w:r>
      <w:r>
        <w:rPr>
          <w:rFonts w:ascii="Times New Roman" w:hAnsi="Times New Roman" w:cs="Times New Roman"/>
          <w:bCs/>
          <w:caps w:val="0"/>
          <w:smallCaps w:val="0"/>
          <w:sz w:val="24"/>
        </w:rPr>
        <w:instrText xml:space="preserve">=4\*ROMAN</w:instrText>
      </w:r>
      <w:r>
        <w:rPr>
          <w:rFonts w:ascii="Times New Roman" w:hAnsi="Times New Roman" w:cs="Times New Roman"/>
          <w:bCs/>
          <w:caps w:val="0"/>
          <w:smallCaps w:val="0"/>
          <w:sz w:val="24"/>
        </w:rPr>
        <w:fldChar w:fldCharType="separate"/>
      </w:r>
      <w:r>
        <w:rPr>
          <w:rFonts w:ascii="Times New Roman" w:hAnsi="Times New Roman" w:cs="Times New Roman"/>
          <w:bCs/>
          <w:caps w:val="0"/>
          <w:smallCaps w:val="0"/>
          <w:sz w:val="24"/>
        </w:rPr>
        <w:t>IV</w:t>
      </w:r>
      <w:r>
        <w:rPr>
          <w:rFonts w:ascii="Times New Roman" w:hAnsi="Times New Roman" w:cs="Times New Roman"/>
          <w:bCs/>
          <w:caps w:val="0"/>
          <w:smallCaps w:val="0"/>
          <w:sz w:val="24"/>
        </w:rPr>
        <w:fldChar w:fldCharType="end"/>
      </w:r>
      <w:r>
        <w:rPr>
          <w:rFonts w:ascii="Times New Roman" w:hAnsi="Times New Roman" w:cs="Times New Roman"/>
          <w:caps w:val="0"/>
          <w:smallCaps w:val="0"/>
          <w:kern w:val="0"/>
          <w:sz w:val="24"/>
        </w:rPr>
        <w:t>及以上，进行一级评价；风险潜势为</w:t>
      </w:r>
      <w:r>
        <w:rPr>
          <w:rFonts w:ascii="Times New Roman" w:hAnsi="Times New Roman" w:cs="Times New Roman"/>
          <w:bCs/>
          <w:caps w:val="0"/>
          <w:smallCaps w:val="0"/>
          <w:sz w:val="24"/>
        </w:rPr>
        <w:fldChar w:fldCharType="begin"/>
      </w:r>
      <w:r>
        <w:rPr>
          <w:rFonts w:ascii="Times New Roman" w:hAnsi="Times New Roman" w:cs="Times New Roman"/>
          <w:bCs/>
          <w:caps w:val="0"/>
          <w:smallCaps w:val="0"/>
          <w:sz w:val="24"/>
        </w:rPr>
        <w:instrText xml:space="preserve">=3\*ROMAN</w:instrText>
      </w:r>
      <w:r>
        <w:rPr>
          <w:rFonts w:ascii="Times New Roman" w:hAnsi="Times New Roman" w:cs="Times New Roman"/>
          <w:bCs/>
          <w:caps w:val="0"/>
          <w:smallCaps w:val="0"/>
          <w:sz w:val="24"/>
        </w:rPr>
        <w:fldChar w:fldCharType="separate"/>
      </w:r>
      <w:r>
        <w:rPr>
          <w:rFonts w:ascii="Times New Roman" w:hAnsi="Times New Roman" w:cs="Times New Roman"/>
          <w:bCs/>
          <w:caps w:val="0"/>
          <w:smallCaps w:val="0"/>
          <w:sz w:val="24"/>
        </w:rPr>
        <w:t>III</w:t>
      </w:r>
      <w:r>
        <w:rPr>
          <w:rFonts w:ascii="Times New Roman" w:hAnsi="Times New Roman" w:cs="Times New Roman"/>
          <w:bCs/>
          <w:caps w:val="0"/>
          <w:smallCaps w:val="0"/>
          <w:sz w:val="24"/>
        </w:rPr>
        <w:fldChar w:fldCharType="end"/>
      </w:r>
      <w:r>
        <w:rPr>
          <w:rFonts w:ascii="Times New Roman" w:hAnsi="Times New Roman" w:cs="Times New Roman"/>
          <w:caps w:val="0"/>
          <w:smallCaps w:val="0"/>
          <w:kern w:val="0"/>
          <w:sz w:val="24"/>
        </w:rPr>
        <w:t>，进行二级评价；风险潜势为</w:t>
      </w:r>
      <w:r>
        <w:rPr>
          <w:rFonts w:ascii="Times New Roman" w:hAnsi="Times New Roman" w:cs="Times New Roman"/>
          <w:bCs/>
          <w:caps w:val="0"/>
          <w:smallCaps w:val="0"/>
          <w:sz w:val="24"/>
        </w:rPr>
        <w:fldChar w:fldCharType="begin"/>
      </w:r>
      <w:r>
        <w:rPr>
          <w:rFonts w:ascii="Times New Roman" w:hAnsi="Times New Roman" w:cs="Times New Roman"/>
          <w:bCs/>
          <w:caps w:val="0"/>
          <w:smallCaps w:val="0"/>
          <w:sz w:val="24"/>
        </w:rPr>
        <w:instrText xml:space="preserve">=2\*ROMAN</w:instrText>
      </w:r>
      <w:r>
        <w:rPr>
          <w:rFonts w:ascii="Times New Roman" w:hAnsi="Times New Roman" w:cs="Times New Roman"/>
          <w:bCs/>
          <w:caps w:val="0"/>
          <w:smallCaps w:val="0"/>
          <w:sz w:val="24"/>
        </w:rPr>
        <w:fldChar w:fldCharType="separate"/>
      </w:r>
      <w:r>
        <w:rPr>
          <w:rFonts w:ascii="Times New Roman" w:hAnsi="Times New Roman" w:cs="Times New Roman"/>
          <w:bCs/>
          <w:caps w:val="0"/>
          <w:smallCaps w:val="0"/>
          <w:sz w:val="24"/>
        </w:rPr>
        <w:t>II</w:t>
      </w:r>
      <w:r>
        <w:rPr>
          <w:rFonts w:ascii="Times New Roman" w:hAnsi="Times New Roman" w:cs="Times New Roman"/>
          <w:bCs/>
          <w:caps w:val="0"/>
          <w:smallCaps w:val="0"/>
          <w:sz w:val="24"/>
        </w:rPr>
        <w:fldChar w:fldCharType="end"/>
      </w:r>
      <w:r>
        <w:rPr>
          <w:rFonts w:ascii="Times New Roman" w:hAnsi="Times New Roman" w:cs="Times New Roman"/>
          <w:caps w:val="0"/>
          <w:smallCaps w:val="0"/>
          <w:kern w:val="0"/>
          <w:sz w:val="24"/>
        </w:rPr>
        <w:t>，进行三级评价；风险潜势为</w:t>
      </w:r>
      <w:r>
        <w:rPr>
          <w:rFonts w:ascii="Times New Roman" w:hAnsi="Times New Roman" w:cs="Times New Roman"/>
          <w:bCs/>
          <w:caps w:val="0"/>
          <w:smallCaps w:val="0"/>
          <w:sz w:val="24"/>
        </w:rPr>
        <w:fldChar w:fldCharType="begin"/>
      </w:r>
      <w:r>
        <w:rPr>
          <w:rFonts w:ascii="Times New Roman" w:hAnsi="Times New Roman" w:cs="Times New Roman"/>
          <w:bCs/>
          <w:caps w:val="0"/>
          <w:smallCaps w:val="0"/>
          <w:sz w:val="24"/>
        </w:rPr>
        <w:instrText xml:space="preserve">=1\*ROMAN</w:instrText>
      </w:r>
      <w:r>
        <w:rPr>
          <w:rFonts w:ascii="Times New Roman" w:hAnsi="Times New Roman" w:cs="Times New Roman"/>
          <w:bCs/>
          <w:caps w:val="0"/>
          <w:smallCaps w:val="0"/>
          <w:sz w:val="24"/>
        </w:rPr>
        <w:fldChar w:fldCharType="separate"/>
      </w:r>
      <w:r>
        <w:rPr>
          <w:rFonts w:ascii="Times New Roman" w:hAnsi="Times New Roman" w:cs="Times New Roman"/>
          <w:bCs/>
          <w:caps w:val="0"/>
          <w:smallCaps w:val="0"/>
          <w:sz w:val="24"/>
        </w:rPr>
        <w:t>I</w:t>
      </w:r>
      <w:r>
        <w:rPr>
          <w:rFonts w:ascii="Times New Roman" w:hAnsi="Times New Roman" w:cs="Times New Roman"/>
          <w:bCs/>
          <w:caps w:val="0"/>
          <w:smallCaps w:val="0"/>
          <w:sz w:val="24"/>
        </w:rPr>
        <w:fldChar w:fldCharType="end"/>
      </w:r>
      <w:r>
        <w:rPr>
          <w:rFonts w:ascii="Times New Roman" w:hAnsi="Times New Roman" w:cs="Times New Roman"/>
          <w:caps w:val="0"/>
          <w:smallCaps w:val="0"/>
          <w:kern w:val="0"/>
          <w:sz w:val="24"/>
        </w:rPr>
        <w:t>，可开展简单分析。</w:t>
      </w:r>
    </w:p>
    <w:p>
      <w:pPr>
        <w:pStyle w:val="94"/>
        <w:rPr>
          <w:rFonts w:ascii="Times New Roman" w:hAnsi="Times New Roman" w:cs="Times New Roman"/>
          <w:caps w:val="0"/>
          <w:smallCaps w:val="0"/>
        </w:rPr>
      </w:pPr>
    </w:p>
    <w:p>
      <w:pPr>
        <w:pStyle w:val="94"/>
        <w:rPr>
          <w:rFonts w:ascii="Times New Roman" w:hAnsi="Times New Roman" w:cs="Times New Roman"/>
          <w:caps w:val="0"/>
          <w:smallCaps w:val="0"/>
        </w:rPr>
      </w:pPr>
    </w:p>
    <w:p>
      <w:pPr>
        <w:pStyle w:val="94"/>
        <w:rPr>
          <w:rFonts w:ascii="Times New Roman" w:hAnsi="Times New Roman" w:cs="Times New Roman"/>
          <w:caps w:val="0"/>
          <w:smallCaps w:val="0"/>
        </w:rPr>
      </w:pPr>
      <w:r>
        <w:rPr>
          <w:rFonts w:ascii="Times New Roman" w:hAnsi="Times New Roman" w:cs="Times New Roman"/>
          <w:caps w:val="0"/>
          <w:smallCaps w:val="0"/>
        </w:rPr>
        <w:t>表</w:t>
      </w:r>
      <w:r>
        <w:rPr>
          <w:rFonts w:hint="eastAsia" w:ascii="Times New Roman" w:hAnsi="Times New Roman" w:cs="Times New Roman"/>
          <w:caps w:val="0"/>
          <w:smallCaps w:val="0"/>
          <w:lang w:val="en-US" w:eastAsia="zh-CN"/>
        </w:rPr>
        <w:t>6.3</w:t>
      </w:r>
      <w:r>
        <w:rPr>
          <w:rFonts w:hint="eastAsia" w:ascii="Times New Roman" w:hAnsi="Times New Roman" w:cs="Times New Roman"/>
          <w:caps w:val="0"/>
          <w:smallCaps w:val="0"/>
          <w:lang w:eastAsia="zh-CN"/>
        </w:rPr>
        <w:t>-</w:t>
      </w: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评价工作等级划分</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935"/>
        <w:gridCol w:w="1834"/>
        <w:gridCol w:w="832"/>
        <w:gridCol w:w="832"/>
        <w:gridCol w:w="209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21"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环境风险潜势</w:t>
            </w:r>
          </w:p>
        </w:tc>
        <w:tc>
          <w:tcPr>
            <w:tcW w:w="1075"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=4\*ROMAN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IV</w:t>
            </w:r>
            <w:r>
              <w:rPr>
                <w:rFonts w:ascii="Times New Roman" w:hAnsi="Times New Roman" w:cs="Times New Roman"/>
                <w:caps w:val="0"/>
                <w:smallCaps w:val="0"/>
                <w:lang w:val="en-US" w:eastAsia="zh-CN"/>
              </w:rPr>
              <w:fldChar w:fldCharType="end"/>
            </w:r>
            <w:r>
              <w:rPr>
                <w:rFonts w:ascii="Times New Roman" w:hAnsi="Times New Roman" w:cs="Times New Roman"/>
                <w:caps w:val="0"/>
                <w:smallCaps w:val="0"/>
                <w:lang w:val="en-US" w:eastAsia="zh-CN"/>
              </w:rPr>
              <w:t>、</w:t>
            </w: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=4\*ROMAN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IV</w:t>
            </w:r>
            <w:r>
              <w:rPr>
                <w:rFonts w:ascii="Times New Roman" w:hAnsi="Times New Roman" w:cs="Times New Roman"/>
                <w:caps w:val="0"/>
                <w:smallCaps w:val="0"/>
                <w:lang w:val="en-US" w:eastAsia="zh-CN"/>
              </w:rPr>
              <w:fldChar w:fldCharType="end"/>
            </w:r>
            <w:r>
              <w:rPr>
                <w:rFonts w:ascii="Times New Roman" w:hAnsi="Times New Roman" w:cs="Times New Roman"/>
                <w:caps w:val="0"/>
                <w:smallCaps w:val="0"/>
                <w:lang w:val="en-US" w:eastAsia="zh-CN"/>
              </w:rPr>
              <w:t>+</w:t>
            </w:r>
          </w:p>
        </w:tc>
        <w:tc>
          <w:tcPr>
            <w:tcW w:w="488"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=3\*ROMAN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III</w:t>
            </w:r>
            <w:r>
              <w:rPr>
                <w:rFonts w:ascii="Times New Roman" w:hAnsi="Times New Roman" w:cs="Times New Roman"/>
                <w:caps w:val="0"/>
                <w:smallCaps w:val="0"/>
                <w:lang w:val="en-US" w:eastAsia="zh-CN"/>
              </w:rPr>
              <w:fldChar w:fldCharType="end"/>
            </w:r>
          </w:p>
        </w:tc>
        <w:tc>
          <w:tcPr>
            <w:tcW w:w="488"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=2\*ROMAN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II</w:t>
            </w:r>
            <w:r>
              <w:rPr>
                <w:rFonts w:ascii="Times New Roman" w:hAnsi="Times New Roman" w:cs="Times New Roman"/>
                <w:caps w:val="0"/>
                <w:smallCaps w:val="0"/>
                <w:lang w:val="en-US" w:eastAsia="zh-CN"/>
              </w:rPr>
              <w:fldChar w:fldCharType="end"/>
            </w:r>
          </w:p>
        </w:tc>
        <w:tc>
          <w:tcPr>
            <w:tcW w:w="1228"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fldChar w:fldCharType="begin"/>
            </w:r>
            <w:r>
              <w:rPr>
                <w:rFonts w:ascii="Times New Roman" w:hAnsi="Times New Roman" w:cs="Times New Roman"/>
                <w:caps w:val="0"/>
                <w:smallCaps w:val="0"/>
                <w:lang w:val="en-US" w:eastAsia="zh-CN"/>
              </w:rPr>
              <w:instrText xml:space="preserve">=1\*ROMAN</w:instrText>
            </w:r>
            <w:r>
              <w:rPr>
                <w:rFonts w:ascii="Times New Roman" w:hAnsi="Times New Roman" w:cs="Times New Roman"/>
                <w:caps w:val="0"/>
                <w:smallCaps w:val="0"/>
                <w:lang w:val="en-US" w:eastAsia="zh-CN"/>
              </w:rPr>
              <w:fldChar w:fldCharType="separate"/>
            </w:r>
            <w:r>
              <w:rPr>
                <w:rFonts w:ascii="Times New Roman" w:hAnsi="Times New Roman" w:cs="Times New Roman"/>
                <w:caps w:val="0"/>
                <w:smallCaps w:val="0"/>
                <w:lang w:val="en-US" w:eastAsia="zh-CN"/>
              </w:rPr>
              <w:t>I</w:t>
            </w:r>
            <w:r>
              <w:rPr>
                <w:rFonts w:ascii="Times New Roman" w:hAnsi="Times New Roman" w:cs="Times New Roman"/>
                <w:caps w:val="0"/>
                <w:smallCaps w:val="0"/>
                <w:lang w:val="en-US" w:eastAsia="zh-CN"/>
              </w:rPr>
              <w:fldChar w:fldCharType="end"/>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721"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评价工作等级</w:t>
            </w:r>
          </w:p>
        </w:tc>
        <w:tc>
          <w:tcPr>
            <w:tcW w:w="1075"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一</w:t>
            </w:r>
          </w:p>
        </w:tc>
        <w:tc>
          <w:tcPr>
            <w:tcW w:w="488"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二</w:t>
            </w:r>
          </w:p>
        </w:tc>
        <w:tc>
          <w:tcPr>
            <w:tcW w:w="488"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三</w:t>
            </w:r>
          </w:p>
        </w:tc>
        <w:tc>
          <w:tcPr>
            <w:tcW w:w="1228"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简单分析</w:t>
            </w:r>
          </w:p>
        </w:tc>
      </w:tr>
    </w:tbl>
    <w:p>
      <w:pPr>
        <w:snapToGrid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综上所述，本项目评价工作等级为简单分析。</w:t>
      </w:r>
    </w:p>
    <w:p>
      <w:pPr>
        <w:pStyle w:val="5"/>
        <w:bidi w:val="0"/>
        <w:rPr>
          <w:rFonts w:ascii="Times New Roman" w:hAnsi="Times New Roman" w:cs="Times New Roman"/>
          <w:caps w:val="0"/>
          <w:smallCaps w:val="0"/>
        </w:rPr>
      </w:pPr>
      <w:bookmarkStart w:id="126" w:name="_Toc23429145"/>
      <w:bookmarkStart w:id="127" w:name="_Toc20622"/>
      <w:r>
        <w:rPr>
          <w:rFonts w:ascii="Times New Roman" w:hAnsi="Times New Roman" w:cs="Times New Roman"/>
          <w:caps w:val="0"/>
          <w:smallCaps w:val="0"/>
        </w:rPr>
        <w:t>环境敏感目标概况</w:t>
      </w:r>
      <w:bookmarkEnd w:id="126"/>
      <w:bookmarkEnd w:id="127"/>
    </w:p>
    <w:p>
      <w:pPr>
        <w:adjustRightInd w:val="0"/>
        <w:snapToGrid w:val="0"/>
        <w:spacing w:line="360" w:lineRule="auto"/>
        <w:ind w:firstLine="480" w:firstLineChars="200"/>
        <w:rPr>
          <w:rFonts w:ascii="Times New Roman" w:hAnsi="Times New Roman" w:cs="Times New Roman"/>
          <w:caps w:val="0"/>
          <w:smallCaps w:val="0"/>
          <w:color w:val="000000"/>
          <w:sz w:val="24"/>
          <w:szCs w:val="24"/>
        </w:rPr>
      </w:pPr>
      <w:r>
        <w:rPr>
          <w:rFonts w:ascii="Times New Roman" w:hAnsi="Times New Roman" w:cs="Times New Roman"/>
          <w:caps w:val="0"/>
          <w:smallCaps w:val="0"/>
          <w:color w:val="000000"/>
          <w:sz w:val="24"/>
          <w:szCs w:val="24"/>
        </w:rPr>
        <w:t>本项目主要环境敏感目标分布情况详见表2.7-5。</w:t>
      </w:r>
    </w:p>
    <w:p>
      <w:pPr>
        <w:pStyle w:val="5"/>
        <w:bidi w:val="0"/>
        <w:rPr>
          <w:rFonts w:ascii="Times New Roman" w:hAnsi="Times New Roman" w:cs="Times New Roman"/>
          <w:caps w:val="0"/>
          <w:smallCaps w:val="0"/>
        </w:rPr>
      </w:pPr>
      <w:bookmarkStart w:id="128" w:name="_Toc23429146"/>
      <w:bookmarkStart w:id="129" w:name="_Toc6671"/>
      <w:r>
        <w:rPr>
          <w:rFonts w:ascii="Times New Roman" w:hAnsi="Times New Roman" w:cs="Times New Roman"/>
          <w:caps w:val="0"/>
          <w:smallCaps w:val="0"/>
        </w:rPr>
        <w:t>环境风险识别</w:t>
      </w:r>
      <w:bookmarkEnd w:id="128"/>
      <w:bookmarkEnd w:id="129"/>
    </w:p>
    <w:p>
      <w:pPr>
        <w:pStyle w:val="6"/>
        <w:bidi w:val="0"/>
        <w:rPr>
          <w:rFonts w:ascii="Times New Roman" w:hAnsi="Times New Roman" w:cs="Times New Roman"/>
          <w:caps w:val="0"/>
          <w:smallCaps w:val="0"/>
        </w:rPr>
      </w:pPr>
      <w:r>
        <w:rPr>
          <w:rFonts w:ascii="Times New Roman" w:hAnsi="Times New Roman" w:cs="Times New Roman"/>
          <w:caps w:val="0"/>
          <w:smallCaps w:val="0"/>
        </w:rPr>
        <w:t>主要危险物质及分布情况</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1、物质危险性识别</w:t>
      </w:r>
    </w:p>
    <w:p>
      <w:pPr>
        <w:snapToGrid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（1）物质危险性判定标准</w:t>
      </w:r>
    </w:p>
    <w:p>
      <w:pPr>
        <w:snapToGrid w:val="0"/>
        <w:spacing w:line="360" w:lineRule="auto"/>
        <w:ind w:firstLine="480" w:firstLineChars="200"/>
        <w:rPr>
          <w:rFonts w:ascii="Times New Roman" w:hAnsi="Times New Roman" w:cs="Times New Roman"/>
          <w:caps w:val="0"/>
          <w:smallCaps w:val="0"/>
          <w:sz w:val="24"/>
        </w:rPr>
      </w:pPr>
      <w:r>
        <w:rPr>
          <w:rFonts w:ascii="Times New Roman" w:hAnsi="Times New Roman" w:cs="Times New Roman"/>
          <w:caps w:val="0"/>
          <w:smallCaps w:val="0"/>
          <w:sz w:val="24"/>
        </w:rPr>
        <w:t>根据《建设项目环境风险评价技术导则》（附录A1表1～表4）、《危险化学品重大危险源辨识》（GB18218-2009）、《职业性接触毒物危害程度分析》（GB50844-85）、等相关标准，对公司运输、储运物质的有毒有害性、易燃易爆性进行识别。物质危险性判定标准见表</w:t>
      </w:r>
      <w:r>
        <w:rPr>
          <w:rFonts w:hint="eastAsia" w:ascii="Times New Roman" w:hAnsi="Times New Roman" w:cs="Times New Roman"/>
          <w:caps w:val="0"/>
          <w:smallCaps w:val="0"/>
          <w:sz w:val="24"/>
          <w:lang w:val="en-US" w:eastAsia="zh-CN"/>
        </w:rPr>
        <w:t>6.4</w:t>
      </w:r>
      <w:r>
        <w:rPr>
          <w:rFonts w:hint="eastAsia" w:ascii="Times New Roman" w:hAnsi="Times New Roman" w:cs="Times New Roman"/>
          <w:caps w:val="0"/>
          <w:smallCaps w:val="0"/>
          <w:sz w:val="24"/>
          <w:lang w:eastAsia="zh-CN"/>
        </w:rPr>
        <w:t>-</w:t>
      </w:r>
      <w:r>
        <w:rPr>
          <w:rFonts w:hint="eastAsia" w:ascii="Times New Roman" w:hAnsi="Times New Roman" w:cs="Times New Roman"/>
          <w:caps w:val="0"/>
          <w:smallCaps w:val="0"/>
          <w:sz w:val="24"/>
          <w:lang w:val="en-US" w:eastAsia="zh-CN"/>
        </w:rPr>
        <w:t>1</w:t>
      </w:r>
      <w:r>
        <w:rPr>
          <w:rFonts w:ascii="Times New Roman" w:hAnsi="Times New Roman" w:cs="Times New Roman"/>
          <w:caps w:val="0"/>
          <w:smallCaps w:val="0"/>
          <w:sz w:val="24"/>
        </w:rPr>
        <w:t>。</w:t>
      </w:r>
    </w:p>
    <w:p>
      <w:pPr>
        <w:pStyle w:val="94"/>
        <w:rPr>
          <w:rFonts w:ascii="Times New Roman" w:hAnsi="Times New Roman" w:cs="Times New Roman"/>
          <w:caps w:val="0"/>
          <w:smallCaps w:val="0"/>
        </w:rPr>
      </w:pPr>
      <w:r>
        <w:rPr>
          <w:rFonts w:ascii="Times New Roman" w:hAnsi="Times New Roman" w:cs="Times New Roman"/>
          <w:caps w:val="0"/>
          <w:smallCaps w:val="0"/>
        </w:rPr>
        <w:t>表</w:t>
      </w:r>
      <w:r>
        <w:rPr>
          <w:rFonts w:hint="eastAsia" w:ascii="Times New Roman" w:hAnsi="Times New Roman" w:cs="Times New Roman"/>
          <w:caps w:val="0"/>
          <w:smallCaps w:val="0"/>
          <w:lang w:val="en-US" w:eastAsia="zh-CN"/>
        </w:rPr>
        <w:t>6.4</w:t>
      </w:r>
      <w:r>
        <w:rPr>
          <w:rFonts w:hint="eastAsia" w:ascii="Times New Roman" w:hAnsi="Times New Roman" w:cs="Times New Roman"/>
          <w:caps w:val="0"/>
          <w:smallCaps w:val="0"/>
          <w:lang w:eastAsia="zh-CN"/>
        </w:rPr>
        <w:t>-</w:t>
      </w:r>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ab/>
      </w:r>
      <w:r>
        <w:rPr>
          <w:rFonts w:ascii="Times New Roman" w:hAnsi="Times New Roman" w:cs="Times New Roman"/>
          <w:caps w:val="0"/>
          <w:smallCaps w:val="0"/>
        </w:rPr>
        <w:t>物质危险性标准</w:t>
      </w:r>
    </w:p>
    <w:p>
      <w:pPr>
        <w:spacing w:before="7" w:line="20" w:lineRule="exact"/>
        <w:ind w:firstLine="40"/>
        <w:jc w:val="left"/>
        <w:rPr>
          <w:rFonts w:ascii="Times New Roman" w:hAnsi="Times New Roman" w:cs="Times New Roman"/>
          <w:caps w:val="0"/>
          <w:smallCaps w:val="0"/>
          <w:sz w:val="2"/>
          <w:szCs w:val="2"/>
        </w:rPr>
      </w:pPr>
    </w:p>
    <w:tbl>
      <w:tblPr>
        <w:tblStyle w:val="71"/>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0" w:type="dxa"/>
          <w:bottom w:w="0" w:type="dxa"/>
          <w:right w:w="0" w:type="dxa"/>
        </w:tblCellMar>
      </w:tblPr>
      <w:tblGrid>
        <w:gridCol w:w="1061"/>
        <w:gridCol w:w="505"/>
        <w:gridCol w:w="2086"/>
        <w:gridCol w:w="2421"/>
        <w:gridCol w:w="2431"/>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6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物质类别</w:t>
            </w:r>
          </w:p>
        </w:tc>
        <w:tc>
          <w:tcPr>
            <w:tcW w:w="505"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等级</w:t>
            </w:r>
          </w:p>
        </w:tc>
        <w:tc>
          <w:tcPr>
            <w:tcW w:w="2086"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LD50（大鼠经口）mg/kg</w:t>
            </w:r>
          </w:p>
        </w:tc>
        <w:tc>
          <w:tcPr>
            <w:tcW w:w="242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LD50（大鼠经皮）mg/kg</w:t>
            </w:r>
          </w:p>
        </w:tc>
        <w:tc>
          <w:tcPr>
            <w:tcW w:w="243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LC50（小鼠吸入、4小时）mg/L</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61" w:type="dxa"/>
            <w:vMerge w:val="restar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有毒物质</w:t>
            </w:r>
          </w:p>
        </w:tc>
        <w:tc>
          <w:tcPr>
            <w:tcW w:w="505"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1</w:t>
            </w:r>
          </w:p>
        </w:tc>
        <w:tc>
          <w:tcPr>
            <w:tcW w:w="2086"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＜5</w:t>
            </w:r>
          </w:p>
        </w:tc>
        <w:tc>
          <w:tcPr>
            <w:tcW w:w="242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＜1</w:t>
            </w:r>
          </w:p>
        </w:tc>
        <w:tc>
          <w:tcPr>
            <w:tcW w:w="243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＜0.01</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061" w:type="dxa"/>
            <w:vMerge w:val="continue"/>
            <w:noWrap w:val="0"/>
            <w:vAlign w:val="center"/>
          </w:tcPr>
          <w:p>
            <w:pPr>
              <w:pStyle w:val="117"/>
              <w:bidi w:val="0"/>
              <w:rPr>
                <w:rFonts w:ascii="Times New Roman" w:hAnsi="Times New Roman" w:cs="Times New Roman"/>
                <w:caps w:val="0"/>
                <w:smallCaps w:val="0"/>
                <w:lang w:val="en-US" w:eastAsia="zh-CN"/>
              </w:rPr>
            </w:pPr>
          </w:p>
        </w:tc>
        <w:tc>
          <w:tcPr>
            <w:tcW w:w="505"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2</w:t>
            </w:r>
          </w:p>
        </w:tc>
        <w:tc>
          <w:tcPr>
            <w:tcW w:w="2086"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5＜LD50＜25</w:t>
            </w:r>
          </w:p>
        </w:tc>
        <w:tc>
          <w:tcPr>
            <w:tcW w:w="242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10＜LD50＜50</w:t>
            </w:r>
          </w:p>
        </w:tc>
        <w:tc>
          <w:tcPr>
            <w:tcW w:w="243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0.1＜LC50＜0.5</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1061" w:type="dxa"/>
            <w:vMerge w:val="continue"/>
            <w:noWrap w:val="0"/>
            <w:vAlign w:val="center"/>
          </w:tcPr>
          <w:p>
            <w:pPr>
              <w:pStyle w:val="117"/>
              <w:bidi w:val="0"/>
              <w:rPr>
                <w:rFonts w:ascii="Times New Roman" w:hAnsi="Times New Roman" w:cs="Times New Roman"/>
                <w:caps w:val="0"/>
                <w:smallCaps w:val="0"/>
                <w:lang w:val="en-US" w:eastAsia="zh-CN"/>
              </w:rPr>
            </w:pPr>
          </w:p>
        </w:tc>
        <w:tc>
          <w:tcPr>
            <w:tcW w:w="505"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3</w:t>
            </w:r>
          </w:p>
        </w:tc>
        <w:tc>
          <w:tcPr>
            <w:tcW w:w="2086"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25＜LD50＜200</w:t>
            </w:r>
          </w:p>
        </w:tc>
        <w:tc>
          <w:tcPr>
            <w:tcW w:w="242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40＜LD50＜400</w:t>
            </w:r>
          </w:p>
        </w:tc>
        <w:tc>
          <w:tcPr>
            <w:tcW w:w="2431"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0.5＜LC50＜2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061" w:type="dxa"/>
            <w:vMerge w:val="restart"/>
            <w:noWrap w:val="0"/>
            <w:vAlign w:val="center"/>
          </w:tcPr>
          <w:p>
            <w:pPr>
              <w:pStyle w:val="117"/>
              <w:bidi w:val="0"/>
              <w:rPr>
                <w:rFonts w:ascii="Times New Roman" w:hAnsi="Times New Roman" w:cs="Times New Roman"/>
                <w:caps w:val="0"/>
                <w:smallCaps w:val="0"/>
                <w:lang w:val="en-US" w:eastAsia="zh-CN"/>
              </w:rPr>
            </w:pPr>
          </w:p>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易燃物质</w:t>
            </w:r>
          </w:p>
        </w:tc>
        <w:tc>
          <w:tcPr>
            <w:tcW w:w="505"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1</w:t>
            </w:r>
          </w:p>
        </w:tc>
        <w:tc>
          <w:tcPr>
            <w:tcW w:w="6938" w:type="dxa"/>
            <w:gridSpan w:val="3"/>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可燃气体——在常压下以气态存在并与空气混合形成可燃混合物：其沸点（常压下）是20℃或20℃以下的物质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061" w:type="dxa"/>
            <w:vMerge w:val="continue"/>
            <w:noWrap w:val="0"/>
            <w:vAlign w:val="center"/>
          </w:tcPr>
          <w:p>
            <w:pPr>
              <w:pStyle w:val="117"/>
              <w:bidi w:val="0"/>
              <w:rPr>
                <w:rFonts w:ascii="Times New Roman" w:hAnsi="Times New Roman" w:cs="Times New Roman"/>
                <w:caps w:val="0"/>
                <w:smallCaps w:val="0"/>
                <w:lang w:val="en-US" w:eastAsia="zh-CN"/>
              </w:rPr>
            </w:pPr>
          </w:p>
        </w:tc>
        <w:tc>
          <w:tcPr>
            <w:tcW w:w="505"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2</w:t>
            </w:r>
          </w:p>
        </w:tc>
        <w:tc>
          <w:tcPr>
            <w:tcW w:w="6938" w:type="dxa"/>
            <w:gridSpan w:val="3"/>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易燃液体——闪点低于21℃，沸点高于20℃的物质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061" w:type="dxa"/>
            <w:vMerge w:val="continue"/>
            <w:noWrap w:val="0"/>
            <w:vAlign w:val="center"/>
          </w:tcPr>
          <w:p>
            <w:pPr>
              <w:pStyle w:val="117"/>
              <w:bidi w:val="0"/>
              <w:rPr>
                <w:rFonts w:ascii="Times New Roman" w:hAnsi="Times New Roman" w:cs="Times New Roman"/>
                <w:caps w:val="0"/>
                <w:smallCaps w:val="0"/>
                <w:lang w:val="en-US" w:eastAsia="zh-CN"/>
              </w:rPr>
            </w:pPr>
          </w:p>
        </w:tc>
        <w:tc>
          <w:tcPr>
            <w:tcW w:w="505" w:type="dxa"/>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3</w:t>
            </w:r>
          </w:p>
        </w:tc>
        <w:tc>
          <w:tcPr>
            <w:tcW w:w="6938" w:type="dxa"/>
            <w:gridSpan w:val="3"/>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可燃液体——闪点低于55℃，压力下保持液态，在实际操作条件下（高温高压下）可引起重大事故的物质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PrEx>
        <w:trPr>
          <w:trHeight w:val="340" w:hRule="atLeast"/>
          <w:jc w:val="center"/>
        </w:trPr>
        <w:tc>
          <w:tcPr>
            <w:tcW w:w="1566" w:type="dxa"/>
            <w:gridSpan w:val="2"/>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爆炸性物质</w:t>
            </w:r>
          </w:p>
        </w:tc>
        <w:tc>
          <w:tcPr>
            <w:tcW w:w="6938" w:type="dxa"/>
            <w:gridSpan w:val="3"/>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val="en-US" w:eastAsia="zh-CN"/>
              </w:rPr>
              <w:t>在火焰影响下可以爆炸，或者对冲击、摩擦比硝基苯更为敏感的物质</w:t>
            </w:r>
          </w:p>
        </w:tc>
      </w:tr>
    </w:tbl>
    <w:p>
      <w:pPr>
        <w:pStyle w:val="93"/>
        <w:jc w:val="left"/>
        <w:rPr>
          <w:rFonts w:ascii="Times New Roman" w:hAnsi="Times New Roman" w:cs="Times New Roman"/>
          <w:caps w:val="0"/>
          <w:smallCaps w:val="0"/>
        </w:rPr>
      </w:pPr>
      <w:r>
        <w:rPr>
          <w:rFonts w:ascii="Times New Roman" w:hAnsi="Times New Roman" w:cs="Times New Roman"/>
          <w:caps w:val="0"/>
          <w:smallCaps w:val="0"/>
        </w:rPr>
        <w:t>注：①、有毒物质判定标准序号为1、2的物质属于剧毒物质；符合有毒物质判定标准序号3的属于一般毒物。②、凡符合表中易燃物质和爆炸性物质标准的物质，均视为火灾、爆炸危险物质。</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lang w:eastAsia="zh-CN"/>
        </w:rPr>
        <w:t>（2）原辅材料和产品危险特性分析</w:t>
      </w:r>
    </w:p>
    <w:p>
      <w:pPr>
        <w:adjustRightInd w:val="0"/>
        <w:snapToGrid w:val="0"/>
        <w:spacing w:line="360" w:lineRule="auto"/>
        <w:ind w:firstLine="482" w:firstLineChars="200"/>
        <w:rPr>
          <w:rFonts w:hint="default" w:ascii="Times New Roman" w:hAnsi="Times New Roman" w:cs="Times New Roman"/>
          <w:b/>
          <w:bCs/>
          <w:caps w:val="0"/>
          <w:smallCaps w:val="0"/>
          <w:color w:val="000000"/>
          <w:sz w:val="24"/>
          <w:szCs w:val="24"/>
          <w:lang w:val="en-US"/>
        </w:rPr>
      </w:pPr>
      <w:r>
        <w:rPr>
          <w:rFonts w:hint="eastAsia" w:ascii="Times New Roman" w:hAnsi="Times New Roman" w:cs="Times New Roman"/>
          <w:b/>
          <w:bCs/>
          <w:caps w:val="0"/>
          <w:smallCaps w:val="0"/>
          <w:color w:val="000000"/>
          <w:sz w:val="24"/>
          <w:szCs w:val="24"/>
          <w:lang w:eastAsia="zh-CN"/>
        </w:rPr>
        <w:t>①</w:t>
      </w:r>
      <w:r>
        <w:rPr>
          <w:rFonts w:ascii="Times New Roman" w:hAnsi="Times New Roman" w:cs="Times New Roman"/>
          <w:b/>
          <w:bCs/>
          <w:caps w:val="0"/>
          <w:smallCaps w:val="0"/>
          <w:color w:val="000000"/>
          <w:sz w:val="24"/>
          <w:szCs w:val="24"/>
          <w:lang w:eastAsia="zh-CN"/>
        </w:rPr>
        <w:t>废</w:t>
      </w:r>
      <w:r>
        <w:rPr>
          <w:rFonts w:hint="eastAsia" w:ascii="Times New Roman" w:hAnsi="Times New Roman" w:cs="Times New Roman"/>
          <w:b/>
          <w:bCs/>
          <w:caps w:val="0"/>
          <w:smallCaps w:val="0"/>
          <w:color w:val="000000"/>
          <w:sz w:val="24"/>
          <w:szCs w:val="24"/>
          <w:lang w:val="en-US" w:eastAsia="zh-CN"/>
        </w:rPr>
        <w:t>矿物油</w:t>
      </w:r>
    </w:p>
    <w:p>
      <w:pPr>
        <w:adjustRightInd w:val="0"/>
        <w:snapToGrid w:val="0"/>
        <w:spacing w:line="360" w:lineRule="auto"/>
        <w:ind w:firstLine="480" w:firstLineChars="200"/>
        <w:rPr>
          <w:rFonts w:ascii="Times New Roman" w:hAnsi="Times New Roman" w:cs="Times New Roman"/>
          <w:caps w:val="0"/>
          <w:smallCaps w:val="0"/>
          <w:color w:val="000000"/>
          <w:sz w:val="24"/>
          <w:szCs w:val="24"/>
        </w:rPr>
      </w:pPr>
      <w:r>
        <w:rPr>
          <w:rFonts w:ascii="Times New Roman" w:hAnsi="Times New Roman" w:cs="Times New Roman"/>
          <w:caps w:val="0"/>
          <w:smallCaps w:val="0"/>
          <w:color w:val="000000"/>
          <w:sz w:val="24"/>
          <w:szCs w:val="24"/>
          <w:lang w:eastAsia="zh-CN"/>
        </w:rPr>
        <w:t>废物类别</w:t>
      </w:r>
      <w:r>
        <w:rPr>
          <w:rFonts w:ascii="Times New Roman" w:hAnsi="Times New Roman" w:cs="Times New Roman"/>
          <w:caps w:val="0"/>
          <w:smallCaps w:val="0"/>
          <w:color w:val="000000"/>
          <w:sz w:val="24"/>
          <w:szCs w:val="24"/>
        </w:rPr>
        <w:t>：</w:t>
      </w:r>
      <w:r>
        <w:rPr>
          <w:rFonts w:ascii="Times New Roman" w:hAnsi="Times New Roman" w:cs="Times New Roman"/>
          <w:caps w:val="0"/>
          <w:smallCaps w:val="0"/>
          <w:color w:val="000000"/>
          <w:sz w:val="24"/>
          <w:szCs w:val="24"/>
          <w:lang w:eastAsia="zh-CN"/>
        </w:rPr>
        <w:t>HW08</w:t>
      </w:r>
      <w:r>
        <w:rPr>
          <w:rFonts w:ascii="Times New Roman" w:hAnsi="Times New Roman" w:cs="Times New Roman"/>
          <w:caps w:val="0"/>
          <w:smallCaps w:val="0"/>
          <w:color w:val="000000"/>
          <w:sz w:val="24"/>
          <w:szCs w:val="24"/>
        </w:rPr>
        <w:t>；</w:t>
      </w:r>
      <w:r>
        <w:rPr>
          <w:rFonts w:ascii="Times New Roman" w:hAnsi="Times New Roman" w:cs="Times New Roman"/>
          <w:caps w:val="0"/>
          <w:smallCaps w:val="0"/>
          <w:color w:val="000000"/>
          <w:sz w:val="24"/>
          <w:szCs w:val="24"/>
          <w:lang w:eastAsia="zh-CN"/>
        </w:rPr>
        <w:t>危废</w:t>
      </w:r>
      <w:r>
        <w:rPr>
          <w:rFonts w:ascii="Times New Roman" w:hAnsi="Times New Roman" w:cs="Times New Roman"/>
          <w:caps w:val="0"/>
          <w:smallCaps w:val="0"/>
          <w:color w:val="000000"/>
          <w:sz w:val="24"/>
          <w:szCs w:val="24"/>
        </w:rPr>
        <w:t>代码：900-21</w:t>
      </w:r>
      <w:r>
        <w:rPr>
          <w:rFonts w:ascii="Times New Roman" w:hAnsi="Times New Roman" w:cs="Times New Roman"/>
          <w:caps w:val="0"/>
          <w:smallCaps w:val="0"/>
          <w:color w:val="000000"/>
          <w:sz w:val="24"/>
          <w:szCs w:val="24"/>
          <w:lang w:eastAsia="zh-CN"/>
        </w:rPr>
        <w:t>0</w:t>
      </w:r>
      <w:r>
        <w:rPr>
          <w:rFonts w:ascii="Times New Roman" w:hAnsi="Times New Roman" w:cs="Times New Roman"/>
          <w:caps w:val="0"/>
          <w:smallCaps w:val="0"/>
          <w:color w:val="000000"/>
          <w:sz w:val="24"/>
          <w:szCs w:val="24"/>
        </w:rPr>
        <w:t>-08</w:t>
      </w:r>
      <w:r>
        <w:rPr>
          <w:rFonts w:ascii="Times New Roman" w:hAnsi="Times New Roman" w:cs="Times New Roman"/>
          <w:caps w:val="0"/>
          <w:smallCaps w:val="0"/>
          <w:color w:val="000000"/>
          <w:sz w:val="24"/>
          <w:szCs w:val="24"/>
          <w:lang w:eastAsia="zh-CN"/>
        </w:rPr>
        <w:t>。</w:t>
      </w:r>
    </w:p>
    <w:p>
      <w:pPr>
        <w:adjustRightInd w:val="0"/>
        <w:snapToGrid w:val="0"/>
        <w:spacing w:line="360" w:lineRule="auto"/>
        <w:ind w:firstLine="480" w:firstLineChars="200"/>
        <w:rPr>
          <w:rFonts w:ascii="Times New Roman" w:hAnsi="Times New Roman" w:cs="Times New Roman"/>
          <w:caps w:val="0"/>
          <w:smallCaps w:val="0"/>
          <w:color w:val="000000"/>
          <w:sz w:val="24"/>
          <w:szCs w:val="24"/>
        </w:rPr>
      </w:pPr>
      <w:r>
        <w:rPr>
          <w:rFonts w:ascii="Times New Roman" w:hAnsi="Times New Roman" w:cs="Times New Roman"/>
          <w:caps w:val="0"/>
          <w:smallCaps w:val="0"/>
          <w:color w:val="000000"/>
          <w:sz w:val="24"/>
          <w:szCs w:val="24"/>
        </w:rPr>
        <w:t>主要成分：含碳原子数比较少的烃类物质，多数是不饱和烃</w:t>
      </w:r>
      <w:r>
        <w:rPr>
          <w:rFonts w:ascii="Times New Roman" w:hAnsi="Times New Roman" w:cs="Times New Roman"/>
          <w:caps w:val="0"/>
          <w:smallCaps w:val="0"/>
          <w:color w:val="000000"/>
          <w:sz w:val="24"/>
          <w:szCs w:val="24"/>
          <w:lang w:eastAsia="zh-CN"/>
        </w:rPr>
        <w:t>，</w:t>
      </w:r>
      <w:r>
        <w:rPr>
          <w:rFonts w:ascii="Times New Roman" w:hAnsi="Times New Roman" w:cs="Times New Roman"/>
          <w:caps w:val="0"/>
          <w:smallCaps w:val="0"/>
          <w:color w:val="000000"/>
          <w:sz w:val="24"/>
          <w:szCs w:val="24"/>
        </w:rPr>
        <w:t>链长不等的碳氢化合物，性能稳定</w:t>
      </w:r>
      <w:r>
        <w:rPr>
          <w:rFonts w:ascii="Times New Roman" w:hAnsi="Times New Roman" w:cs="Times New Roman"/>
          <w:caps w:val="0"/>
          <w:smallCaps w:val="0"/>
          <w:color w:val="000000"/>
          <w:sz w:val="24"/>
          <w:szCs w:val="24"/>
          <w:lang w:eastAsia="zh-CN"/>
        </w:rPr>
        <w:t>。</w:t>
      </w:r>
    </w:p>
    <w:p>
      <w:pPr>
        <w:adjustRightInd w:val="0"/>
        <w:snapToGrid w:val="0"/>
        <w:spacing w:line="360" w:lineRule="auto"/>
        <w:ind w:firstLine="480" w:firstLineChars="200"/>
        <w:rPr>
          <w:rFonts w:ascii="Times New Roman" w:hAnsi="Times New Roman" w:cs="Times New Roman"/>
          <w:caps w:val="0"/>
          <w:smallCaps w:val="0"/>
          <w:color w:val="000000"/>
          <w:sz w:val="24"/>
          <w:szCs w:val="24"/>
        </w:rPr>
      </w:pPr>
      <w:r>
        <w:rPr>
          <w:rFonts w:ascii="Times New Roman" w:hAnsi="Times New Roman" w:cs="Times New Roman"/>
          <w:caps w:val="0"/>
          <w:smallCaps w:val="0"/>
          <w:color w:val="000000"/>
          <w:sz w:val="24"/>
          <w:szCs w:val="24"/>
        </w:rPr>
        <w:t>物化性质：</w:t>
      </w:r>
      <w:r>
        <w:rPr>
          <w:rFonts w:ascii="Times New Roman" w:hAnsi="Times New Roman" w:cs="Times New Roman"/>
          <w:caps w:val="0"/>
          <w:smallCaps w:val="0"/>
          <w:color w:val="000000"/>
          <w:sz w:val="24"/>
          <w:szCs w:val="24"/>
          <w:lang w:eastAsia="zh-CN"/>
        </w:rPr>
        <w:t>液体</w:t>
      </w:r>
      <w:r>
        <w:rPr>
          <w:rFonts w:ascii="Times New Roman" w:hAnsi="Times New Roman" w:cs="Times New Roman"/>
          <w:caps w:val="0"/>
          <w:smallCaps w:val="0"/>
          <w:color w:val="000000"/>
          <w:sz w:val="24"/>
          <w:szCs w:val="24"/>
        </w:rPr>
        <w:t>。</w:t>
      </w:r>
    </w:p>
    <w:p>
      <w:pPr>
        <w:adjustRightInd w:val="0"/>
        <w:snapToGrid w:val="0"/>
        <w:spacing w:line="360" w:lineRule="auto"/>
        <w:ind w:firstLine="480" w:firstLineChars="200"/>
        <w:rPr>
          <w:rFonts w:ascii="Times New Roman" w:hAnsi="Times New Roman" w:cs="Times New Roman"/>
          <w:caps w:val="0"/>
          <w:smallCaps w:val="0"/>
          <w:color w:val="000000"/>
          <w:sz w:val="24"/>
          <w:szCs w:val="24"/>
        </w:rPr>
      </w:pPr>
      <w:r>
        <w:rPr>
          <w:rFonts w:ascii="Times New Roman" w:hAnsi="Times New Roman" w:cs="Times New Roman"/>
          <w:caps w:val="0"/>
          <w:smallCaps w:val="0"/>
          <w:color w:val="000000"/>
          <w:sz w:val="24"/>
          <w:szCs w:val="24"/>
        </w:rPr>
        <w:t>特性：</w:t>
      </w:r>
      <w:r>
        <w:rPr>
          <w:rFonts w:ascii="Times New Roman" w:hAnsi="Times New Roman" w:cs="Times New Roman"/>
          <w:caps w:val="0"/>
          <w:smallCaps w:val="0"/>
          <w:color w:val="000000"/>
          <w:sz w:val="24"/>
          <w:szCs w:val="24"/>
          <w:lang w:eastAsia="zh-CN"/>
        </w:rPr>
        <w:t>可燃。</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rPr>
        <w:t>危险特征：易燃</w:t>
      </w:r>
      <w:r>
        <w:rPr>
          <w:rFonts w:ascii="Times New Roman" w:hAnsi="Times New Roman" w:cs="Times New Roman"/>
          <w:caps w:val="0"/>
          <w:smallCaps w:val="0"/>
          <w:color w:val="000000"/>
          <w:sz w:val="24"/>
          <w:szCs w:val="24"/>
          <w:lang w:eastAsia="zh-CN"/>
        </w:rPr>
        <w:t>、</w:t>
      </w:r>
      <w:r>
        <w:rPr>
          <w:rFonts w:ascii="Times New Roman" w:hAnsi="Times New Roman" w:cs="Times New Roman"/>
          <w:caps w:val="0"/>
          <w:smallCaps w:val="0"/>
          <w:color w:val="000000"/>
          <w:sz w:val="24"/>
          <w:szCs w:val="24"/>
        </w:rPr>
        <w:t>火灾</w:t>
      </w:r>
      <w:r>
        <w:rPr>
          <w:rFonts w:ascii="Times New Roman" w:hAnsi="Times New Roman" w:cs="Times New Roman"/>
          <w:caps w:val="0"/>
          <w:smallCaps w:val="0"/>
          <w:color w:val="000000"/>
          <w:sz w:val="24"/>
          <w:szCs w:val="24"/>
          <w:lang w:eastAsia="zh-CN"/>
        </w:rPr>
        <w:t>、</w:t>
      </w:r>
      <w:r>
        <w:rPr>
          <w:rFonts w:ascii="Times New Roman" w:hAnsi="Times New Roman" w:cs="Times New Roman"/>
          <w:caps w:val="0"/>
          <w:smallCaps w:val="0"/>
          <w:color w:val="000000"/>
          <w:sz w:val="24"/>
          <w:szCs w:val="24"/>
        </w:rPr>
        <w:t>毒性。</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lang w:eastAsia="zh-CN"/>
        </w:rPr>
        <w:t>燃烧分解产物：一氧化碳、碳氢化合物、氮氧化物</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lang w:eastAsia="zh-CN"/>
        </w:rPr>
        <w:t>禁忌物：明火。</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rPr>
        <w:t>灭火方法：消防员工必须佩戴防毒面具、穿全是消防服，在上风向灭火。</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lang w:eastAsia="zh-CN"/>
        </w:rPr>
        <w:t>灭火剂：泡沫、干粉、二氧化碳、砂土。</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rPr>
        <w:t>侵入途径：吸入、经皮吸收。</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rPr>
        <w:t>健康危害：封闭毛孔、皮肤不能正常代谢，造成皮肤生理功能受损。</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lang w:eastAsia="zh-CN"/>
        </w:rPr>
        <w:t>环境危害：对土壤有危害。</w:t>
      </w:r>
    </w:p>
    <w:p>
      <w:pPr>
        <w:adjustRightInd w:val="0"/>
        <w:snapToGrid w:val="0"/>
        <w:spacing w:line="360" w:lineRule="auto"/>
        <w:ind w:firstLine="482" w:firstLineChars="200"/>
        <w:rPr>
          <w:rFonts w:hint="default" w:ascii="Times New Roman" w:hAnsi="Times New Roman" w:cs="Times New Roman"/>
          <w:b/>
          <w:bCs/>
          <w:caps w:val="0"/>
          <w:smallCaps w:val="0"/>
          <w:color w:val="000000"/>
          <w:sz w:val="24"/>
          <w:szCs w:val="24"/>
          <w:lang w:val="en-US" w:eastAsia="zh-CN"/>
        </w:rPr>
      </w:pPr>
      <w:r>
        <w:rPr>
          <w:rFonts w:hint="eastAsia" w:ascii="Times New Roman" w:hAnsi="Times New Roman" w:cs="Times New Roman"/>
          <w:b/>
          <w:bCs/>
          <w:caps w:val="0"/>
          <w:smallCaps w:val="0"/>
          <w:color w:val="000000"/>
          <w:sz w:val="24"/>
          <w:szCs w:val="24"/>
          <w:lang w:val="en-US" w:eastAsia="zh-CN"/>
        </w:rPr>
        <w:t>②柴油</w:t>
      </w:r>
    </w:p>
    <w:p>
      <w:pPr>
        <w:pStyle w:val="94"/>
        <w:rPr>
          <w:rFonts w:ascii="Times New Roman" w:hAnsi="Times New Roman" w:cs="Times New Roman"/>
          <w:caps w:val="0"/>
          <w:smallCaps w:val="0"/>
          <w:lang w:eastAsia="zh-CN"/>
        </w:rPr>
      </w:pPr>
      <w:r>
        <w:rPr>
          <w:rFonts w:ascii="Times New Roman" w:hAnsi="Times New Roman" w:cs="Times New Roman"/>
          <w:caps w:val="0"/>
          <w:smallCaps w:val="0"/>
        </w:rPr>
        <w:t>表</w:t>
      </w:r>
      <w:r>
        <w:rPr>
          <w:rFonts w:hint="eastAsia" w:ascii="Times New Roman" w:hAnsi="Times New Roman" w:cs="Times New Roman"/>
          <w:caps w:val="0"/>
          <w:smallCaps w:val="0"/>
          <w:lang w:val="en-US" w:eastAsia="zh-CN"/>
        </w:rPr>
        <w:t>6.4</w:t>
      </w:r>
      <w:r>
        <w:rPr>
          <w:rFonts w:ascii="Times New Roman" w:hAnsi="Times New Roman" w:cs="Times New Roman"/>
          <w:caps w:val="0"/>
          <w:smallCaps w:val="0"/>
        </w:rPr>
        <w:t>-</w:t>
      </w:r>
      <w:r>
        <w:rPr>
          <w:rFonts w:hint="eastAsia" w:ascii="Times New Roman" w:hAnsi="Times New Roman" w:cs="Times New Roman"/>
          <w:caps w:val="0"/>
          <w:smallCaps w:val="0"/>
          <w:lang w:val="en-US" w:eastAsia="zh-CN"/>
        </w:rPr>
        <w:t xml:space="preserve">2 </w:t>
      </w:r>
      <w:r>
        <w:rPr>
          <w:rFonts w:ascii="Times New Roman" w:hAnsi="Times New Roman" w:cs="Times New Roman"/>
          <w:caps w:val="0"/>
          <w:smallCaps w:val="0"/>
        </w:rPr>
        <w:t>柴油理化性质及危险特性</w:t>
      </w:r>
    </w:p>
    <w:p>
      <w:pPr>
        <w:pStyle w:val="137"/>
        <w:ind w:firstLine="0" w:firstLineChars="0"/>
        <w:rPr>
          <w:rFonts w:ascii="Times New Roman" w:hAnsi="Times New Roman" w:cs="Times New Roman"/>
          <w:caps w:val="0"/>
          <w:smallCaps w:val="0"/>
          <w:lang w:eastAsia="zh-CN"/>
        </w:rPr>
      </w:pPr>
      <w:r>
        <w:rPr>
          <w:rFonts w:ascii="Times New Roman" w:hAnsi="Times New Roman" w:cs="Times New Roman"/>
          <w:caps w:val="0"/>
          <w:smallCaps w:val="0"/>
        </w:rPr>
        <w:drawing>
          <wp:inline distT="0" distB="0" distL="114300" distR="114300">
            <wp:extent cx="5305425" cy="4551680"/>
            <wp:effectExtent l="0" t="0" r="9525" b="1270"/>
            <wp:docPr id="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pic:cNvPicPr>
                      <a:picLocks noChangeAspect="1"/>
                    </pic:cNvPicPr>
                  </pic:nvPicPr>
                  <pic:blipFill>
                    <a:blip r:embed="rId182"/>
                    <a:stretch>
                      <a:fillRect/>
                    </a:stretch>
                  </pic:blipFill>
                  <pic:spPr>
                    <a:xfrm>
                      <a:off x="0" y="0"/>
                      <a:ext cx="5305425" cy="4551680"/>
                    </a:xfrm>
                    <a:prstGeom prst="rect">
                      <a:avLst/>
                    </a:prstGeom>
                    <a:noFill/>
                    <a:ln>
                      <a:noFill/>
                    </a:ln>
                  </pic:spPr>
                </pic:pic>
              </a:graphicData>
            </a:graphic>
          </wp:inline>
        </w:drawing>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lang w:eastAsia="zh-CN"/>
        </w:rPr>
        <w:t>急救措施：皮肤接触：及时清洗；眼睛接触：提起眼脸，用流动清水或生理盐水重新，就医；食入：饮足量温水，催吐，就医。</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lang w:eastAsia="zh-CN"/>
        </w:rPr>
        <w:t>防护措施：眼睛防护：戴化学安全防护眼睛；手防护：戴橡胶耐油手套；其他防护：工作现场严禁吸烟。</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lang w:eastAsia="zh-CN"/>
        </w:rPr>
        <w:t>泄漏应急处理：迅速撤离泄漏污染区员工至安全区，并进行隔离，严格限制出入。切断火源。建议应急处管理员工带自给正压时呼吸器，穿防毒工作服。尽可能切断泄漏源。防止流入下水道、排洪沟等限制性空间。</w:t>
      </w:r>
    </w:p>
    <w:p>
      <w:pPr>
        <w:adjustRightInd w:val="0"/>
        <w:snapToGrid w:val="0"/>
        <w:spacing w:line="360" w:lineRule="auto"/>
        <w:ind w:firstLine="480" w:firstLineChars="200"/>
        <w:rPr>
          <w:rFonts w:ascii="Times New Roman" w:hAnsi="Times New Roman" w:cs="Times New Roman"/>
          <w:caps w:val="0"/>
          <w:smallCaps w:val="0"/>
          <w:color w:val="000000"/>
          <w:sz w:val="24"/>
          <w:szCs w:val="24"/>
          <w:lang w:eastAsia="zh-CN"/>
        </w:rPr>
      </w:pPr>
      <w:r>
        <w:rPr>
          <w:rFonts w:ascii="Times New Roman" w:hAnsi="Times New Roman" w:cs="Times New Roman"/>
          <w:caps w:val="0"/>
          <w:smallCaps w:val="0"/>
          <w:color w:val="000000"/>
          <w:sz w:val="24"/>
          <w:szCs w:val="24"/>
          <w:lang w:eastAsia="zh-CN"/>
        </w:rPr>
        <w:t>环境资料：该物质对环境可能有危害，对鱼类和水体要给与特别注意。还应特别注意对地表水、土壤、大气和饮用水的污染。</w:t>
      </w:r>
    </w:p>
    <w:p>
      <w:pPr>
        <w:adjustRightInd w:val="0"/>
        <w:snapToGrid w:val="0"/>
        <w:spacing w:line="360" w:lineRule="auto"/>
        <w:ind w:firstLine="482" w:firstLineChars="200"/>
        <w:rPr>
          <w:rFonts w:hint="eastAsia" w:ascii="Times New Roman" w:hAnsi="Times New Roman" w:cs="Times New Roman"/>
          <w:caps w:val="0"/>
          <w:smallCaps w:val="0"/>
          <w:color w:val="000000"/>
          <w:sz w:val="24"/>
          <w:szCs w:val="24"/>
          <w:lang w:eastAsia="zh-CN"/>
        </w:rPr>
      </w:pPr>
      <w:r>
        <w:rPr>
          <w:rFonts w:hint="eastAsia" w:ascii="Times New Roman" w:hAnsi="Times New Roman" w:cs="Times New Roman"/>
          <w:b/>
          <w:bCs/>
          <w:caps w:val="0"/>
          <w:smallCaps w:val="0"/>
          <w:color w:val="000000"/>
          <w:sz w:val="24"/>
          <w:szCs w:val="24"/>
          <w:lang w:eastAsia="zh-CN"/>
        </w:rPr>
        <w:t>③沥青</w:t>
      </w:r>
    </w:p>
    <w:p>
      <w:pPr>
        <w:pStyle w:val="315"/>
        <w:tabs>
          <w:tab w:val="right" w:leader="dot" w:pos="9070"/>
        </w:tabs>
        <w:adjustRightInd w:val="0"/>
        <w:snapToGrid w:val="0"/>
        <w:spacing w:line="360" w:lineRule="auto"/>
        <w:ind w:firstLine="480" w:firstLineChars="200"/>
        <w:rPr>
          <w:rFonts w:hint="eastAsia" w:ascii="Times New Roman" w:hAnsi="Times New Roman" w:cs="Times New Roman" w:eastAsiaTheme="minorEastAsia"/>
          <w:caps w:val="0"/>
          <w:smallCaps w:val="0"/>
          <w:color w:val="000000"/>
          <w:sz w:val="24"/>
          <w:szCs w:val="24"/>
        </w:rPr>
      </w:pPr>
      <w:r>
        <w:rPr>
          <w:rFonts w:hint="eastAsia" w:ascii="Times New Roman" w:hAnsi="Times New Roman" w:cs="Times New Roman" w:eastAsiaTheme="minorEastAsia"/>
          <w:caps w:val="0"/>
          <w:smallCaps w:val="0"/>
          <w:color w:val="000000"/>
          <w:sz w:val="24"/>
          <w:szCs w:val="24"/>
        </w:rPr>
        <w:t>煤焦沥青是炼焦的副产品，由不同分子量的碳氢化合物及其非金属衍生物组成的黑褐色复杂混合物，是高黏度有机液体的一种，多会以液体或半固体的石油形态存在，表面呈黑色。它与精制焦油只是物理性质有分别，没有明显的界限，一般的划分方法是规定软化点在26．7℃（立方块法）。温度的变化对煤焦沥青的影响很大，冬季容易脆裂，夏季容易软化。加热时有特殊气味；加热到260℃在5小时以后，其所含的蒽、菲、芘等成分就会挥发出来。沥青是可溶于二硫化碳、四氯化碳。沥青密度为1.15~1.25g/cm</w:t>
      </w:r>
      <w:r>
        <w:rPr>
          <w:rFonts w:hint="eastAsia" w:ascii="Times New Roman" w:hAnsi="Times New Roman" w:cs="Times New Roman" w:eastAsiaTheme="minorEastAsia"/>
          <w:caps w:val="0"/>
          <w:smallCaps w:val="0"/>
          <w:color w:val="000000"/>
          <w:sz w:val="24"/>
          <w:szCs w:val="24"/>
          <w:vertAlign w:val="superscript"/>
        </w:rPr>
        <w:t>3</w:t>
      </w:r>
      <w:r>
        <w:rPr>
          <w:rFonts w:hint="eastAsia" w:ascii="Times New Roman" w:hAnsi="Times New Roman" w:cs="Times New Roman" w:eastAsiaTheme="minorEastAsia"/>
          <w:caps w:val="0"/>
          <w:smallCaps w:val="0"/>
          <w:color w:val="000000"/>
          <w:sz w:val="24"/>
          <w:szCs w:val="24"/>
        </w:rPr>
        <w:t>，闪点为204.4℃，无固定熔点，健康危害为中等毒性。沥青是一种防水防潮和防腐的有机胶凝材料。沥青主要可以分为煤焦沥青、石油沥青和天然沥青三种：其中，煤焦沥青是炼焦的副产品。石油沥青是原油蒸馏后的残渣。天然沥青则是储藏在地下，有的形成矿层或在地壳表面堆积。</w:t>
      </w:r>
    </w:p>
    <w:p>
      <w:pPr>
        <w:pStyle w:val="315"/>
        <w:tabs>
          <w:tab w:val="right" w:leader="dot" w:pos="9070"/>
        </w:tabs>
        <w:adjustRightInd w:val="0"/>
        <w:snapToGrid w:val="0"/>
        <w:spacing w:line="360" w:lineRule="auto"/>
        <w:ind w:firstLine="482" w:firstLineChars="200"/>
        <w:rPr>
          <w:rFonts w:hint="default" w:ascii="Times New Roman" w:hAnsi="Times New Roman" w:cs="Times New Roman" w:eastAsiaTheme="minorEastAsia"/>
          <w:b/>
          <w:bCs/>
          <w:caps w:val="0"/>
          <w:smallCaps w:val="0"/>
          <w:color w:val="000000"/>
          <w:sz w:val="24"/>
          <w:szCs w:val="24"/>
          <w:lang w:val="en-US" w:eastAsia="zh-CN"/>
        </w:rPr>
      </w:pPr>
      <w:r>
        <w:rPr>
          <w:rFonts w:hint="eastAsia" w:cs="Times New Roman" w:eastAsiaTheme="minorEastAsia"/>
          <w:b/>
          <w:bCs/>
          <w:caps w:val="0"/>
          <w:smallCaps w:val="0"/>
          <w:color w:val="000000"/>
          <w:sz w:val="24"/>
          <w:szCs w:val="24"/>
          <w:lang w:val="en-US" w:eastAsia="zh-CN"/>
        </w:rPr>
        <w:t>④导热油</w:t>
      </w:r>
    </w:p>
    <w:p>
      <w:pPr>
        <w:pStyle w:val="315"/>
        <w:tabs>
          <w:tab w:val="right" w:leader="dot" w:pos="9070"/>
        </w:tabs>
        <w:adjustRightInd w:val="0"/>
        <w:snapToGrid w:val="0"/>
        <w:spacing w:line="360" w:lineRule="auto"/>
        <w:ind w:firstLine="480" w:firstLineChars="200"/>
        <w:rPr>
          <w:rFonts w:hint="default" w:ascii="Times New Roman" w:hAnsi="Times New Roman" w:cs="Times New Roman" w:eastAsiaTheme="minorEastAsia"/>
          <w:caps w:val="0"/>
          <w:smallCaps w:val="0"/>
          <w:color w:val="000000"/>
          <w:sz w:val="24"/>
          <w:szCs w:val="24"/>
          <w:lang w:val="en-US" w:eastAsia="zh-CN"/>
        </w:rPr>
      </w:pPr>
      <w:r>
        <w:rPr>
          <w:rFonts w:hint="eastAsia" w:cs="Times New Roman" w:eastAsiaTheme="minorEastAsia"/>
          <w:caps w:val="0"/>
          <w:smallCaps w:val="0"/>
          <w:color w:val="000000"/>
          <w:sz w:val="24"/>
          <w:szCs w:val="24"/>
          <w:lang w:val="en-US" w:eastAsia="zh-CN"/>
        </w:rPr>
        <w:t>导</w:t>
      </w:r>
      <w:r>
        <w:rPr>
          <w:rFonts w:hint="default" w:ascii="Times New Roman" w:hAnsi="Times New Roman" w:cs="Times New Roman" w:eastAsiaTheme="minorEastAsia"/>
          <w:caps w:val="0"/>
          <w:smallCaps w:val="0"/>
          <w:color w:val="000000"/>
          <w:sz w:val="24"/>
          <w:szCs w:val="24"/>
          <w:lang w:val="en-US" w:eastAsia="zh-CN"/>
        </w:rPr>
        <w:t>热油具有抗热裂化和化学氧化的性能，传热效率好，散热快，热稳定性很好。在事故原因引起系统泄漏的情况下，导热油与明火相遇时有可能发生燃烧，这是导热油系统与</w:t>
      </w:r>
      <w:r>
        <w:rPr>
          <w:rFonts w:hint="default" w:ascii="Times New Roman" w:hAnsi="Times New Roman" w:cs="Times New Roman" w:eastAsiaTheme="minorEastAsia"/>
          <w:caps w:val="0"/>
          <w:smallCaps w:val="0"/>
          <w:color w:val="000000"/>
          <w:sz w:val="24"/>
          <w:szCs w:val="24"/>
          <w:lang w:val="en-US" w:eastAsia="zh-CN"/>
        </w:rPr>
        <w:fldChar w:fldCharType="begin"/>
      </w:r>
      <w:r>
        <w:rPr>
          <w:rFonts w:hint="default" w:ascii="Times New Roman" w:hAnsi="Times New Roman" w:cs="Times New Roman" w:eastAsiaTheme="minorEastAsia"/>
          <w:caps w:val="0"/>
          <w:smallCaps w:val="0"/>
          <w:color w:val="000000"/>
          <w:sz w:val="24"/>
          <w:szCs w:val="24"/>
          <w:lang w:val="en-US" w:eastAsia="zh-CN"/>
        </w:rPr>
        <w:instrText xml:space="preserve"> HYPERLINK "https://baike.baidu.com/item/%E6%B0%B4%E8%92%B8%E6%B1%BD" \t "https://baike.baidu.com/item/%E5%AF%BC%E7%83%AD%E6%B2%B9/_blank" </w:instrText>
      </w:r>
      <w:r>
        <w:rPr>
          <w:rFonts w:hint="default" w:ascii="Times New Roman" w:hAnsi="Times New Roman" w:cs="Times New Roman" w:eastAsiaTheme="minorEastAsia"/>
          <w:caps w:val="0"/>
          <w:smallCaps w:val="0"/>
          <w:color w:val="000000"/>
          <w:sz w:val="24"/>
          <w:szCs w:val="24"/>
          <w:lang w:val="en-US" w:eastAsia="zh-CN"/>
        </w:rPr>
        <w:fldChar w:fldCharType="separate"/>
      </w:r>
      <w:r>
        <w:rPr>
          <w:rFonts w:hint="default" w:ascii="Times New Roman" w:hAnsi="Times New Roman" w:cs="Times New Roman" w:eastAsiaTheme="minorEastAsia"/>
          <w:caps w:val="0"/>
          <w:smallCaps w:val="0"/>
          <w:color w:val="000000"/>
          <w:sz w:val="24"/>
          <w:szCs w:val="24"/>
          <w:lang w:val="en-US" w:eastAsia="zh-CN"/>
        </w:rPr>
        <w:t>水蒸汽</w:t>
      </w:r>
      <w:r>
        <w:rPr>
          <w:rFonts w:hint="default" w:ascii="Times New Roman" w:hAnsi="Times New Roman" w:cs="Times New Roman" w:eastAsiaTheme="minorEastAsia"/>
          <w:caps w:val="0"/>
          <w:smallCaps w:val="0"/>
          <w:color w:val="000000"/>
          <w:sz w:val="24"/>
          <w:szCs w:val="24"/>
          <w:lang w:val="en-US" w:eastAsia="zh-CN"/>
        </w:rPr>
        <w:fldChar w:fldCharType="end"/>
      </w:r>
      <w:r>
        <w:rPr>
          <w:rFonts w:hint="default" w:ascii="Times New Roman" w:hAnsi="Times New Roman" w:cs="Times New Roman" w:eastAsiaTheme="minorEastAsia"/>
          <w:caps w:val="0"/>
          <w:smallCaps w:val="0"/>
          <w:color w:val="000000"/>
          <w:sz w:val="24"/>
          <w:szCs w:val="24"/>
          <w:lang w:val="en-US" w:eastAsia="zh-CN"/>
        </w:rPr>
        <w:t>系统相比所存在的问题。但在不发生泄漏的条件下，由于导热油系统在低压条件下工作，故其操作安全性要高于水和蒸汽系统。从使用及安全角度看，其主要特性是</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1.在许用温度范围内，热稳定性较好，结焦少，使用寿命较长</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2.在许用温度范围内，导热性能、流动性能及可泵性能良好</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3.低毒无味，不腐蚀设备，对环境影响很小</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4.凝固点较低，沸点较高，低沸点组分含量较少。在许用温度范围内，蒸汽压不高，蒸发损失少</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5.温度高于70℃时，与空气接触会被强烈氧化，其受热工作系统需密封，而只允许其在70℃以下的温度与空气接触</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6.受热后体积膨胀显著，</w:t>
      </w:r>
      <w:r>
        <w:rPr>
          <w:rFonts w:hint="default" w:ascii="Times New Roman" w:hAnsi="Times New Roman" w:cs="Times New Roman" w:eastAsiaTheme="minorEastAsia"/>
          <w:caps w:val="0"/>
          <w:smallCaps w:val="0"/>
          <w:color w:val="000000"/>
          <w:sz w:val="24"/>
          <w:szCs w:val="24"/>
          <w:lang w:val="en-US" w:eastAsia="zh-CN"/>
        </w:rPr>
        <w:fldChar w:fldCharType="begin"/>
      </w:r>
      <w:r>
        <w:rPr>
          <w:rFonts w:hint="default" w:ascii="Times New Roman" w:hAnsi="Times New Roman" w:cs="Times New Roman" w:eastAsiaTheme="minorEastAsia"/>
          <w:caps w:val="0"/>
          <w:smallCaps w:val="0"/>
          <w:color w:val="000000"/>
          <w:sz w:val="24"/>
          <w:szCs w:val="24"/>
          <w:lang w:val="en-US" w:eastAsia="zh-CN"/>
        </w:rPr>
        <w:instrText xml:space="preserve"> HYPERLINK "https://baike.baidu.com/item/%E8%86%A8%E8%83%80%E7%8E%87/7708746" \t "https://baike.baidu.com/item/%E5%AF%BC%E7%83%AD%E6%B2%B9/_blank" </w:instrText>
      </w:r>
      <w:r>
        <w:rPr>
          <w:rFonts w:hint="default" w:ascii="Times New Roman" w:hAnsi="Times New Roman" w:cs="Times New Roman" w:eastAsiaTheme="minorEastAsia"/>
          <w:caps w:val="0"/>
          <w:smallCaps w:val="0"/>
          <w:color w:val="000000"/>
          <w:sz w:val="24"/>
          <w:szCs w:val="24"/>
          <w:lang w:val="en-US" w:eastAsia="zh-CN"/>
        </w:rPr>
        <w:fldChar w:fldCharType="separate"/>
      </w:r>
      <w:r>
        <w:rPr>
          <w:rFonts w:hint="default" w:ascii="Times New Roman" w:hAnsi="Times New Roman" w:cs="Times New Roman" w:eastAsiaTheme="minorEastAsia"/>
          <w:caps w:val="0"/>
          <w:smallCaps w:val="0"/>
          <w:color w:val="000000"/>
          <w:sz w:val="24"/>
          <w:szCs w:val="24"/>
          <w:lang w:val="en-US" w:eastAsia="zh-CN"/>
        </w:rPr>
        <w:t>膨胀率</w:t>
      </w:r>
      <w:r>
        <w:rPr>
          <w:rFonts w:hint="default" w:ascii="Times New Roman" w:hAnsi="Times New Roman" w:cs="Times New Roman" w:eastAsiaTheme="minorEastAsia"/>
          <w:caps w:val="0"/>
          <w:smallCaps w:val="0"/>
          <w:color w:val="000000"/>
          <w:sz w:val="24"/>
          <w:szCs w:val="24"/>
          <w:lang w:val="en-US" w:eastAsia="zh-CN"/>
        </w:rPr>
        <w:fldChar w:fldCharType="end"/>
      </w:r>
      <w:r>
        <w:rPr>
          <w:rFonts w:hint="default" w:ascii="Times New Roman" w:hAnsi="Times New Roman" w:cs="Times New Roman" w:eastAsiaTheme="minorEastAsia"/>
          <w:caps w:val="0"/>
          <w:smallCaps w:val="0"/>
          <w:color w:val="000000"/>
          <w:sz w:val="24"/>
          <w:szCs w:val="24"/>
          <w:lang w:val="en-US" w:eastAsia="zh-CN"/>
        </w:rPr>
        <w:t>远大于水</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温升100℃，体积膨胀率可达8%～10%</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7.过热时会发生裂解或缩合，在容器、管道中结焦或积碳</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8.混入水或低沸点组分时，受热后蒸气压会显著提高</w:t>
      </w:r>
      <w:r>
        <w:rPr>
          <w:rFonts w:hint="eastAsia" w:cs="Times New Roman" w:eastAsiaTheme="minorEastAsia"/>
          <w:caps w:val="0"/>
          <w:smallCaps w:val="0"/>
          <w:color w:val="000000"/>
          <w:sz w:val="24"/>
          <w:szCs w:val="24"/>
          <w:lang w:val="en-US" w:eastAsia="zh-CN"/>
        </w:rPr>
        <w:t>；</w:t>
      </w:r>
      <w:r>
        <w:rPr>
          <w:rFonts w:hint="default" w:ascii="Times New Roman" w:hAnsi="Times New Roman" w:cs="Times New Roman" w:eastAsiaTheme="minorEastAsia"/>
          <w:caps w:val="0"/>
          <w:smallCaps w:val="0"/>
          <w:color w:val="000000"/>
          <w:sz w:val="24"/>
          <w:szCs w:val="24"/>
          <w:lang w:val="en-US" w:eastAsia="zh-CN"/>
        </w:rPr>
        <w:t>9.闪点、燃点及自燃点均较高，在许</w:t>
      </w:r>
      <w:r>
        <w:rPr>
          <w:rFonts w:hint="eastAsia" w:cs="Times New Roman" w:eastAsiaTheme="minorEastAsia"/>
          <w:caps w:val="0"/>
          <w:smallCaps w:val="0"/>
          <w:color w:val="000000"/>
          <w:sz w:val="24"/>
          <w:szCs w:val="24"/>
          <w:lang w:val="en-US" w:eastAsia="zh-CN"/>
        </w:rPr>
        <w:t>用</w:t>
      </w:r>
      <w:r>
        <w:rPr>
          <w:rFonts w:hint="default" w:ascii="Times New Roman" w:hAnsi="Times New Roman" w:cs="Times New Roman" w:eastAsiaTheme="minorEastAsia"/>
          <w:caps w:val="0"/>
          <w:smallCaps w:val="0"/>
          <w:color w:val="000000"/>
          <w:sz w:val="24"/>
          <w:szCs w:val="24"/>
          <w:lang w:val="en-US" w:eastAsia="zh-CN"/>
        </w:rPr>
        <w:t>温度及密闭状态下不会着火燃烧。</w:t>
      </w:r>
    </w:p>
    <w:p>
      <w:pPr>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z w:val="24"/>
          <w:szCs w:val="24"/>
          <w14:textFill>
            <w14:solidFill>
              <w14:schemeClr w14:val="tx1"/>
            </w14:solidFill>
          </w14:textFill>
        </w:rPr>
        <w:t>2、生产系统危险性识别</w:t>
      </w:r>
    </w:p>
    <w:p>
      <w:pPr>
        <w:adjustRightInd w:val="0"/>
        <w:snapToGrid w:val="0"/>
        <w:spacing w:line="360" w:lineRule="auto"/>
        <w:ind w:firstLine="480" w:firstLineChars="200"/>
        <w:rPr>
          <w:rFonts w:ascii="Times New Roman" w:hAnsi="Times New Roman" w:cs="Times New Roman"/>
          <w:caps w:val="0"/>
          <w:smallCaps w:val="0"/>
          <w:color w:val="000000"/>
          <w:sz w:val="24"/>
          <w:szCs w:val="24"/>
        </w:rPr>
      </w:pPr>
      <w:r>
        <w:rPr>
          <w:rFonts w:ascii="Times New Roman" w:hAnsi="Times New Roman" w:cs="Times New Roman"/>
          <w:caps w:val="0"/>
          <w:smallCaps w:val="0"/>
          <w:sz w:val="24"/>
          <w:szCs w:val="24"/>
        </w:rPr>
        <w:t>本项目运营货种为</w:t>
      </w:r>
      <w:r>
        <w:rPr>
          <w:rFonts w:hint="eastAsia" w:ascii="Times New Roman" w:hAnsi="Times New Roman" w:cs="Times New Roman"/>
          <w:caps w:val="0"/>
          <w:smallCaps w:val="0"/>
          <w:sz w:val="24"/>
          <w:szCs w:val="24"/>
          <w:lang w:val="en-US" w:eastAsia="zh-CN"/>
        </w:rPr>
        <w:t>沥青</w:t>
      </w:r>
      <w:r>
        <w:rPr>
          <w:rFonts w:ascii="Times New Roman" w:hAnsi="Times New Roman" w:cs="Times New Roman"/>
          <w:caps w:val="0"/>
          <w:smallCaps w:val="0"/>
          <w:sz w:val="24"/>
          <w:szCs w:val="24"/>
        </w:rPr>
        <w:t>，液体主要为船舶本身动力所用的燃料油</w:t>
      </w:r>
      <w:r>
        <w:rPr>
          <w:rFonts w:hint="eastAsia" w:cs="Times New Roman"/>
          <w:caps w:val="0"/>
          <w:smallCaps w:val="0"/>
          <w:sz w:val="24"/>
          <w:szCs w:val="24"/>
          <w:lang w:eastAsia="zh-CN"/>
        </w:rPr>
        <w:t>和装卸过程管道保温使用的导热油。</w:t>
      </w:r>
      <w:r>
        <w:rPr>
          <w:rFonts w:ascii="Times New Roman" w:hAnsi="Times New Roman" w:cs="Times New Roman"/>
          <w:caps w:val="0"/>
          <w:smallCaps w:val="0"/>
          <w:sz w:val="24"/>
          <w:szCs w:val="24"/>
        </w:rPr>
        <w:t>由于船舶本身出现设施损废，或者发生船舶碰撞，有可能使油类溢出造成污染</w:t>
      </w:r>
      <w:r>
        <w:rPr>
          <w:rFonts w:hint="eastAsia" w:cs="Times New Roman"/>
          <w:caps w:val="0"/>
          <w:smallCaps w:val="0"/>
          <w:sz w:val="24"/>
          <w:szCs w:val="24"/>
          <w:lang w:eastAsia="zh-CN"/>
        </w:rPr>
        <w:t>；或由于导热油输送系统管道破裂，有可能使得油类一处造成污染</w:t>
      </w:r>
      <w:r>
        <w:rPr>
          <w:rFonts w:ascii="Times New Roman" w:hAnsi="Times New Roman" w:cs="Times New Roman"/>
          <w:caps w:val="0"/>
          <w:smallCaps w:val="0"/>
          <w:sz w:val="24"/>
          <w:szCs w:val="24"/>
        </w:rPr>
        <w:t>。</w:t>
      </w:r>
    </w:p>
    <w:p>
      <w:pPr>
        <w:pStyle w:val="6"/>
        <w:bidi w:val="0"/>
        <w:rPr>
          <w:rFonts w:ascii="Times New Roman" w:hAnsi="Times New Roman" w:cs="Times New Roman"/>
          <w:caps w:val="0"/>
          <w:smallCaps w:val="0"/>
        </w:rPr>
      </w:pPr>
      <w:r>
        <w:rPr>
          <w:rFonts w:ascii="Times New Roman" w:hAnsi="Times New Roman" w:cs="Times New Roman"/>
          <w:caps w:val="0"/>
          <w:smallCaps w:val="0"/>
        </w:rPr>
        <w:t>环境影响途径</w:t>
      </w:r>
    </w:p>
    <w:p>
      <w:pPr>
        <w:adjustRightInd w:val="0"/>
        <w:snapToGrid w:val="0"/>
        <w:spacing w:line="360" w:lineRule="auto"/>
        <w:ind w:firstLine="480" w:firstLineChars="200"/>
        <w:rPr>
          <w:rFonts w:ascii="Times New Roman" w:hAnsi="Times New Roman" w:cs="Times New Roman"/>
          <w:caps w:val="0"/>
          <w:smallCaps w:val="0"/>
          <w:color w:val="000000"/>
          <w:sz w:val="24"/>
          <w:szCs w:val="24"/>
        </w:rPr>
      </w:pPr>
      <w:bookmarkStart w:id="130" w:name="_Toc23429147"/>
      <w:r>
        <w:rPr>
          <w:rFonts w:ascii="Times New Roman" w:hAnsi="Times New Roman" w:cs="Times New Roman"/>
          <w:caps w:val="0"/>
          <w:smallCaps w:val="0"/>
          <w:sz w:val="24"/>
          <w:szCs w:val="24"/>
        </w:rPr>
        <w:t>根据项目物质危险性识别和生产系统危险性识别，本项目危险物质在事故情形下对环境的影响途径主要是燃料油发生火灾情形下通过大气对周围环境以及敏感目标产生影响。</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环境风险</w:t>
      </w:r>
      <w:bookmarkEnd w:id="130"/>
      <w:r>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t>防范措施</w:t>
      </w:r>
    </w:p>
    <w:p>
      <w:pPr>
        <w:adjustRightInd w:val="0"/>
        <w:snapToGrid w:val="0"/>
        <w:spacing w:line="360" w:lineRule="auto"/>
        <w:ind w:firstLine="480" w:firstLineChars="200"/>
        <w:rPr>
          <w:rFonts w:ascii="Times New Roman" w:hAnsi="Times New Roman" w:cs="Times New Roman"/>
          <w:caps w:val="0"/>
          <w:smallCaps w:val="0"/>
          <w:sz w:val="24"/>
          <w:szCs w:val="24"/>
          <w:lang w:val="en-US" w:eastAsia="zh-CN"/>
        </w:rPr>
      </w:pPr>
      <w:bookmarkStart w:id="131" w:name="_Toc23429148"/>
      <w:r>
        <w:rPr>
          <w:rFonts w:hint="eastAsia" w:ascii="Times New Roman" w:hAnsi="Times New Roman" w:cs="Times New Roman"/>
          <w:caps w:val="0"/>
          <w:smallCaps w:val="0"/>
          <w:sz w:val="24"/>
          <w:szCs w:val="24"/>
          <w:lang w:val="en-US" w:eastAsia="zh-CN"/>
        </w:rPr>
        <w:t>（1）</w:t>
      </w:r>
      <w:r>
        <w:rPr>
          <w:rFonts w:ascii="Times New Roman" w:hAnsi="Times New Roman" w:cs="Times New Roman"/>
          <w:caps w:val="0"/>
          <w:smallCaps w:val="0"/>
          <w:sz w:val="24"/>
          <w:szCs w:val="24"/>
          <w:lang w:val="en-US" w:eastAsia="zh-CN"/>
        </w:rPr>
        <w:t>废</w:t>
      </w:r>
      <w:r>
        <w:rPr>
          <w:rFonts w:hint="eastAsia" w:ascii="Times New Roman" w:hAnsi="Times New Roman" w:cs="Times New Roman"/>
          <w:caps w:val="0"/>
          <w:smallCaps w:val="0"/>
          <w:sz w:val="24"/>
          <w:szCs w:val="24"/>
          <w:lang w:val="en-US" w:eastAsia="zh-CN"/>
        </w:rPr>
        <w:t>矿物油</w:t>
      </w:r>
      <w:r>
        <w:rPr>
          <w:rFonts w:ascii="Times New Roman" w:hAnsi="Times New Roman" w:cs="Times New Roman"/>
          <w:caps w:val="0"/>
          <w:smallCaps w:val="0"/>
          <w:sz w:val="24"/>
          <w:szCs w:val="24"/>
          <w:lang w:val="en-US" w:eastAsia="zh-CN"/>
        </w:rPr>
        <w:t>、</w:t>
      </w:r>
      <w:r>
        <w:rPr>
          <w:rFonts w:ascii="Times New Roman" w:hAnsi="Times New Roman" w:cs="Times New Roman"/>
          <w:caps w:val="0"/>
          <w:smallCaps w:val="0"/>
          <w:sz w:val="24"/>
          <w:szCs w:val="24"/>
          <w:lang w:val="en-US"/>
        </w:rPr>
        <w:t>柴油</w:t>
      </w:r>
      <w:r>
        <w:rPr>
          <w:rFonts w:hint="eastAsia" w:cs="Times New Roman"/>
          <w:caps w:val="0"/>
          <w:smallCaps w:val="0"/>
          <w:sz w:val="24"/>
          <w:szCs w:val="24"/>
          <w:lang w:val="en-US" w:eastAsia="zh-CN"/>
        </w:rPr>
        <w:t>、导热油</w:t>
      </w:r>
      <w:r>
        <w:rPr>
          <w:rFonts w:ascii="Times New Roman" w:hAnsi="Times New Roman" w:cs="Times New Roman"/>
          <w:caps w:val="0"/>
          <w:smallCaps w:val="0"/>
          <w:sz w:val="24"/>
          <w:szCs w:val="24"/>
          <w:lang w:val="en-US"/>
        </w:rPr>
        <w:t>的</w:t>
      </w:r>
      <w:r>
        <w:rPr>
          <w:rFonts w:hint="eastAsia" w:ascii="Times New Roman" w:hAnsi="Times New Roman" w:cs="Times New Roman"/>
          <w:caps w:val="0"/>
          <w:smallCaps w:val="0"/>
          <w:sz w:val="24"/>
          <w:szCs w:val="24"/>
          <w:lang w:val="en-US" w:eastAsia="zh-CN"/>
        </w:rPr>
        <w:t>泄漏</w:t>
      </w:r>
    </w:p>
    <w:p>
      <w:pPr>
        <w:adjustRightInd w:val="0"/>
        <w:snapToGrid w:val="0"/>
        <w:spacing w:line="360" w:lineRule="auto"/>
        <w:ind w:firstLine="480" w:firstLineChars="200"/>
        <w:rPr>
          <w:rFonts w:ascii="Times New Roman" w:hAnsi="Times New Roman" w:cs="Times New Roman"/>
          <w:caps w:val="0"/>
          <w:smallCaps w:val="0"/>
          <w:sz w:val="24"/>
          <w:szCs w:val="24"/>
          <w:lang w:val="en-US"/>
        </w:rPr>
      </w:pPr>
      <w:r>
        <w:rPr>
          <w:rFonts w:ascii="Times New Roman" w:hAnsi="Times New Roman" w:cs="Times New Roman"/>
          <w:caps w:val="0"/>
          <w:smallCaps w:val="0"/>
          <w:sz w:val="24"/>
          <w:szCs w:val="24"/>
          <w:lang w:val="en-US" w:eastAsia="zh-CN"/>
        </w:rPr>
        <w:t>废</w:t>
      </w:r>
      <w:r>
        <w:rPr>
          <w:rFonts w:hint="eastAsia" w:ascii="Times New Roman" w:hAnsi="Times New Roman" w:cs="Times New Roman"/>
          <w:caps w:val="0"/>
          <w:smallCaps w:val="0"/>
          <w:sz w:val="24"/>
          <w:szCs w:val="24"/>
          <w:lang w:val="en-US" w:eastAsia="zh-CN"/>
        </w:rPr>
        <w:t>矿物油</w:t>
      </w:r>
      <w:r>
        <w:rPr>
          <w:rFonts w:ascii="Times New Roman" w:hAnsi="Times New Roman" w:cs="Times New Roman"/>
          <w:caps w:val="0"/>
          <w:smallCaps w:val="0"/>
          <w:sz w:val="24"/>
          <w:szCs w:val="24"/>
          <w:lang w:val="en-US" w:eastAsia="zh-CN"/>
        </w:rPr>
        <w:t>、</w:t>
      </w:r>
      <w:r>
        <w:rPr>
          <w:rFonts w:ascii="Times New Roman" w:hAnsi="Times New Roman" w:cs="Times New Roman"/>
          <w:caps w:val="0"/>
          <w:smallCaps w:val="0"/>
          <w:sz w:val="24"/>
          <w:szCs w:val="24"/>
          <w:lang w:val="en-US"/>
        </w:rPr>
        <w:t>柴油</w:t>
      </w:r>
      <w:r>
        <w:rPr>
          <w:rFonts w:hint="eastAsia" w:cs="Times New Roman"/>
          <w:caps w:val="0"/>
          <w:smallCaps w:val="0"/>
          <w:sz w:val="24"/>
          <w:szCs w:val="24"/>
          <w:lang w:val="en-US" w:eastAsia="zh-CN"/>
        </w:rPr>
        <w:t>、导热油</w:t>
      </w:r>
      <w:r>
        <w:rPr>
          <w:rFonts w:ascii="Times New Roman" w:hAnsi="Times New Roman" w:cs="Times New Roman"/>
          <w:caps w:val="0"/>
          <w:smallCaps w:val="0"/>
          <w:sz w:val="24"/>
          <w:szCs w:val="24"/>
          <w:lang w:val="en-US"/>
        </w:rPr>
        <w:t>的</w:t>
      </w:r>
      <w:r>
        <w:rPr>
          <w:rFonts w:hint="eastAsia" w:ascii="Times New Roman" w:hAnsi="Times New Roman" w:cs="Times New Roman"/>
          <w:caps w:val="0"/>
          <w:smallCaps w:val="0"/>
          <w:sz w:val="24"/>
          <w:szCs w:val="24"/>
          <w:lang w:val="en-US" w:eastAsia="zh-CN"/>
        </w:rPr>
        <w:t>泄漏</w:t>
      </w:r>
      <w:r>
        <w:rPr>
          <w:rFonts w:ascii="Times New Roman" w:hAnsi="Times New Roman" w:cs="Times New Roman"/>
          <w:caps w:val="0"/>
          <w:smallCaps w:val="0"/>
          <w:sz w:val="24"/>
          <w:szCs w:val="24"/>
          <w:lang w:val="en-US"/>
        </w:rPr>
        <w:t>将会对湘江水域的水生生物产生一定影响，主要表现为：①</w:t>
      </w:r>
      <w:r>
        <w:rPr>
          <w:rFonts w:ascii="Times New Roman" w:hAnsi="Times New Roman" w:cs="Times New Roman"/>
          <w:caps w:val="0"/>
          <w:smallCaps w:val="0"/>
          <w:sz w:val="24"/>
          <w:szCs w:val="24"/>
          <w:lang w:val="en-US" w:eastAsia="zh-CN"/>
        </w:rPr>
        <w:t>水</w:t>
      </w:r>
      <w:r>
        <w:rPr>
          <w:rFonts w:ascii="Times New Roman" w:hAnsi="Times New Roman" w:cs="Times New Roman"/>
          <w:caps w:val="0"/>
          <w:smallCaps w:val="0"/>
          <w:sz w:val="24"/>
          <w:szCs w:val="24"/>
          <w:lang w:val="en-US"/>
        </w:rPr>
        <w:t>面连片的油膜使水体的阳光透射率下降，降低浮游植物的光合作用，从而影响水域的初级生产力，同时干扰浮游动物的昼夜垂直迁移。②油污染能伤害水生生物的化学感应器，干扰、破坏生物的趋化性，使其感应系统发生紊乱。③水生生物的卵和幼体对油污染非常敏感，而且由于卵和幼体大都漂浮在水体表面，表面油污染浓度最高，对生物种类的破坏性最大。④溶解和分散在水体中的油类较易侵入水生生物的上皮细胞，破坏动植物的细胞质膜和线粒体膜，损害生物的酶系统和蛋白质结构，导致基础代谢活动出现障碍，引起生物种类异常。⑤由于不同种类生物对油污染的敏感性有很大差异，水体受油污染后，对油污染抵抗性差的生物数量将大量减少或消失，而一些嗜油菌落和好油生物将大量繁殖和生长，从而改变原有的结构种类，引起生态平衡失调。</w:t>
      </w:r>
    </w:p>
    <w:p>
      <w:pPr>
        <w:adjustRightInd w:val="0"/>
        <w:snapToGrid w:val="0"/>
        <w:spacing w:line="360" w:lineRule="auto"/>
        <w:ind w:firstLine="480" w:firstLineChars="200"/>
        <w:rPr>
          <w:rFonts w:ascii="Times New Roman" w:hAnsi="Times New Roman" w:cs="Times New Roman"/>
          <w:caps w:val="0"/>
          <w:smallCaps w:val="0"/>
          <w:sz w:val="24"/>
          <w:szCs w:val="24"/>
          <w:lang w:val="en-US"/>
        </w:rPr>
      </w:pPr>
      <w:r>
        <w:rPr>
          <w:rFonts w:ascii="Times New Roman" w:hAnsi="Times New Roman" w:cs="Times New Roman"/>
          <w:caps w:val="0"/>
          <w:smallCaps w:val="0"/>
          <w:sz w:val="24"/>
          <w:szCs w:val="24"/>
          <w:lang w:val="en-US"/>
        </w:rPr>
        <w:t>突发性溢油事故给湘江生态环统带来的破坏损害是十分严重的。当</w:t>
      </w:r>
      <w:r>
        <w:rPr>
          <w:rFonts w:ascii="Times New Roman" w:hAnsi="Times New Roman" w:cs="Times New Roman"/>
          <w:caps w:val="0"/>
          <w:smallCaps w:val="0"/>
          <w:sz w:val="24"/>
          <w:szCs w:val="24"/>
          <w:lang w:val="en-US" w:eastAsia="zh-CN"/>
        </w:rPr>
        <w:t>废油渣、柴油</w:t>
      </w:r>
      <w:r>
        <w:rPr>
          <w:rFonts w:ascii="Times New Roman" w:hAnsi="Times New Roman" w:cs="Times New Roman"/>
          <w:caps w:val="0"/>
          <w:smallCaps w:val="0"/>
          <w:sz w:val="24"/>
          <w:szCs w:val="24"/>
          <w:lang w:val="en-US"/>
        </w:rPr>
        <w:t>进入湘江后，漂浮在水面并迅速扩散，形成油膜，阻碍水自空气中摄取氧气，抑制水中浮游植物的光合作用，致使水中溶解氧逐渐减少，鱼虾贝藻类窒息死亡。油膜还能堵住鱼鳃，造成呼吸困难导致死亡。</w:t>
      </w:r>
      <w:r>
        <w:rPr>
          <w:rFonts w:ascii="Times New Roman" w:hAnsi="Times New Roman" w:cs="Times New Roman"/>
          <w:caps w:val="0"/>
          <w:smallCaps w:val="0"/>
          <w:sz w:val="24"/>
          <w:szCs w:val="24"/>
          <w:lang w:val="en-US" w:eastAsia="zh-CN"/>
        </w:rPr>
        <w:t>废油渣</w:t>
      </w:r>
      <w:r>
        <w:rPr>
          <w:rFonts w:ascii="Times New Roman" w:hAnsi="Times New Roman" w:cs="Times New Roman"/>
          <w:caps w:val="0"/>
          <w:smallCaps w:val="0"/>
          <w:sz w:val="24"/>
          <w:szCs w:val="24"/>
          <w:lang w:val="en-US"/>
        </w:rPr>
        <w:t>中含有多种有毒物质，可使水生生物急性、慢性中毒。</w:t>
      </w:r>
      <w:r>
        <w:rPr>
          <w:rFonts w:ascii="Times New Roman" w:hAnsi="Times New Roman" w:cs="Times New Roman"/>
          <w:caps w:val="0"/>
          <w:smallCaps w:val="0"/>
          <w:sz w:val="24"/>
          <w:szCs w:val="24"/>
        </w:rPr>
        <w:t>据研究，石油类污染物对大部分鱼虾贝藻的致死浓度为1-100mg/</w:t>
      </w:r>
      <w:r>
        <w:rPr>
          <w:rFonts w:ascii="Times New Roman" w:hAnsi="Times New Roman" w:cs="Times New Roman"/>
          <w:caps w:val="0"/>
          <w:smallCaps w:val="0"/>
          <w:sz w:val="24"/>
          <w:szCs w:val="24"/>
          <w:lang w:eastAsia="zh-CN"/>
        </w:rPr>
        <w:t>L</w:t>
      </w:r>
      <w:r>
        <w:rPr>
          <w:rFonts w:ascii="Times New Roman" w:hAnsi="Times New Roman" w:cs="Times New Roman"/>
          <w:caps w:val="0"/>
          <w:smallCaps w:val="0"/>
          <w:sz w:val="24"/>
          <w:szCs w:val="24"/>
        </w:rPr>
        <w:t>，但对一些敏感种类的幼体仅为0.1-1mg/</w:t>
      </w:r>
      <w:r>
        <w:rPr>
          <w:rFonts w:ascii="Times New Roman" w:hAnsi="Times New Roman" w:cs="Times New Roman"/>
          <w:caps w:val="0"/>
          <w:smallCaps w:val="0"/>
          <w:sz w:val="24"/>
          <w:szCs w:val="24"/>
          <w:lang w:eastAsia="zh-CN"/>
        </w:rPr>
        <w:t>L</w:t>
      </w:r>
      <w:r>
        <w:rPr>
          <w:rFonts w:ascii="Times New Roman" w:hAnsi="Times New Roman" w:cs="Times New Roman"/>
          <w:caps w:val="0"/>
          <w:smallCaps w:val="0"/>
          <w:sz w:val="24"/>
          <w:szCs w:val="24"/>
        </w:rPr>
        <w:t>。不同种类生物对石油类的敏感性和耐污能力不同，同类生物的不同生命阶段中，稚幼体阶段对油类污染物最敏感。</w:t>
      </w:r>
      <w:r>
        <w:rPr>
          <w:rFonts w:ascii="Times New Roman" w:hAnsi="Times New Roman" w:cs="Times New Roman"/>
          <w:caps w:val="0"/>
          <w:smallCaps w:val="0"/>
          <w:sz w:val="24"/>
          <w:szCs w:val="24"/>
          <w:lang w:val="en-US"/>
        </w:rPr>
        <w:t>总之，</w:t>
      </w:r>
      <w:r>
        <w:rPr>
          <w:rFonts w:ascii="Times New Roman" w:hAnsi="Times New Roman" w:cs="Times New Roman"/>
          <w:caps w:val="0"/>
          <w:smallCaps w:val="0"/>
          <w:sz w:val="24"/>
          <w:szCs w:val="24"/>
          <w:lang w:val="en-US" w:eastAsia="zh-CN"/>
        </w:rPr>
        <w:t>废油渣、</w:t>
      </w:r>
      <w:r>
        <w:rPr>
          <w:rFonts w:ascii="Times New Roman" w:hAnsi="Times New Roman" w:cs="Times New Roman"/>
          <w:caps w:val="0"/>
          <w:smallCaps w:val="0"/>
          <w:sz w:val="24"/>
          <w:szCs w:val="24"/>
          <w:lang w:val="en-US"/>
        </w:rPr>
        <w:t>柴油污染对湘江生物的生长、发育以及群落结构直接产生影响，还会破坏食物链，使生态系统失调，其直接与潜在的影响均是十分巨大的。</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ascii="Times New Roman" w:hAnsi="Times New Roman" w:cs="Times New Roman"/>
          <w:caps w:val="0"/>
          <w:smallCaps w:val="0"/>
          <w:sz w:val="24"/>
          <w:szCs w:val="24"/>
          <w:lang w:val="en-US" w:eastAsia="zh-CN"/>
        </w:rPr>
        <w:t>由于波及范围大，难于控制，因此加强事故风险防范措施建设，加大防范力度是项目减少事故发生率和降低事故发生影响最好的措施之选</w:t>
      </w:r>
      <w:r>
        <w:rPr>
          <w:rFonts w:hint="eastAsia" w:ascii="Times New Roman" w:hAnsi="Times New Roman" w:cs="Times New Roman"/>
          <w:caps w:val="0"/>
          <w:smallCaps w:val="0"/>
          <w:sz w:val="24"/>
          <w:szCs w:val="24"/>
          <w:lang w:val="en-US" w:eastAsia="zh-CN"/>
        </w:rPr>
        <w:t>：</w:t>
      </w:r>
    </w:p>
    <w:p>
      <w:pPr>
        <w:adjustRightInd w:val="0"/>
        <w:snapToGrid w:val="0"/>
        <w:spacing w:line="360" w:lineRule="auto"/>
        <w:ind w:firstLine="480" w:firstLineChars="200"/>
        <w:rPr>
          <w:rFonts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①</w:t>
      </w:r>
      <w:r>
        <w:rPr>
          <w:rFonts w:ascii="Times New Roman" w:hAnsi="Times New Roman" w:cs="Times New Roman"/>
          <w:caps w:val="0"/>
          <w:smallCaps w:val="0"/>
          <w:sz w:val="24"/>
          <w:szCs w:val="24"/>
          <w:lang w:val="en-US" w:eastAsia="zh-CN"/>
        </w:rPr>
        <w:t>在码头前沿配备围油栏，以防止船舶突发漏油事故油污扩散，围油栏采用岸边诱导式敷设，围油栏长300米，业主自备围油栏拖带工作船；</w:t>
      </w:r>
    </w:p>
    <w:p>
      <w:pPr>
        <w:adjustRightInd w:val="0"/>
        <w:snapToGrid w:val="0"/>
        <w:spacing w:line="360" w:lineRule="auto"/>
        <w:ind w:firstLine="480" w:firstLineChars="200"/>
        <w:rPr>
          <w:rFonts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②</w:t>
      </w:r>
      <w:r>
        <w:rPr>
          <w:rFonts w:ascii="Times New Roman" w:hAnsi="Times New Roman" w:cs="Times New Roman"/>
          <w:caps w:val="0"/>
          <w:smallCaps w:val="0"/>
          <w:sz w:val="24"/>
          <w:szCs w:val="24"/>
          <w:lang w:val="en-US" w:eastAsia="zh-CN"/>
        </w:rPr>
        <w:t>在趸船上配置吸油毡。</w:t>
      </w:r>
    </w:p>
    <w:p>
      <w:pPr>
        <w:adjustRightInd w:val="0"/>
        <w:snapToGrid w:val="0"/>
        <w:spacing w:line="360" w:lineRule="auto"/>
        <w:ind w:firstLine="480" w:firstLineChars="200"/>
        <w:rPr>
          <w:rFonts w:hint="eastAsia" w:ascii="Times New Roman" w:hAnsi="Times New Roman" w:cs="Times New Roman"/>
          <w:caps w:val="0"/>
          <w:smallCaps w:val="0"/>
          <w:color w:val="000000"/>
          <w:sz w:val="24"/>
          <w:szCs w:val="24"/>
          <w:u w:val="single"/>
          <w:lang w:val="en-US" w:eastAsia="zh-CN"/>
        </w:rPr>
      </w:pPr>
      <w:r>
        <w:rPr>
          <w:rFonts w:hint="eastAsia" w:ascii="Times New Roman" w:hAnsi="Times New Roman" w:cs="Times New Roman"/>
          <w:caps w:val="0"/>
          <w:smallCaps w:val="0"/>
          <w:color w:val="000000"/>
          <w:sz w:val="24"/>
          <w:szCs w:val="24"/>
          <w:u w:val="single"/>
          <w:lang w:val="en-US" w:eastAsia="zh-CN"/>
        </w:rPr>
        <w:t>（2）沥青泄漏</w:t>
      </w:r>
    </w:p>
    <w:p>
      <w:pPr>
        <w:adjustRightInd w:val="0"/>
        <w:snapToGrid w:val="0"/>
        <w:spacing w:line="360" w:lineRule="auto"/>
        <w:ind w:firstLine="480" w:firstLineChars="200"/>
        <w:rPr>
          <w:rFonts w:hint="eastAsia" w:ascii="Times New Roman" w:hAnsi="Times New Roman" w:cs="Times New Roman"/>
          <w:caps w:val="0"/>
          <w:smallCaps w:val="0"/>
          <w:color w:val="000000"/>
          <w:sz w:val="24"/>
          <w:szCs w:val="24"/>
          <w:u w:val="single"/>
          <w:lang w:eastAsia="zh-CN"/>
        </w:rPr>
      </w:pPr>
      <w:r>
        <w:rPr>
          <w:rFonts w:hint="eastAsia" w:ascii="Times New Roman" w:hAnsi="Times New Roman" w:cs="Times New Roman"/>
          <w:caps w:val="0"/>
          <w:smallCaps w:val="0"/>
          <w:color w:val="000000"/>
          <w:sz w:val="24"/>
          <w:szCs w:val="24"/>
          <w:u w:val="single"/>
          <w:lang w:val="en-US" w:eastAsia="zh-CN"/>
        </w:rPr>
        <w:t>船舶靠岸、航行过程中因操作不当及石油沥青卸料过程中操作不当、设备损坏等原 因导致石油沥青泄露。石油沥青是原油蒸馏后的残渣，由不同分子量的碳氢化合物及其非金属衍生物组成的黑褐色复杂混合物，是高黏度有机液体的一种，呈液态，表面呈黑色，属于憎水性材料，它不透水，也几乎不溶于水。由于沥青憎水的特性，</w:t>
      </w:r>
      <w:r>
        <w:rPr>
          <w:rFonts w:hint="eastAsia" w:ascii="Times New Roman" w:hAnsi="Times New Roman" w:cs="Times New Roman"/>
          <w:caps w:val="0"/>
          <w:smallCaps w:val="0"/>
          <w:color w:val="000000"/>
          <w:sz w:val="24"/>
          <w:szCs w:val="24"/>
          <w:u w:val="single"/>
          <w:lang w:eastAsia="zh-CN"/>
        </w:rPr>
        <w:t>遇水会快速凝固，变成固体悬浮在水中</w:t>
      </w:r>
      <w:r>
        <w:rPr>
          <w:rFonts w:hint="eastAsia" w:cs="Times New Roman"/>
          <w:caps w:val="0"/>
          <w:smallCaps w:val="0"/>
          <w:color w:val="000000"/>
          <w:sz w:val="24"/>
          <w:szCs w:val="24"/>
          <w:u w:val="single"/>
          <w:lang w:eastAsia="zh-CN"/>
        </w:rPr>
        <w:t>，</w:t>
      </w:r>
      <w:r>
        <w:rPr>
          <w:rFonts w:hint="eastAsia" w:ascii="Times New Roman" w:hAnsi="Times New Roman" w:cs="Times New Roman"/>
          <w:caps w:val="0"/>
          <w:smallCaps w:val="0"/>
          <w:color w:val="000000"/>
          <w:sz w:val="24"/>
          <w:szCs w:val="24"/>
          <w:u w:val="single"/>
          <w:lang w:val="en-US" w:eastAsia="zh-CN"/>
        </w:rPr>
        <w:t>水环境风险影响在可控范围内，并且石油沥青发生泄漏事故的可能性较小，石油沥青发生泄漏事故时</w:t>
      </w:r>
      <w:r>
        <w:rPr>
          <w:rFonts w:hint="eastAsia" w:ascii="Times New Roman" w:hAnsi="Times New Roman" w:cs="Times New Roman"/>
          <w:caps w:val="0"/>
          <w:smallCaps w:val="0"/>
          <w:color w:val="000000"/>
          <w:sz w:val="24"/>
          <w:szCs w:val="24"/>
          <w:u w:val="single"/>
          <w:lang w:eastAsia="zh-CN"/>
        </w:rPr>
        <w:t>，可在码头前沿配置1套托油网，截留泄漏的凝固沥青，及时清理；回收后的沥青可重新加热融化，回收利用。</w:t>
      </w:r>
      <w:r>
        <w:rPr>
          <w:rFonts w:hint="eastAsia" w:ascii="Times New Roman" w:hAnsi="Times New Roman" w:cs="Times New Roman"/>
          <w:caps w:val="0"/>
          <w:smallCaps w:val="0"/>
          <w:color w:val="000000"/>
          <w:sz w:val="24"/>
          <w:szCs w:val="24"/>
          <w:u w:val="single"/>
          <w:lang w:val="en-US" w:eastAsia="zh-CN"/>
        </w:rPr>
        <w:t>因此，本项目环境风险评价的重点是船舶的溢油事故。</w:t>
      </w:r>
    </w:p>
    <w:p>
      <w:pPr>
        <w:pStyle w:val="6"/>
        <w:bidi w:val="0"/>
        <w:rPr>
          <w:rFonts w:ascii="Times New Roman" w:hAnsi="Times New Roman" w:cs="Times New Roman"/>
          <w:caps w:val="0"/>
          <w:smallCaps w:val="0"/>
        </w:rPr>
      </w:pPr>
      <w:r>
        <w:rPr>
          <w:rFonts w:ascii="Times New Roman" w:hAnsi="Times New Roman" w:cs="Times New Roman"/>
          <w:caps w:val="0"/>
          <w:smallCaps w:val="0"/>
          <w:lang w:val="en-US"/>
        </w:rPr>
        <w:t>水生生态风险影响</w:t>
      </w:r>
      <w:r>
        <w:rPr>
          <w:rFonts w:hint="eastAsia" w:ascii="Times New Roman" w:hAnsi="Times New Roman" w:cs="Times New Roman"/>
          <w:caps w:val="0"/>
          <w:smallCaps w:val="0"/>
          <w:lang w:val="en-US" w:eastAsia="zh-CN"/>
        </w:rPr>
        <w:t>分析</w:t>
      </w:r>
    </w:p>
    <w:p>
      <w:pPr>
        <w:bidi w:val="0"/>
        <w:rPr>
          <w:rFonts w:ascii="Times New Roman" w:hAnsi="Times New Roman" w:cs="Times New Roman"/>
          <w:caps w:val="0"/>
          <w:smallCaps w:val="0"/>
        </w:rPr>
      </w:pPr>
      <w:r>
        <w:rPr>
          <w:rFonts w:ascii="Times New Roman" w:hAnsi="Times New Roman" w:cs="Times New Roman"/>
          <w:caps w:val="0"/>
          <w:smallCaps w:val="0"/>
        </w:rPr>
        <w:t>国内外许多的研究表明高浓度的</w:t>
      </w:r>
      <w:r>
        <w:rPr>
          <w:rFonts w:hint="eastAsia" w:cs="Times New Roman"/>
          <w:caps w:val="0"/>
          <w:smallCaps w:val="0"/>
          <w:lang w:eastAsia="zh-CN"/>
        </w:rPr>
        <w:t>矿物油</w:t>
      </w:r>
      <w:r>
        <w:rPr>
          <w:rFonts w:ascii="Times New Roman" w:hAnsi="Times New Roman" w:cs="Times New Roman"/>
          <w:caps w:val="0"/>
          <w:smallCaps w:val="0"/>
        </w:rPr>
        <w:t>会使鱼卵、仔幼鱼短时间内中毒死亡，低浓度的长期亚急性毒性可干扰鱼类摄食和繁殖，油料泄漏事故对水体中生物的影响是相当严重的，其毒性随石油组分和浓度的不同而有差异。水体石油类含量对水生生物的影响见表6.</w:t>
      </w:r>
      <w:r>
        <w:rPr>
          <w:rFonts w:hint="eastAsia" w:ascii="Times New Roman" w:hAnsi="Times New Roman" w:cs="Times New Roman"/>
          <w:caps w:val="0"/>
          <w:smallCaps w:val="0"/>
          <w:lang w:val="en-US" w:eastAsia="zh-CN"/>
        </w:rPr>
        <w:t>5</w:t>
      </w:r>
      <w:r>
        <w:rPr>
          <w:rFonts w:ascii="Times New Roman" w:hAnsi="Times New Roman" w:cs="Times New Roman"/>
          <w:caps w:val="0"/>
          <w:smallCaps w:val="0"/>
        </w:rPr>
        <w:t>-1。</w:t>
      </w:r>
    </w:p>
    <w:p>
      <w:pPr>
        <w:bidi w:val="0"/>
        <w:jc w:val="center"/>
        <w:rPr>
          <w:rFonts w:ascii="Times New Roman" w:hAnsi="Times New Roman" w:cs="Times New Roman"/>
          <w:b/>
          <w:bCs/>
          <w:caps w:val="0"/>
          <w:smallCaps w:val="0"/>
        </w:rPr>
      </w:pPr>
      <w:r>
        <w:rPr>
          <w:rFonts w:ascii="Times New Roman" w:hAnsi="Times New Roman" w:cs="Times New Roman"/>
          <w:b/>
          <w:bCs/>
          <w:caps w:val="0"/>
          <w:smallCaps w:val="0"/>
        </w:rPr>
        <w:t>表6.</w:t>
      </w:r>
      <w:r>
        <w:rPr>
          <w:rFonts w:hint="eastAsia" w:ascii="Times New Roman" w:hAnsi="Times New Roman" w:cs="Times New Roman"/>
          <w:b/>
          <w:bCs/>
          <w:caps w:val="0"/>
          <w:smallCaps w:val="0"/>
          <w:lang w:val="en-US" w:eastAsia="zh-CN"/>
        </w:rPr>
        <w:t>5</w:t>
      </w:r>
      <w:r>
        <w:rPr>
          <w:rFonts w:ascii="Times New Roman" w:hAnsi="Times New Roman" w:cs="Times New Roman"/>
          <w:b/>
          <w:bCs/>
          <w:caps w:val="0"/>
          <w:smallCaps w:val="0"/>
        </w:rPr>
        <w:t>-1水体石油类含量对水生生物的影响</w:t>
      </w:r>
    </w:p>
    <w:tbl>
      <w:tblPr>
        <w:tblStyle w:val="71"/>
        <w:tblW w:w="0" w:type="auto"/>
        <w:tblInd w:w="107" w:type="dxa"/>
        <w:tblLayout w:type="fixed"/>
        <w:tblCellMar>
          <w:top w:w="0" w:type="dxa"/>
          <w:left w:w="0" w:type="dxa"/>
          <w:bottom w:w="0" w:type="dxa"/>
          <w:right w:w="0" w:type="dxa"/>
        </w:tblCellMar>
      </w:tblPr>
      <w:tblGrid>
        <w:gridCol w:w="1529"/>
        <w:gridCol w:w="1323"/>
        <w:gridCol w:w="2340"/>
        <w:gridCol w:w="3330"/>
      </w:tblGrid>
      <w:tr>
        <w:trPr>
          <w:trHeight w:val="283" w:hRule="exact"/>
        </w:trPr>
        <w:tc>
          <w:tcPr>
            <w:tcW w:w="2852" w:type="dxa"/>
            <w:gridSpan w:val="2"/>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水生生物</w:t>
            </w: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浓度(mg/L)</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影响程度</w:t>
            </w:r>
          </w:p>
        </w:tc>
      </w:tr>
      <w:tr>
        <w:tblPrEx>
          <w:tblCellMar>
            <w:top w:w="0" w:type="dxa"/>
            <w:left w:w="0" w:type="dxa"/>
            <w:bottom w:w="0" w:type="dxa"/>
            <w:right w:w="0" w:type="dxa"/>
          </w:tblCellMar>
        </w:tblPrEx>
        <w:trPr>
          <w:trHeight w:val="282" w:hRule="exact"/>
        </w:trPr>
        <w:tc>
          <w:tcPr>
            <w:tcW w:w="2852" w:type="dxa"/>
            <w:gridSpan w:val="2"/>
            <w:vMerge w:val="restart"/>
            <w:tcBorders>
              <w:top w:val="single" w:color="000000" w:sz="4" w:space="0"/>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浮游藻类</w:t>
            </w: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0.05～5</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抑制生长繁殖</w:t>
            </w:r>
          </w:p>
        </w:tc>
      </w:tr>
      <w:tr>
        <w:trPr>
          <w:trHeight w:val="282" w:hRule="exact"/>
        </w:trPr>
        <w:tc>
          <w:tcPr>
            <w:tcW w:w="2852" w:type="dxa"/>
            <w:gridSpan w:val="2"/>
            <w:vMerge w:val="continue"/>
            <w:tcBorders>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0.5～500</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致死</w:t>
            </w:r>
          </w:p>
        </w:tc>
      </w:tr>
      <w:tr>
        <w:tblPrEx>
          <w:tblCellMar>
            <w:top w:w="0" w:type="dxa"/>
            <w:left w:w="0" w:type="dxa"/>
            <w:bottom w:w="0" w:type="dxa"/>
            <w:right w:w="0" w:type="dxa"/>
          </w:tblCellMar>
        </w:tblPrEx>
        <w:trPr>
          <w:trHeight w:val="283" w:hRule="exact"/>
        </w:trPr>
        <w:tc>
          <w:tcPr>
            <w:tcW w:w="1529" w:type="dxa"/>
            <w:vMerge w:val="restart"/>
            <w:tcBorders>
              <w:top w:val="single" w:color="000000" w:sz="4" w:space="0"/>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浮游动物</w:t>
            </w:r>
          </w:p>
        </w:tc>
        <w:tc>
          <w:tcPr>
            <w:tcW w:w="132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幼体</w:t>
            </w: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0.5～1.0</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致毒死亡</w:t>
            </w:r>
          </w:p>
        </w:tc>
      </w:tr>
      <w:tr>
        <w:trPr>
          <w:trHeight w:val="282" w:hRule="exact"/>
        </w:trPr>
        <w:tc>
          <w:tcPr>
            <w:tcW w:w="1529" w:type="dxa"/>
            <w:vMerge w:val="continue"/>
            <w:tcBorders>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1323"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成体</w:t>
            </w: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&gt;1.0</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致死</w:t>
            </w:r>
          </w:p>
        </w:tc>
      </w:tr>
      <w:tr>
        <w:trPr>
          <w:trHeight w:val="282" w:hRule="exact"/>
        </w:trPr>
        <w:tc>
          <w:tcPr>
            <w:tcW w:w="1529" w:type="dxa"/>
            <w:vMerge w:val="restart"/>
            <w:tcBorders>
              <w:top w:val="single" w:color="000000" w:sz="4" w:space="0"/>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鱼类</w:t>
            </w:r>
          </w:p>
        </w:tc>
        <w:tc>
          <w:tcPr>
            <w:tcW w:w="1323" w:type="dxa"/>
            <w:vMerge w:val="restart"/>
            <w:tcBorders>
              <w:top w:val="single" w:color="000000" w:sz="4" w:space="0"/>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浮游卵</w:t>
            </w: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0.01～0.1</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部分畸型</w:t>
            </w:r>
          </w:p>
        </w:tc>
      </w:tr>
      <w:tr>
        <w:trPr>
          <w:trHeight w:val="283" w:hRule="exact"/>
        </w:trPr>
        <w:tc>
          <w:tcPr>
            <w:tcW w:w="1529" w:type="dxa"/>
            <w:vMerge w:val="continue"/>
            <w:tcBorders>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1323" w:type="dxa"/>
            <w:vMerge w:val="continue"/>
            <w:tcBorders>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0.1～10</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致死</w:t>
            </w:r>
          </w:p>
        </w:tc>
      </w:tr>
      <w:tr>
        <w:trPr>
          <w:trHeight w:val="282" w:hRule="exact"/>
        </w:trPr>
        <w:tc>
          <w:tcPr>
            <w:tcW w:w="1529" w:type="dxa"/>
            <w:vMerge w:val="continue"/>
            <w:tcBorders>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1323" w:type="dxa"/>
            <w:vMerge w:val="restart"/>
            <w:tcBorders>
              <w:top w:val="single" w:color="000000" w:sz="4" w:space="0"/>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鱼苗</w:t>
            </w: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0.1～10</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部分畸型</w:t>
            </w:r>
          </w:p>
        </w:tc>
      </w:tr>
      <w:tr>
        <w:trPr>
          <w:trHeight w:val="282" w:hRule="exact"/>
        </w:trPr>
        <w:tc>
          <w:tcPr>
            <w:tcW w:w="1529" w:type="dxa"/>
            <w:vMerge w:val="continue"/>
            <w:tcBorders>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1323" w:type="dxa"/>
            <w:vMerge w:val="continue"/>
            <w:tcBorders>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10～100</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逃避</w:t>
            </w:r>
          </w:p>
        </w:tc>
      </w:tr>
      <w:tr>
        <w:trPr>
          <w:trHeight w:val="283" w:hRule="exact"/>
        </w:trPr>
        <w:tc>
          <w:tcPr>
            <w:tcW w:w="1529" w:type="dxa"/>
            <w:vMerge w:val="continue"/>
            <w:tcBorders>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1323" w:type="dxa"/>
            <w:vMerge w:val="restart"/>
            <w:tcBorders>
              <w:top w:val="single" w:color="000000" w:sz="4" w:space="0"/>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成鱼</w:t>
            </w: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0.1～1.0</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带油臭味</w:t>
            </w:r>
          </w:p>
        </w:tc>
      </w:tr>
      <w:tr>
        <w:trPr>
          <w:trHeight w:val="282" w:hRule="exact"/>
        </w:trPr>
        <w:tc>
          <w:tcPr>
            <w:tcW w:w="1529" w:type="dxa"/>
            <w:vMerge w:val="continue"/>
            <w:tcBorders>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1323" w:type="dxa"/>
            <w:vMerge w:val="continue"/>
            <w:tcBorders>
              <w:left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0.7～50</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逃避</w:t>
            </w:r>
          </w:p>
        </w:tc>
      </w:tr>
      <w:tr>
        <w:trPr>
          <w:trHeight w:val="282" w:hRule="exact"/>
        </w:trPr>
        <w:tc>
          <w:tcPr>
            <w:tcW w:w="1529" w:type="dxa"/>
            <w:vMerge w:val="continue"/>
            <w:tcBorders>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1323" w:type="dxa"/>
            <w:vMerge w:val="continue"/>
            <w:tcBorders>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p>
        </w:tc>
        <w:tc>
          <w:tcPr>
            <w:tcW w:w="234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10～10000</w:t>
            </w:r>
          </w:p>
        </w:tc>
        <w:tc>
          <w:tcPr>
            <w:tcW w:w="3330" w:type="dxa"/>
            <w:tcBorders>
              <w:top w:val="single" w:color="000000" w:sz="4" w:space="0"/>
              <w:left w:val="single" w:color="000000" w:sz="4" w:space="0"/>
              <w:bottom w:val="single" w:color="000000" w:sz="4" w:space="0"/>
              <w:right w:val="single" w:color="000000" w:sz="4" w:space="0"/>
            </w:tcBorders>
            <w:vAlign w:val="center"/>
          </w:tcPr>
          <w:p>
            <w:pPr>
              <w:pStyle w:val="117"/>
              <w:bidi w:val="0"/>
              <w:jc w:val="center"/>
              <w:rPr>
                <w:rFonts w:ascii="Times New Roman" w:hAnsi="Times New Roman" w:cs="Times New Roman"/>
                <w:caps w:val="0"/>
                <w:smallCaps w:val="0"/>
              </w:rPr>
            </w:pPr>
            <w:r>
              <w:rPr>
                <w:rFonts w:ascii="Times New Roman" w:hAnsi="Times New Roman" w:cs="Times New Roman"/>
                <w:caps w:val="0"/>
                <w:smallCaps w:val="0"/>
              </w:rPr>
              <w:t>致死</w:t>
            </w:r>
          </w:p>
        </w:tc>
      </w:tr>
    </w:tbl>
    <w:p>
      <w:pPr>
        <w:bidi w:val="0"/>
        <w:rPr>
          <w:rFonts w:ascii="Times New Roman" w:hAnsi="Times New Roman" w:cs="Times New Roman"/>
          <w:caps w:val="0"/>
          <w:smallCaps w:val="0"/>
        </w:rPr>
      </w:pPr>
      <w:bookmarkStart w:id="132" w:name="6.2.2.1对鱼类的急性毒性测试"/>
      <w:bookmarkEnd w:id="132"/>
      <w:r>
        <w:rPr>
          <w:rFonts w:hint="eastAsia" w:ascii="Times New Roman" w:hAnsi="Times New Roman" w:cs="Times New Roman"/>
          <w:caps w:val="0"/>
          <w:smallCaps w:val="0"/>
          <w:lang w:val="en-US" w:eastAsia="zh-CN"/>
        </w:rPr>
        <w:t>1、</w:t>
      </w:r>
      <w:r>
        <w:rPr>
          <w:rFonts w:ascii="Times New Roman" w:hAnsi="Times New Roman" w:cs="Times New Roman"/>
          <w:caps w:val="0"/>
          <w:smallCaps w:val="0"/>
        </w:rPr>
        <w:t>对鱼类的急性毒性测试</w:t>
      </w:r>
    </w:p>
    <w:p>
      <w:pPr>
        <w:bidi w:val="0"/>
        <w:rPr>
          <w:rFonts w:ascii="Times New Roman" w:hAnsi="Times New Roman" w:cs="Times New Roman"/>
          <w:caps w:val="0"/>
          <w:smallCaps w:val="0"/>
        </w:rPr>
      </w:pPr>
      <w:r>
        <w:rPr>
          <w:rFonts w:ascii="Times New Roman" w:hAnsi="Times New Roman" w:cs="Times New Roman"/>
          <w:caps w:val="0"/>
          <w:smallCaps w:val="0"/>
        </w:rPr>
        <w:t>根据近年来对几种不同的鱼类仔鱼的毒性试验结果表明，石油类对鲤鱼仔鱼96h的LC50值为0.5～3.0mg/L，因此污染带瞬时高浓度排放（即事故性排放）可导致急性中毒死鱼事故。</w:t>
      </w:r>
    </w:p>
    <w:p>
      <w:pPr>
        <w:bidi w:val="0"/>
        <w:rPr>
          <w:rFonts w:ascii="Times New Roman" w:hAnsi="Times New Roman" w:cs="Times New Roman"/>
          <w:caps w:val="0"/>
          <w:smallCaps w:val="0"/>
        </w:rPr>
      </w:pPr>
      <w:r>
        <w:rPr>
          <w:rFonts w:ascii="Times New Roman" w:hAnsi="Times New Roman" w:cs="Times New Roman"/>
          <w:caps w:val="0"/>
          <w:smallCaps w:val="0"/>
        </w:rPr>
        <w:t>对鱼卵、仔稚鱼的影响：经济鱼类的浮性卵、仔鱼极易遭受浮在水面油膜的危害，油膜对卵子的粘着、渗透等直接影响鱼卵的孵化率及孵化量，而仔稚鱼对油污染反应极敏感。较低的石油浓度即能引起仔稚鱼的死亡和畸变，抑制鱼卵孵化、滞缓发育、生理功能低落，以及导致畸形和死亡等。溢油事故中沉降的油块也能对一些沉性卵产生影响。此外，由于卵子一般为附着性卵，随水流漂移，而仔稚鱼游泳能力较差，因而一旦发生溢油，将对卵子和仔稚鱼产生毁灭性的破坏。</w:t>
      </w:r>
    </w:p>
    <w:p>
      <w:pPr>
        <w:bidi w:val="0"/>
        <w:rPr>
          <w:rFonts w:ascii="Times New Roman" w:hAnsi="Times New Roman" w:cs="Times New Roman"/>
          <w:caps w:val="0"/>
          <w:smallCaps w:val="0"/>
        </w:rPr>
      </w:pPr>
      <w:r>
        <w:rPr>
          <w:rFonts w:ascii="Times New Roman" w:hAnsi="Times New Roman" w:cs="Times New Roman"/>
          <w:caps w:val="0"/>
          <w:smallCaps w:val="0"/>
        </w:rPr>
        <w:t>石油类在鱼体内的蓄积残留分析：污染因子石油类在鱼体中的积累和残留可引起鱼类慢性中毒而带来长效应的污染影响，这种影响不仅可引起鱼类资源的变动，甚至会引起鱼类种质的变异。鱼类一旦与油分子接触就会在短时间内发生油臭，从而影响其食用价值。以20号燃料油为例，当石油类浓度为0.01mg/L时，7天之内就能对大部分的鱼、虾产生油味，30天内会使绝大多数鱼类产生异味。</w:t>
      </w:r>
    </w:p>
    <w:p>
      <w:pPr>
        <w:bidi w:val="0"/>
        <w:rPr>
          <w:rFonts w:ascii="Times New Roman" w:hAnsi="Times New Roman" w:cs="Times New Roman"/>
          <w:caps w:val="0"/>
          <w:smallCaps w:val="0"/>
        </w:rPr>
      </w:pPr>
      <w:r>
        <w:rPr>
          <w:rFonts w:ascii="Times New Roman" w:hAnsi="Times New Roman" w:cs="Times New Roman"/>
          <w:caps w:val="0"/>
          <w:smallCaps w:val="0"/>
        </w:rPr>
        <w:t>石油类对鱼的致突变性分析：微核的产生是在诱变物作用之下造成染色体损伤而发生变异的一种形式，根据近年来对几种定居性的长江鱼类仔鱼鱼类外周血微核试验表明，鱼类（主要是定居性鱼类）微核的高检出率是由于江段水环境污染物的高浓度诱变物的诱发作用而引起，而石油类污染物可能是其主要的诱变源。</w:t>
      </w:r>
      <w:bookmarkStart w:id="133" w:name="6.2.2.2对浮游植物的影响"/>
      <w:bookmarkEnd w:id="133"/>
    </w:p>
    <w:p>
      <w:pPr>
        <w:bidi w:val="0"/>
        <w:rPr>
          <w:rFonts w:ascii="Times New Roman" w:hAnsi="Times New Roman" w:cs="Times New Roman"/>
          <w:caps w:val="0"/>
          <w:smallCaps w:val="0"/>
        </w:rPr>
      </w:pPr>
      <w:r>
        <w:rPr>
          <w:rFonts w:hint="eastAsia" w:ascii="Times New Roman" w:hAnsi="Times New Roman" w:cs="Times New Roman"/>
          <w:caps w:val="0"/>
          <w:smallCaps w:val="0"/>
          <w:lang w:val="en-US" w:eastAsia="zh-CN"/>
        </w:rPr>
        <w:t>2、</w:t>
      </w:r>
      <w:r>
        <w:rPr>
          <w:rFonts w:ascii="Times New Roman" w:hAnsi="Times New Roman" w:cs="Times New Roman"/>
          <w:caps w:val="0"/>
          <w:smallCaps w:val="0"/>
        </w:rPr>
        <w:t>对浮游植物的影响</w:t>
      </w:r>
    </w:p>
    <w:p>
      <w:pPr>
        <w:bidi w:val="0"/>
        <w:rPr>
          <w:rFonts w:ascii="Times New Roman" w:hAnsi="Times New Roman" w:cs="Times New Roman"/>
          <w:caps w:val="0"/>
          <w:smallCaps w:val="0"/>
        </w:rPr>
      </w:pPr>
      <w:r>
        <w:rPr>
          <w:rFonts w:ascii="Times New Roman" w:hAnsi="Times New Roman" w:cs="Times New Roman"/>
          <w:caps w:val="0"/>
          <w:smallCaps w:val="0"/>
        </w:rPr>
        <w:t>实验证明石油会破坏浮游植物细胞，损坏叶绿素及干扰气体交换，从而妨碍它们的光合作用。这种破坏作用程度取决于石油的类型、浓度及浮游植物的种类。根据国内外许多毒性实验结果表明，作为鱼、虾类饵料基础的浮游植物，对各类油类的耐受能力都很低。一般浮游植物石油急性中毒致死浓度为0.1～10.0mg/L，一般为1.0～3.6mg/L，对于更敏感的种类，油浓度低于0.1mg/L时，也会妨碍细胞的分裂和生长的速率。</w:t>
      </w:r>
    </w:p>
    <w:p>
      <w:pPr>
        <w:bidi w:val="0"/>
        <w:rPr>
          <w:rFonts w:ascii="Times New Roman" w:hAnsi="Times New Roman" w:cs="Times New Roman"/>
          <w:caps w:val="0"/>
          <w:smallCaps w:val="0"/>
        </w:rPr>
      </w:pPr>
      <w:bookmarkStart w:id="134" w:name="6.2.2.3对浮游动物的影响"/>
      <w:bookmarkEnd w:id="134"/>
      <w:r>
        <w:rPr>
          <w:rFonts w:hint="eastAsia" w:ascii="Times New Roman" w:hAnsi="Times New Roman" w:cs="Times New Roman"/>
          <w:caps w:val="0"/>
          <w:smallCaps w:val="0"/>
          <w:lang w:val="en-US" w:eastAsia="zh-CN"/>
        </w:rPr>
        <w:t>3、</w:t>
      </w:r>
      <w:r>
        <w:rPr>
          <w:rFonts w:ascii="Times New Roman" w:hAnsi="Times New Roman" w:cs="Times New Roman"/>
          <w:caps w:val="0"/>
          <w:smallCaps w:val="0"/>
        </w:rPr>
        <w:t>对浮游动物的影响</w:t>
      </w:r>
    </w:p>
    <w:p>
      <w:pPr>
        <w:bidi w:val="0"/>
        <w:rPr>
          <w:rFonts w:ascii="Times New Roman" w:hAnsi="Times New Roman" w:cs="Times New Roman"/>
          <w:caps w:val="0"/>
          <w:smallCaps w:val="0"/>
        </w:rPr>
      </w:pPr>
      <w:r>
        <w:rPr>
          <w:rFonts w:ascii="Times New Roman" w:hAnsi="Times New Roman" w:cs="Times New Roman"/>
          <w:caps w:val="0"/>
          <w:smallCaps w:val="0"/>
        </w:rPr>
        <w:t>浮游动物石油急性中毒致死浓度范围一般为0.1～15mg/L，而且通过不同浓度的石油类环境对桡足类幼体的影响实验表明，永久性（终生性）浮游动物幼体的敏感性大于阶段性（临时性）的底栖生物幼体，而它们各自的幼体的敏感性又大于成体。</w:t>
      </w:r>
    </w:p>
    <w:p>
      <w:pPr>
        <w:bidi w:val="0"/>
        <w:rPr>
          <w:rFonts w:ascii="Times New Roman" w:hAnsi="Times New Roman" w:cs="Times New Roman"/>
          <w:caps w:val="0"/>
          <w:smallCaps w:val="0"/>
        </w:rPr>
      </w:pPr>
      <w:r>
        <w:rPr>
          <w:rFonts w:ascii="Times New Roman" w:hAnsi="Times New Roman" w:cs="Times New Roman"/>
          <w:caps w:val="0"/>
          <w:smallCaps w:val="0"/>
        </w:rPr>
        <w:t>根据所述，石油类对水生生物产生中毒影响的浓度阈值普遍较低，因此项目营运期一旦发生溢油污染，将会造成污染水域内鱼类急性中毒和鱼的致突变性等，对浮游植物和动物也会产生一定的中毒影响，严重的影响将会造成部分鱼类、水生动植物中毒死亡事故。</w:t>
      </w:r>
    </w:p>
    <w:p>
      <w:pPr>
        <w:bidi w:val="0"/>
        <w:rPr>
          <w:rFonts w:ascii="Times New Roman" w:hAnsi="Times New Roman" w:cs="Times New Roman"/>
          <w:caps w:val="0"/>
          <w:smallCaps w:val="0"/>
        </w:rPr>
      </w:pPr>
      <w:bookmarkStart w:id="135" w:name="6.2.2.4对底栖动物的影响"/>
      <w:bookmarkEnd w:id="135"/>
      <w:r>
        <w:rPr>
          <w:rFonts w:hint="eastAsia" w:ascii="Times New Roman" w:hAnsi="Times New Roman" w:cs="Times New Roman"/>
          <w:caps w:val="0"/>
          <w:smallCaps w:val="0"/>
          <w:lang w:val="en-US" w:eastAsia="zh-CN"/>
        </w:rPr>
        <w:t>4、</w:t>
      </w:r>
      <w:r>
        <w:rPr>
          <w:rFonts w:ascii="Times New Roman" w:hAnsi="Times New Roman" w:cs="Times New Roman"/>
          <w:caps w:val="0"/>
          <w:smallCaps w:val="0"/>
        </w:rPr>
        <w:t>对底栖动物的影响</w:t>
      </w:r>
    </w:p>
    <w:p>
      <w:pPr>
        <w:bidi w:val="0"/>
        <w:rPr>
          <w:rFonts w:ascii="Times New Roman" w:hAnsi="Times New Roman" w:cs="Times New Roman"/>
          <w:caps w:val="0"/>
          <w:smallCaps w:val="0"/>
        </w:rPr>
      </w:pPr>
      <w:r>
        <w:rPr>
          <w:rFonts w:ascii="Times New Roman" w:hAnsi="Times New Roman" w:cs="Times New Roman"/>
          <w:caps w:val="0"/>
          <w:smallCaps w:val="0"/>
        </w:rPr>
        <w:t>溢油发生时，大部分柴油</w:t>
      </w:r>
      <w:r>
        <w:rPr>
          <w:rFonts w:hint="eastAsia" w:cs="Times New Roman"/>
          <w:caps w:val="0"/>
          <w:smallCaps w:val="0"/>
          <w:lang w:eastAsia="zh-CN"/>
        </w:rPr>
        <w:t>、导热油</w:t>
      </w:r>
      <w:r>
        <w:rPr>
          <w:rFonts w:ascii="Times New Roman" w:hAnsi="Times New Roman" w:cs="Times New Roman"/>
          <w:caps w:val="0"/>
          <w:smallCaps w:val="0"/>
        </w:rPr>
        <w:t>漂浮在水中，但有少量重组分下沉到河底，可能会导致水环境中和底质石油类含量的增加，从而对底栖生物造成一定的影响。不同季节下的溢油对底栖生物的危害是不同的，在不同风向下，其影响也不同。</w:t>
      </w:r>
    </w:p>
    <w:bookmarkEnd w:id="131"/>
    <w:p>
      <w:pPr>
        <w:pStyle w:val="6"/>
        <w:bidi w:val="0"/>
        <w:rPr>
          <w:rFonts w:ascii="Times New Roman" w:hAnsi="Times New Roman" w:cs="Times New Roman"/>
          <w:caps w:val="0"/>
          <w:smallCaps w:val="0"/>
          <w:lang w:val="en-US"/>
        </w:rPr>
      </w:pPr>
      <w:bookmarkStart w:id="136" w:name="_Toc169409751"/>
      <w:bookmarkStart w:id="137" w:name="_Toc32035_WPSOffice_Level3"/>
      <w:bookmarkStart w:id="138" w:name="_Toc170311285"/>
      <w:bookmarkStart w:id="139" w:name="_Toc169409084"/>
      <w:bookmarkStart w:id="140" w:name="_Toc130791054"/>
      <w:bookmarkStart w:id="141" w:name="_Toc17427_WPSOffice_Level3"/>
      <w:bookmarkStart w:id="142" w:name="_Toc170204836"/>
      <w:bookmarkStart w:id="143" w:name="_Toc17521"/>
      <w:bookmarkStart w:id="144" w:name="_Toc32157"/>
      <w:r>
        <w:rPr>
          <w:rFonts w:hint="eastAsia" w:ascii="Times New Roman" w:hAnsi="Times New Roman" w:cs="Times New Roman"/>
          <w:caps w:val="0"/>
          <w:smallCaps w:val="0"/>
          <w:lang w:val="en-US" w:eastAsia="zh-CN"/>
        </w:rPr>
        <w:t>风险防范措施</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1、降低风险概率的对策</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（1）建立健全安全防污机制</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避免事故发生与制订各项健全的操作规程和规章制度是密不可分的，建设单位必须认真贯彻“安全第一，预防为主”的方针。建议建设单位应该制定好包括船舶污染应急预案在内的各类应急预案，并进行定期演练。</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（2）降低风、浪、流、雾的影响</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加强与气象部门的联系，获得早期的气象资料，同时，加强与海事部门的联系，制订相应的安全措施，保证船舶安全。自然原因是造成事故的主要外因，自然原因风险应引起足够的重视。在能见度不良或通航条件恶劣时，船舶操纵困难，应尽可能避免通航。在航船舶应特别谨慎驾驶，防止事故发生。为避免大波浪及恶劣天气对泊船舶产生影响，确保船舶的安全建议船舶采取增加系泊缆绳数量等措施来提高船舶稳定安全性。</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（3）加强船舶废弃物的接收管理工作</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建设单位应该协调各到港船舶进行船舶油污水、生活垃圾等废弃物的安全处置，与海事部门签订船舶污水和生活垃圾接收处置协议，使到港船舶的固体废物和油污水接收处理工作纳入制度化管理。</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2、减轻事故后果的对策</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（1）应急防备目标</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考虑到船舶污染应急设备比较昂贵，需要投入较大的资金，且部分应急资源具有一定保质期，不能长期保存，因此，设定的船舶污染应急能力建设目标应合理，既能满足应对一般船舶污染风险的需要，同时也不能单纯为了满足应急要求，将最坏情况下的溢油量作为应急目标。</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为了不给建设单位带来太大的经济压力，当发生超过目标应急能力的特大溢油事故时，应通过启动县级、市级、省级或国家级应急计划，调集所属辖区或相邻流域的应急力量，共同应对。在确定区域应急能力目标的基础上，依据区域应急能力建设规划，本着国家、地方政府、建设单位共同开展应急能力建设的原则，合理确定由本项目承担的应急能力目标。</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（2）应急防备的建设需求</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1）应急设备配备方案</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配置的应急设备主要包括围油栏、收油机等，同时依托最近的海事部门的事故应急船进行处理。</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2）设备维护保养</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a.建设单位应建立完善的设备维护保养制度，应有专门员工对应急设备进行管理，定期对设备进行维护保养，应设有专业的应急员工，熟悉设备的操作使用方法，确保设备在紧急情况发生时能够发挥作用。</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b.培训、演习</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在保证设备能正常使用的同时，每年还应提供培训、演习资金，每年至少举行一次防污染应急演习。</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3）增强溢油应急能力建设，不仅要配置充足、适当的应急设备，还需要建立一支训练有索、应急快速、有专业应急技术的应急队伍，以满足应对较大规模的溢油事故处理的需要。本项目尚未编制专门的船舶柴油泄露污染应急预案，尚未建立企业应急队伍，本项目建议建设单位应该及时建立船舶船舶柴油泄露污染应急队伍，并派应急员工参加专业应急培训，使应急员工能够熟练掌握应急设备设施的使用方法，逐步建立公司自身的专业应急队伍。</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4）工程应急反应</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在码头出现和可能出现事故溢油时，码头区调度室及值班人员应视溢油程度需要快速向应急小组报告。应急小组在接到事故现场人员报告后，迅速组织技术评估人员立即评估溢油规模，预计溢油漂移趋势及对码头下游水厂鸡碲湖取水口造成影响，初步确定应急方案。</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在经过溢油事故初始评估后，应急小组组长决定是否启动应急计划。若溢油事故规模较小，码头人员、设备具备处理的能力，应立即组织人员、调用设备进行处理，若码头人员、设备不具备处理的能力，应立即启动应急计划。</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应急计划反应内容包括：由组长或其指定的人员向上级主管部门以及与事故相关海事、环保等部门报告。报告内容应包括：</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（1）事故发生的时间、地点、船名、位置；</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（2）事故发生江段气象、水文情况；</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3）油污染源、溢油原因（包括船名、船型、碰撞/搁浅、船东或货主）、溢油单位（名称、地址、电话、联系人/代理人）、油品种类和数量以及进一步溢油的可能性、油膜的描述，包括移动方向、长度、宽度和形状；</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（4）事故发生后已经采取的措施及控制情况；</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（5）事故发展势态、可能发生的严重后果；</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（6）需要的援助（应急设施和物资、人员、环境监测、医疗援助等）；</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（7）事故报警单位、联系人及联系电话等。</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采取的行动：</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（1）发出溢油事故报警或紧急通报，用电话和传真通知上级部门；</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（2）编制溢油源位置及漂移方向情况报告（根据实际情况至少每隔1小时报告一次）；</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（3）安排后勤保障，估计/预测污油运动方向（经常处于变化中）；</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（4）派出船艇对溢油源/浮油区域周围实行警戒或交通管制，监视溢油在水上的扩散情况。必要和可能时，实行空中监视；</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（5）判别受威胁的敏感区域/设施，通知可能受威胁的单位；</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（6）根据溢油源的类型、规模、溢出地点、溢出油的种类、溢油扩散方向等，考虑采取相应的防治措施；</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（7）策划并执行清除作业，指定人员做好相关记录；</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（8）适时发布终止作业的命令和解除警报。</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各有关部门接到油污事件报警或通报后，应及时按计划规定和要求做好溢油事故防备和应急反应的各项工作，及时将采取或可能采取的措施反馈给油污应急指挥中心，听从应急指挥中心的统一指挥和行动现场总指挥的调动及安排，做好行动中的情况记录配合工作。</w:t>
      </w:r>
    </w:p>
    <w:p>
      <w:pPr>
        <w:adjustRightInd w:val="0"/>
        <w:snapToGrid w:val="0"/>
        <w:spacing w:line="360" w:lineRule="auto"/>
        <w:ind w:firstLine="480" w:firstLineChars="200"/>
        <w:rPr>
          <w:rFonts w:hint="eastAsia" w:ascii="Times New Roman" w:hAnsi="Times New Roman" w:cs="Times New Roman"/>
          <w:caps w:val="0"/>
          <w:smallCaps w:val="0"/>
          <w:sz w:val="24"/>
          <w:szCs w:val="24"/>
          <w:u w:val="single"/>
          <w:lang w:val="en-US" w:eastAsia="zh-CN"/>
        </w:rPr>
      </w:pPr>
      <w:r>
        <w:rPr>
          <w:rFonts w:hint="eastAsia" w:ascii="Times New Roman" w:hAnsi="Times New Roman" w:cs="Times New Roman"/>
          <w:caps w:val="0"/>
          <w:smallCaps w:val="0"/>
          <w:sz w:val="24"/>
          <w:szCs w:val="24"/>
          <w:u w:val="single"/>
          <w:lang w:val="en-US" w:eastAsia="zh-CN"/>
        </w:rPr>
        <w:t>应急小组全体成员立即采取应急措施，包括溢油控制与清除，溢油的监测和监视等。同时，在事故发生第一时间应立即通知码头下游岳阳市屈原供水公司，组织有关单位人员对取水口水域水质进行密集监测，一旦发现污染超标现象，立即停止取水。</w:t>
      </w:r>
      <w:bookmarkEnd w:id="136"/>
      <w:bookmarkEnd w:id="137"/>
      <w:bookmarkEnd w:id="138"/>
      <w:bookmarkEnd w:id="139"/>
      <w:bookmarkEnd w:id="140"/>
      <w:bookmarkEnd w:id="141"/>
      <w:bookmarkEnd w:id="142"/>
      <w:bookmarkStart w:id="145" w:name="_Toc2045_WPSOffice_Level2"/>
      <w:bookmarkStart w:id="146" w:name="_Toc1251"/>
      <w:bookmarkStart w:id="147" w:name="_Toc142666694"/>
      <w:bookmarkStart w:id="148" w:name="_Toc307210677"/>
      <w:bookmarkStart w:id="149" w:name="_Toc16031"/>
      <w:bookmarkStart w:id="150" w:name="_Toc755"/>
      <w:bookmarkStart w:id="151" w:name="_Toc372124964"/>
      <w:bookmarkStart w:id="152" w:name="_Toc25075"/>
      <w:bookmarkStart w:id="153" w:name="_Toc170311297"/>
      <w:bookmarkStart w:id="154" w:name="_Toc1232_WPSOffice_Level2"/>
      <w:bookmarkStart w:id="155" w:name="_Toc16022_WPSOffice_Level2"/>
      <w:bookmarkStart w:id="156" w:name="_Toc82508907"/>
      <w:bookmarkStart w:id="157" w:name="_Toc170376451"/>
      <w:bookmarkStart w:id="158" w:name="_Toc30678_WPSOffice_Level2"/>
      <w:bookmarkStart w:id="159" w:name="_Toc169409096"/>
      <w:bookmarkStart w:id="160" w:name="_Toc28889"/>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t>应急预案</w:t>
      </w:r>
    </w:p>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bookmarkStart w:id="161" w:name="_Toc372124965"/>
      <w:bookmarkStart w:id="162" w:name="_Toc169409131"/>
      <w:bookmarkStart w:id="163" w:name="_Toc170376464"/>
      <w:bookmarkStart w:id="164" w:name="_Toc307210678"/>
      <w:bookmarkStart w:id="165" w:name="_Toc142666707"/>
      <w:bookmarkStart w:id="166" w:name="_Toc18721"/>
      <w:bookmarkStart w:id="167" w:name="_Toc808"/>
      <w:bookmarkStart w:id="168" w:name="_Toc6268"/>
      <w:bookmarkStart w:id="169" w:name="_Toc8373"/>
      <w:bookmarkStart w:id="170" w:name="_Toc1410"/>
      <w:bookmarkStart w:id="171" w:name="_Toc170311332"/>
      <w:r>
        <w:rPr>
          <w:rFonts w:hint="eastAsia" w:ascii="Times New Roman" w:hAnsi="Times New Roman" w:cs="Times New Roman"/>
          <w:caps w:val="0"/>
          <w:smallCaps w:val="0"/>
          <w:sz w:val="24"/>
          <w:szCs w:val="24"/>
          <w:lang w:val="en-US" w:eastAsia="zh-CN"/>
        </w:rPr>
        <w:t>事故应急救援预案是针对可能发生的重大事故所需的应急准备和响应行动而制定的指导性文件，其内容包括方针与原则、应急策划、应急准备、应急响应、现场恢复、预案管理和评审改进几大要素。</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本规划溢油应急反应原应包括以下几个方面：</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（1）建设单位建立健全组织指挥机构；</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（2）绘制地区的环境资源敏感图，确定重点优先保护区域；</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（3）加强溢油跟踪监测建立科学的溢油分析决策系统；</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（4）建立清污设备器材储备；</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（5）加强清污员工训练；</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（6）建立通畅有效地指挥通讯网络。</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1、应急准备</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在事故应急救援预案中应明确下列内容：</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①应急救援组织结构设置、组成员工和职责划分。依据事故危害程度的级别，设置分级应急救援组织机构。</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②在事故应急救援预案中明确预案的资源配备情况，包括应急救援保障、救援所需要的技术资料，应急设备和物资等，并确保其有效使用。</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③教育、训练与演练。事故应急救援预案中应确定应急培训计划，演练计划，教育、训练、演练的事实与效果评估等内容。应急培训计划的内容包括：应急救援员工的培训、员工应急响应的培训、周边员工应急响应知识的宣传。演练内容包括：演练准备、演练范围与频次和演练组织。实施与效果评估的内容为：实施的方式、效果评估方式、效果评估员工、预案改进和完善。</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2、应急响应</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①报警、接警、通知、通讯联络方式。依据现有资源的评估结果，确定24小时有效地报警装置；24小时有效地内部、外部通讯联络手段；事故通报程序。</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②预案分级响应条件。依据事故的类别、危害程度的级别和从业员工的评估结果，可能发生的事故现场情况和分析结果，设定预案风机响应的启动条件。</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③指挥与控制。建立分级响应、统一指挥、协调和决策的程序。</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④</w:t>
      </w:r>
      <w:r>
        <w:rPr>
          <w:rFonts w:hint="eastAsia" w:ascii="Times New Roman" w:hAnsi="Times New Roman" w:cs="Times New Roman"/>
          <w:caps w:val="0"/>
          <w:smallCaps w:val="0"/>
          <w:sz w:val="24"/>
          <w:szCs w:val="24"/>
          <w:lang w:val="en-US" w:eastAsia="zh-CN"/>
        </w:rPr>
        <w:tab/>
      </w:r>
      <w:r>
        <w:rPr>
          <w:rFonts w:hint="eastAsia" w:ascii="Times New Roman" w:hAnsi="Times New Roman" w:cs="Times New Roman"/>
          <w:caps w:val="0"/>
          <w:smallCaps w:val="0"/>
          <w:sz w:val="24"/>
          <w:szCs w:val="24"/>
          <w:lang w:val="en-US" w:eastAsia="zh-CN"/>
        </w:rPr>
        <w:t>事故发生后应采取的应急救援措施。根据工程船的安全技术要求，确定采取的紧急处理措施、应急预案；确认危险物料的使用或存放地点，一级应急处理措施、方案；重要记录资料和重要设备的保护；根据其他有关信息确定采取的现场应急处理措施、方案；重要记录资料和重要设备的保护；根据其他有关信息确定采取的现场应急处理措施。</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⑤</w:t>
      </w:r>
      <w:r>
        <w:rPr>
          <w:rFonts w:hint="eastAsia" w:ascii="Times New Roman" w:hAnsi="Times New Roman" w:cs="Times New Roman"/>
          <w:caps w:val="0"/>
          <w:smallCaps w:val="0"/>
          <w:sz w:val="24"/>
          <w:szCs w:val="24"/>
          <w:lang w:val="en-US" w:eastAsia="zh-CN"/>
        </w:rPr>
        <w:tab/>
      </w:r>
      <w:r>
        <w:rPr>
          <w:rFonts w:hint="eastAsia" w:ascii="Times New Roman" w:hAnsi="Times New Roman" w:cs="Times New Roman"/>
          <w:caps w:val="0"/>
          <w:smallCaps w:val="0"/>
          <w:sz w:val="24"/>
          <w:szCs w:val="24"/>
          <w:lang w:val="en-US" w:eastAsia="zh-CN"/>
        </w:rPr>
        <w:t>警戒与治安。预案中应规定警戒区域划分、交通管制、维护现场治安秩序的程序。</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⑥</w:t>
      </w:r>
      <w:r>
        <w:rPr>
          <w:rFonts w:hint="eastAsia" w:ascii="Times New Roman" w:hAnsi="Times New Roman" w:cs="Times New Roman"/>
          <w:caps w:val="0"/>
          <w:smallCaps w:val="0"/>
          <w:sz w:val="24"/>
          <w:szCs w:val="24"/>
          <w:lang w:val="en-US" w:eastAsia="zh-CN"/>
        </w:rPr>
        <w:tab/>
      </w:r>
      <w:r>
        <w:rPr>
          <w:rFonts w:hint="eastAsia" w:ascii="Times New Roman" w:hAnsi="Times New Roman" w:cs="Times New Roman"/>
          <w:caps w:val="0"/>
          <w:smallCaps w:val="0"/>
          <w:sz w:val="24"/>
          <w:szCs w:val="24"/>
          <w:lang w:val="en-US" w:eastAsia="zh-CN"/>
        </w:rPr>
        <w:t>员工紧急疏散、安置。依据对可能发生的事故场所、设施及周围情况的分析结果，确定事故现场员工清点，撤离方式、方法；非事故现场员工紧急疏散的方式、方法；抢救员工在撤离前、撤离后的报告。</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⑦危险区的隔离。依据可能发生的事故危害类别、危害程度的级别，确定危险区的设定；事故现场隔离区的划定方式、方法；事故现场隔离方法；事故现场周边区域的道路隔离或交通疏导方法。</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⑧检测、抢险、救援、消防、泄漏物的控制及事故控制措施。依据有关国家标准和现有资源的评估结果，确定检测的方式、方法及检测员工的防护、监护措施；抢险、救援方式、方法及员工的防护、监护措施；现场实时监测及异常情况下抢险员工的撤离条件、方法；应急救援队伍的调度；控制事故扩大的措施；事故可能扩大后的应急措施。</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⑨受伤员工现场救护、救治与医院救治。依据事故分类、分级，附近疾病控制与医疗救治机构的设置和处理能力，制定具有可操作性的处置方案，内容包括：接触人群检伤分类方案及执行员工；依据检伤结果对患者进行分类现场紧急抢救方案；接触者医学观察方案；患者转运及转运中的救治方案；患者治疗方案；入院前和医院救治机构确定及处置方案；信息、药物、器材储备信息。</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⑩公共关系。依据事故信息、影响、救援情况等信息发布要求，明确事故信息发布批准程序；媒体、公众信息发布程序；公众咨询、接待、安抚受害员工家属的规定。</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3、现场恢复</w:t>
      </w:r>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pPr>
      <w:r>
        <w:rPr>
          <w:rFonts w:hint="eastAsia" w:ascii="Times New Roman" w:hAnsi="Times New Roman" w:cs="Times New Roman"/>
          <w:caps w:val="0"/>
          <w:smallCaps w:val="0"/>
          <w:sz w:val="24"/>
          <w:szCs w:val="24"/>
          <w:lang w:val="en-US" w:eastAsia="zh-CN"/>
        </w:rPr>
        <w:t>事故救援结束，应立即着手现场的恢复工作，有些需要立即实现恢复，有些是短期恢复或长期恢复。事故应急救援预案中应明确：现场保护与现场清理；事故现场的保护措施；明确事故处理现场工作的负责人和专业队伍；事故应急救援工作结束的程序。</w:t>
      </w:r>
    </w:p>
    <w:p>
      <w:pPr>
        <w:pStyle w:val="6"/>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pPr>
      <w:bookmarkStart w:id="172" w:name="_Toc4095_WPSOffice_Level2"/>
      <w:bookmarkStart w:id="173" w:name="_Toc82508908"/>
      <w:bookmarkStart w:id="174" w:name="_Toc28459_WPSOffice_Level2"/>
      <w:bookmarkStart w:id="175" w:name="_Toc16268_WPSOffice_Level2"/>
      <w:bookmarkStart w:id="176" w:name="_Toc11781_WPSOffice_Level2"/>
      <w:bookmarkStart w:id="177" w:name="_Toc10620"/>
      <w:r>
        <w:rPr>
          <w:rFonts w:hint="eastAsia" w:ascii="Times New Roman" w:hAnsi="Times New Roman" w:cs="Times New Roman" w:eastAsiaTheme="minorEastAsia"/>
          <w:caps w:val="0"/>
          <w:smallCaps w:val="0"/>
          <w:color w:val="000000" w:themeColor="text1"/>
          <w:lang w:val="en-US" w:eastAsia="zh-CN"/>
          <w14:textFill>
            <w14:solidFill>
              <w14:schemeClr w14:val="tx1"/>
            </w14:solidFill>
          </w14:textFill>
        </w:rPr>
        <w:t>环境风险评价结论</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pPr>
        <w:adjustRightInd w:val="0"/>
        <w:snapToGrid w:val="0"/>
        <w:spacing w:line="360" w:lineRule="auto"/>
        <w:ind w:firstLine="480" w:firstLineChars="200"/>
        <w:rPr>
          <w:rFonts w:hint="eastAsia" w:ascii="Times New Roman" w:hAnsi="Times New Roman" w:cs="Times New Roman"/>
          <w:caps w:val="0"/>
          <w:smallCaps w:val="0"/>
          <w:sz w:val="24"/>
          <w:szCs w:val="24"/>
          <w:lang w:val="en-US" w:eastAsia="zh-CN"/>
        </w:rPr>
        <w:sectPr>
          <w:headerReference r:id="rId15" w:type="default"/>
          <w:footerReference r:id="rId16" w:type="default"/>
          <w:pgSz w:w="11906" w:h="16838"/>
          <w:pgMar w:top="1440" w:right="1797" w:bottom="1440" w:left="1797" w:header="851" w:footer="992" w:gutter="0"/>
          <w:pgNumType w:fmt="decimal"/>
          <w:cols w:space="720" w:num="1"/>
          <w:docGrid w:linePitch="312" w:charSpace="0"/>
        </w:sectPr>
      </w:pPr>
      <w:r>
        <w:rPr>
          <w:rFonts w:hint="eastAsia" w:ascii="Times New Roman" w:hAnsi="Times New Roman" w:cs="Times New Roman"/>
          <w:caps w:val="0"/>
          <w:smallCaps w:val="0"/>
          <w:sz w:val="24"/>
          <w:szCs w:val="24"/>
          <w:lang w:val="en-US" w:eastAsia="zh-CN"/>
        </w:rPr>
        <w:t>经过对本项目环境风险评价分析，与其他项目的风险性相比，本项目的环境风险是相对较小的，泄漏事故属低概率的风险事故，发生泄漏（溢油）事故主要是湘江水体的污染。在采取安全对策措施后建设项目可行。建议完善建设单位的环境风险应急预案，并加强与地方政府环境风险应急预案的衔接，进行联合演练。确保一旦发生事故能够及时响应、各负其责、联合行动。因此，在建设单位制定严格的生产运行管理、加强职工的安全生产教育、提高风险意识，严格落实相关风险防范措施和安全应急措施的前提下，并制度详细的风险应急预案基础上，项目环境风险影响可接受。</w:t>
      </w:r>
    </w:p>
    <w:bookmarkEnd w:id="143"/>
    <w:bookmarkEnd w:id="144"/>
    <w:p>
      <w:pPr>
        <w:pStyle w:val="4"/>
        <w:spacing w:line="480" w:lineRule="auto"/>
        <w:ind w:left="431" w:hanging="431"/>
        <w:jc w:val="center"/>
        <w:rPr>
          <w:rFonts w:ascii="Times New Roman" w:hAnsi="Times New Roman" w:cs="Times New Roman" w:eastAsiaTheme="minorEastAsia"/>
          <w:b/>
          <w:caps w:val="0"/>
          <w:smallCaps w:val="0"/>
          <w:color w:val="000000" w:themeColor="text1"/>
          <w:sz w:val="32"/>
          <w:szCs w:val="32"/>
          <w14:textFill>
            <w14:solidFill>
              <w14:schemeClr w14:val="tx1"/>
            </w14:solidFill>
          </w14:textFill>
        </w:rPr>
      </w:pPr>
      <w:bookmarkStart w:id="178" w:name="_Toc103214758"/>
      <w:bookmarkEnd w:id="178"/>
      <w:bookmarkStart w:id="179" w:name="_Toc1647856"/>
      <w:bookmarkEnd w:id="179"/>
      <w:bookmarkStart w:id="180" w:name="_Toc286754913"/>
      <w:bookmarkEnd w:id="180"/>
      <w:bookmarkStart w:id="181" w:name="_Toc203544024"/>
      <w:bookmarkEnd w:id="181"/>
      <w:bookmarkStart w:id="182" w:name="_Toc222106698"/>
      <w:bookmarkEnd w:id="182"/>
      <w:bookmarkStart w:id="183" w:name="_Toc298750458"/>
      <w:bookmarkEnd w:id="183"/>
      <w:bookmarkStart w:id="184" w:name="_Toc298750593"/>
      <w:bookmarkEnd w:id="184"/>
      <w:bookmarkStart w:id="185" w:name="_Toc66000379"/>
      <w:bookmarkEnd w:id="185"/>
      <w:bookmarkStart w:id="186" w:name="_Toc371415957"/>
      <w:bookmarkEnd w:id="186"/>
      <w:bookmarkStart w:id="187" w:name="_Toc65582345"/>
      <w:bookmarkEnd w:id="187"/>
      <w:bookmarkStart w:id="188" w:name="_Toc106965890"/>
      <w:bookmarkEnd w:id="188"/>
      <w:bookmarkStart w:id="189" w:name="_Toc75346553"/>
      <w:bookmarkEnd w:id="189"/>
      <w:bookmarkStart w:id="190" w:name="_Toc198447187"/>
      <w:bookmarkEnd w:id="190"/>
      <w:bookmarkStart w:id="191" w:name="_Toc237075160"/>
      <w:bookmarkEnd w:id="191"/>
      <w:bookmarkStart w:id="192" w:name="_Toc292191961"/>
      <w:bookmarkEnd w:id="192"/>
      <w:bookmarkStart w:id="193" w:name="_Toc187830071"/>
      <w:bookmarkEnd w:id="193"/>
      <w:r>
        <w:rPr>
          <w:rFonts w:hint="eastAsia" w:ascii="Times New Roman" w:hAnsi="Times New Roman" w:cs="Times New Roman" w:eastAsiaTheme="minorEastAsia"/>
          <w:b/>
          <w:caps w:val="0"/>
          <w:smallCaps w:val="0"/>
          <w:color w:val="000000" w:themeColor="text1"/>
          <w:sz w:val="32"/>
          <w:szCs w:val="32"/>
          <w:lang w:val="en-US" w:eastAsia="zh-CN"/>
          <w14:textFill>
            <w14:solidFill>
              <w14:schemeClr w14:val="tx1"/>
            </w14:solidFill>
          </w14:textFill>
        </w:rPr>
        <w:t xml:space="preserve">  </w:t>
      </w:r>
      <w:bookmarkStart w:id="194" w:name="_Toc32191"/>
      <w:r>
        <w:rPr>
          <w:rFonts w:ascii="Times New Roman" w:hAnsi="Times New Roman" w:cs="Times New Roman" w:eastAsiaTheme="minorEastAsia"/>
          <w:b/>
          <w:caps w:val="0"/>
          <w:smallCaps w:val="0"/>
          <w:color w:val="000000" w:themeColor="text1"/>
          <w:sz w:val="32"/>
          <w:szCs w:val="32"/>
          <w14:textFill>
            <w14:solidFill>
              <w14:schemeClr w14:val="tx1"/>
            </w14:solidFill>
          </w14:textFill>
        </w:rPr>
        <w:t>环境影响减缓措施及技术经济论证</w:t>
      </w:r>
      <w:bookmarkEnd w:id="194"/>
    </w:p>
    <w:p>
      <w:pPr>
        <w:pStyle w:val="5"/>
        <w:rPr>
          <w:rFonts w:ascii="Times New Roman" w:hAnsi="Times New Roman" w:cs="Times New Roman" w:eastAsiaTheme="minorEastAsia"/>
          <w:b/>
          <w:caps w:val="0"/>
          <w:smallCaps w:val="0"/>
        </w:rPr>
      </w:pPr>
      <w:bookmarkStart w:id="195" w:name="_Toc298750459"/>
      <w:bookmarkEnd w:id="195"/>
      <w:bookmarkStart w:id="196" w:name="_Toc237075161"/>
      <w:bookmarkEnd w:id="196"/>
      <w:bookmarkStart w:id="197" w:name="_Toc198447188"/>
      <w:bookmarkEnd w:id="197"/>
      <w:bookmarkStart w:id="198" w:name="_Toc286754914"/>
      <w:bookmarkEnd w:id="198"/>
      <w:bookmarkStart w:id="199" w:name="_Toc195379806"/>
      <w:bookmarkEnd w:id="199"/>
      <w:bookmarkStart w:id="200" w:name="_Toc298750594"/>
      <w:bookmarkEnd w:id="200"/>
      <w:bookmarkStart w:id="201" w:name="_Toc292191962"/>
      <w:bookmarkEnd w:id="201"/>
      <w:bookmarkStart w:id="202" w:name="_Toc31753"/>
      <w:r>
        <w:rPr>
          <w:rFonts w:ascii="Times New Roman" w:hAnsi="Times New Roman" w:cs="Times New Roman" w:eastAsiaTheme="minorEastAsia"/>
          <w:b/>
          <w:caps w:val="0"/>
          <w:smallCaps w:val="0"/>
        </w:rPr>
        <w:t>施工期污染物防治措施</w:t>
      </w:r>
      <w:bookmarkEnd w:id="202"/>
    </w:p>
    <w:p>
      <w:pPr>
        <w:pStyle w:val="6"/>
        <w:rPr>
          <w:rFonts w:ascii="Times New Roman" w:hAnsi="Times New Roman" w:cs="Times New Roman" w:eastAsiaTheme="minorEastAsia"/>
          <w:caps w:val="0"/>
          <w:smallCaps w:val="0"/>
          <w:color w:val="000000" w:themeColor="text1"/>
          <w14:textFill>
            <w14:solidFill>
              <w14:schemeClr w14:val="tx1"/>
            </w14:solidFill>
          </w14:textFill>
        </w:rPr>
      </w:pPr>
      <w:bookmarkStart w:id="203" w:name="6.1.1大气污染防治措施"/>
      <w:bookmarkEnd w:id="203"/>
      <w:r>
        <w:rPr>
          <w:rFonts w:ascii="Times New Roman" w:hAnsi="Times New Roman" w:cs="Times New Roman" w:eastAsiaTheme="minorEastAsia"/>
          <w:caps w:val="0"/>
          <w:smallCaps w:val="0"/>
          <w:color w:val="000000" w:themeColor="text1"/>
          <w14:textFill>
            <w14:solidFill>
              <w14:schemeClr w14:val="tx1"/>
            </w14:solidFill>
          </w14:textFill>
        </w:rPr>
        <w:t>水环境污染防治措施</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项目码头施工期产生的水污染源包括施工生产废水、施工船舶污水和施工人员生活污水。为最大限度降低施工期对水环境的影响，建设单位拟采取如下措施：</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⑴</w:t>
      </w:r>
      <w:r>
        <w:rPr>
          <w:rFonts w:ascii="Times New Roman" w:hAnsi="Times New Roman" w:cs="Times New Roman"/>
          <w:caps w:val="0"/>
          <w:smallCaps w:val="0"/>
          <w:kern w:val="0"/>
          <w:sz w:val="24"/>
          <w:szCs w:val="24"/>
        </w:rPr>
        <w:t>科学选择施工期，水域作业选择枯水季节，严禁在4~7月进行水下施工作业，避开鱼类产卵繁殖期和洄游的主汛期。</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⑵</w:t>
      </w:r>
      <w:r>
        <w:rPr>
          <w:rFonts w:ascii="Times New Roman" w:hAnsi="Times New Roman" w:cs="Times New Roman"/>
          <w:caps w:val="0"/>
          <w:smallCaps w:val="0"/>
          <w:kern w:val="0"/>
          <w:sz w:val="24"/>
          <w:szCs w:val="24"/>
        </w:rPr>
        <w:t>按照航运部门的有关规定，办理水上作业公告，施工船舶悬挂信号标志，保证航运船舶安全及施工船舶作业安全，避免碰撞等交通安全事故发生。</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⑶</w:t>
      </w:r>
      <w:r>
        <w:rPr>
          <w:rFonts w:ascii="Times New Roman" w:hAnsi="Times New Roman" w:cs="Times New Roman"/>
          <w:caps w:val="0"/>
          <w:smallCaps w:val="0"/>
          <w:kern w:val="0"/>
          <w:sz w:val="24"/>
          <w:szCs w:val="24"/>
        </w:rPr>
        <w:t>引桥钻孔灌注桩施工时在项目岸边滩地设置2座的12-15m</w:t>
      </w:r>
      <w:r>
        <w:rPr>
          <w:rFonts w:ascii="Times New Roman" w:hAnsi="Times New Roman" w:cs="Times New Roman"/>
          <w:caps w:val="0"/>
          <w:smallCaps w:val="0"/>
          <w:kern w:val="0"/>
          <w:sz w:val="24"/>
          <w:szCs w:val="24"/>
          <w:vertAlign w:val="superscript"/>
        </w:rPr>
        <w:t>3</w:t>
      </w:r>
      <w:r>
        <w:rPr>
          <w:rFonts w:ascii="Times New Roman" w:hAnsi="Times New Roman" w:cs="Times New Roman"/>
          <w:caps w:val="0"/>
          <w:smallCaps w:val="0"/>
          <w:kern w:val="0"/>
          <w:sz w:val="24"/>
          <w:szCs w:val="24"/>
        </w:rPr>
        <w:t>钢板箱泥浆，其中1座作为泥浆池使用，另l座作为废浆池使用，将粗沙沉淀后，泥浆循环使用，沉淀下来的泥沙（钻孔废渣）经过沉淀处理符合环保要求后，运往建筑消纳场处置。</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⑷</w:t>
      </w:r>
      <w:r>
        <w:rPr>
          <w:rFonts w:ascii="Times New Roman" w:hAnsi="Times New Roman" w:cs="Times New Roman"/>
          <w:caps w:val="0"/>
          <w:smallCaps w:val="0"/>
          <w:kern w:val="0"/>
          <w:sz w:val="24"/>
          <w:szCs w:val="24"/>
        </w:rPr>
        <w:t>在泥浆池四周设置包围堰，并在泥浆池上方设置遮盖装置，防止地面径流雨污水或者雨水进入泥浆池后造成的废水溢出。</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⑸</w:t>
      </w:r>
      <w:r>
        <w:rPr>
          <w:rFonts w:ascii="Times New Roman" w:hAnsi="Times New Roman" w:cs="Times New Roman"/>
          <w:caps w:val="0"/>
          <w:smallCaps w:val="0"/>
          <w:kern w:val="0"/>
          <w:sz w:val="24"/>
          <w:szCs w:val="24"/>
        </w:rPr>
        <w:t>在施工场地四周设置截水沟截留雨水径流，并在施工场地内设置隔油池和沉淀池对收集的施工废水进行隔油、沉淀处理，处理水首先循环回用于施工生产，其余用于施工现场的洒水防尘和车辆、机械冲洗，不向外排放。</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⑹</w:t>
      </w:r>
      <w:r>
        <w:rPr>
          <w:rFonts w:ascii="Times New Roman" w:hAnsi="Times New Roman" w:cs="Times New Roman"/>
          <w:caps w:val="0"/>
          <w:smallCaps w:val="0"/>
          <w:kern w:val="0"/>
          <w:sz w:val="24"/>
          <w:szCs w:val="24"/>
        </w:rPr>
        <w:t>施工人员租用附近民宅作为办公休息地点，生活污水依托已有排水系统，可避免临时施工营地生活污水排放带来的污染影响。</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⑺</w:t>
      </w:r>
      <w:r>
        <w:rPr>
          <w:rFonts w:ascii="Times New Roman" w:hAnsi="Times New Roman" w:cs="Times New Roman"/>
          <w:caps w:val="0"/>
          <w:smallCaps w:val="0"/>
          <w:kern w:val="0"/>
          <w:sz w:val="24"/>
          <w:szCs w:val="24"/>
        </w:rPr>
        <w:t>严格管理施工船舶和施工机械。施工船舶舱底油污水和生活污水不得在码头所在江段排放，应交海事部门环保船接收处理。</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⑻</w:t>
      </w:r>
      <w:r>
        <w:rPr>
          <w:rFonts w:ascii="Times New Roman" w:hAnsi="Times New Roman" w:cs="Times New Roman"/>
          <w:caps w:val="0"/>
          <w:smallCaps w:val="0"/>
          <w:kern w:val="0"/>
          <w:sz w:val="24"/>
          <w:szCs w:val="24"/>
        </w:rPr>
        <w:t>对码头施工人员进行严格的管理，严禁乱抛废弃物，禁止向水域抛弃垃圾，禁止向水域排放施工废水。</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⑼</w:t>
      </w:r>
      <w:r>
        <w:rPr>
          <w:rFonts w:ascii="Times New Roman" w:hAnsi="Times New Roman" w:cs="Times New Roman"/>
          <w:caps w:val="0"/>
          <w:smallCaps w:val="0"/>
          <w:kern w:val="0"/>
          <w:sz w:val="24"/>
          <w:szCs w:val="24"/>
        </w:rPr>
        <w:t>加强施工船舶作业管理，避免与过往江段船舶发生碰撞等事故发生。施工船舶在水域内定点作业、停泊，以保证不发生船舶污染水域的事故。</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⑽</w:t>
      </w:r>
      <w:r>
        <w:rPr>
          <w:rFonts w:ascii="Times New Roman" w:hAnsi="Times New Roman" w:cs="Times New Roman"/>
          <w:caps w:val="0"/>
          <w:smallCaps w:val="0"/>
          <w:kern w:val="0"/>
          <w:sz w:val="24"/>
          <w:szCs w:val="24"/>
        </w:rPr>
        <w:t>通过有效的管理和技术手段，合理安排施工挖泥进度，水下施工严格按照《疏浚与吹填工程设计规范》（JTS 181-5-2012）进行施工设计和施工作业，最大限度地控制水下施工作业对底泥的搅动范围和强度，减少悬浮泥沙的发生量。</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sectPr>
          <w:headerReference r:id="rId17" w:type="default"/>
          <w:footerReference r:id="rId18" w:type="default"/>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r>
        <w:rPr>
          <w:rFonts w:hint="eastAsia" w:ascii="Times New Roman" w:hAnsi="Times New Roman" w:cs="Times New Roman"/>
          <w:caps w:val="0"/>
          <w:smallCaps w:val="0"/>
          <w:kern w:val="0"/>
          <w:sz w:val="24"/>
          <w:szCs w:val="24"/>
        </w:rPr>
        <w:t>⑾</w:t>
      </w:r>
      <w:r>
        <w:rPr>
          <w:rFonts w:ascii="Times New Roman" w:hAnsi="Times New Roman" w:cs="Times New Roman"/>
          <w:caps w:val="0"/>
          <w:smallCaps w:val="0"/>
          <w:kern w:val="0"/>
          <w:sz w:val="24"/>
          <w:szCs w:val="24"/>
        </w:rPr>
        <w:t>建设单位应加强打桩和疏浚施工的监管，并严格控制施工范围、施工进度和施工</w:t>
      </w:r>
    </w:p>
    <w:p>
      <w:pPr>
        <w:autoSpaceDE w:val="0"/>
        <w:autoSpaceDN w:val="0"/>
        <w:adjustRightInd w:val="0"/>
        <w:snapToGrid w:val="0"/>
        <w:spacing w:line="360" w:lineRule="auto"/>
        <w:ind w:left="0" w:leftChars="0" w:firstLine="0" w:firstLineChars="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质量，尽量减小对岸坡的扰动，避免施工不当造成岸坡坍塌或滑坡，并做好施工场地及其附近一定区域内岸坡稳定监测工作，出现问题及时处理，施工完成后及时护坡、护岸施工，确保岸坡稳定。</w:t>
      </w:r>
    </w:p>
    <w:p>
      <w:pPr>
        <w:autoSpaceDE w:val="0"/>
        <w:autoSpaceDN w:val="0"/>
        <w:adjustRightInd w:val="0"/>
        <w:snapToGrid w:val="0"/>
        <w:spacing w:line="360" w:lineRule="auto"/>
        <w:ind w:firstLine="480" w:firstLineChars="200"/>
        <w:rPr>
          <w:rFonts w:hint="eastAsia" w:ascii="Times New Roman" w:hAnsi="Times New Roman" w:eastAsia="宋体" w:cs="Times New Roman"/>
          <w:caps w:val="0"/>
          <w:smallCaps w:val="0"/>
          <w:kern w:val="0"/>
          <w:sz w:val="24"/>
          <w:szCs w:val="24"/>
          <w:lang w:eastAsia="zh-CN"/>
        </w:rPr>
      </w:pPr>
      <w:r>
        <w:rPr>
          <w:rFonts w:hint="eastAsia" w:ascii="Times New Roman" w:hAnsi="Times New Roman" w:cs="Times New Roman"/>
          <w:caps w:val="0"/>
          <w:smallCaps w:val="0"/>
          <w:kern w:val="0"/>
          <w:sz w:val="24"/>
          <w:szCs w:val="24"/>
        </w:rPr>
        <w:t>⑿</w:t>
      </w:r>
      <w:r>
        <w:rPr>
          <w:rFonts w:hint="eastAsia" w:cs="Times New Roman"/>
          <w:caps w:val="0"/>
          <w:smallCaps w:val="0"/>
          <w:kern w:val="0"/>
          <w:sz w:val="24"/>
          <w:szCs w:val="24"/>
          <w:lang w:eastAsia="zh-CN"/>
        </w:rPr>
        <w:t>加强施工期的环境监理，生产生活废水不得排入湘江。</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疏浚工程污染防治措施：</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⑴</w:t>
      </w:r>
      <w:r>
        <w:rPr>
          <w:rFonts w:ascii="Times New Roman" w:hAnsi="Times New Roman" w:cs="Times New Roman"/>
          <w:caps w:val="0"/>
          <w:smallCaps w:val="0"/>
          <w:kern w:val="0"/>
          <w:sz w:val="24"/>
          <w:szCs w:val="24"/>
        </w:rPr>
        <w:t>疏浚淤泥工程施工设计严格按照《疏浚与吹填工程设计规范》（JTS 181-5-2012）、《水运工程环境保护设计规范》（JTS 149-2018）要求。</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⑵</w:t>
      </w:r>
      <w:r>
        <w:rPr>
          <w:rFonts w:ascii="Times New Roman" w:hAnsi="Times New Roman" w:cs="Times New Roman"/>
          <w:caps w:val="0"/>
          <w:smallCaps w:val="0"/>
          <w:kern w:val="0"/>
          <w:sz w:val="24"/>
          <w:szCs w:val="24"/>
        </w:rPr>
        <w:t>施工单位应合理安排施工船舶位置，设计好挖泥进度，并采用产生悬浮物较小的抓斗式挖泥船，以尽量减少疏浚作业对底质的扰动强度和范围。</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⑶</w:t>
      </w:r>
      <w:r>
        <w:rPr>
          <w:rFonts w:ascii="Times New Roman" w:hAnsi="Times New Roman" w:cs="Times New Roman"/>
          <w:caps w:val="0"/>
          <w:smallCaps w:val="0"/>
          <w:kern w:val="0"/>
          <w:sz w:val="24"/>
          <w:szCs w:val="24"/>
        </w:rPr>
        <w:t>在挖泥船外围采用防污帘防护，有效控制悬浮泥沙产生的污染，最大限度地减轻疏浚区域周围环境的影响。</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⑷</w:t>
      </w:r>
      <w:r>
        <w:rPr>
          <w:rFonts w:ascii="Times New Roman" w:hAnsi="Times New Roman" w:cs="Times New Roman"/>
          <w:caps w:val="0"/>
          <w:smallCaps w:val="0"/>
          <w:kern w:val="0"/>
          <w:sz w:val="24"/>
          <w:szCs w:val="24"/>
        </w:rPr>
        <w:t>施工单位还应在疏浚作业的下游位置布设围油栏，避免疏浚的溢油事件发生后，泄露油品污染水环境。</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⑸</w:t>
      </w:r>
      <w:r>
        <w:rPr>
          <w:rFonts w:ascii="Times New Roman" w:hAnsi="Times New Roman" w:cs="Times New Roman"/>
          <w:caps w:val="0"/>
          <w:smallCaps w:val="0"/>
          <w:kern w:val="0"/>
          <w:sz w:val="24"/>
          <w:szCs w:val="24"/>
        </w:rPr>
        <w:t>尽可能在设计时间内完成施工进度，最大限度地减少施工船舶在水中的往返次数，非特殊情况不应随意延长工期。</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⑹</w:t>
      </w:r>
      <w:r>
        <w:rPr>
          <w:rFonts w:ascii="Times New Roman" w:hAnsi="Times New Roman" w:cs="Times New Roman"/>
          <w:caps w:val="0"/>
          <w:smallCaps w:val="0"/>
          <w:kern w:val="0"/>
          <w:sz w:val="24"/>
          <w:szCs w:val="24"/>
        </w:rPr>
        <w:t>加强对施工船舶的管理，对船舶定期检查，一旦发现船舶出现漏油情况，须立即维修，并且回收泄漏废油及按《危险废物管理制度》处理好被泄漏油污涉及的区域。</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⑺</w:t>
      </w:r>
      <w:r>
        <w:rPr>
          <w:rFonts w:ascii="Times New Roman" w:hAnsi="Times New Roman" w:cs="Times New Roman"/>
          <w:caps w:val="0"/>
          <w:smallCaps w:val="0"/>
          <w:kern w:val="0"/>
          <w:sz w:val="24"/>
          <w:szCs w:val="24"/>
        </w:rPr>
        <w:t>疏浚淤泥及时</w:t>
      </w:r>
      <w:r>
        <w:rPr>
          <w:rFonts w:hint="eastAsia" w:ascii="Times New Roman" w:hAnsi="Times New Roman" w:cs="Times New Roman"/>
          <w:caps w:val="0"/>
          <w:smallCaps w:val="0"/>
          <w:kern w:val="0"/>
          <w:sz w:val="24"/>
          <w:szCs w:val="24"/>
          <w:lang w:eastAsia="zh-CN"/>
        </w:rPr>
        <w:t>上岸外运</w:t>
      </w:r>
      <w:r>
        <w:rPr>
          <w:rFonts w:ascii="Times New Roman" w:hAnsi="Times New Roman" w:cs="Times New Roman"/>
          <w:caps w:val="0"/>
          <w:smallCaps w:val="0"/>
          <w:kern w:val="0"/>
          <w:sz w:val="24"/>
          <w:szCs w:val="24"/>
        </w:rPr>
        <w:t>，禁止在评价区水域随意丢弃疏浚土方。</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⑻</w:t>
      </w:r>
      <w:r>
        <w:rPr>
          <w:rFonts w:ascii="Times New Roman" w:hAnsi="Times New Roman" w:cs="Times New Roman"/>
          <w:caps w:val="0"/>
          <w:smallCaps w:val="0"/>
          <w:kern w:val="0"/>
          <w:sz w:val="24"/>
          <w:szCs w:val="24"/>
        </w:rPr>
        <w:t>在恶劣天气条件下应提前做好安全防护工作，必要时停止疏浚作业，避免发生意外的污染事故。</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caps w:val="0"/>
          <w:smallCaps w:val="0"/>
          <w:kern w:val="0"/>
          <w:sz w:val="24"/>
          <w:szCs w:val="24"/>
        </w:rPr>
        <w:t>⑼</w:t>
      </w:r>
      <w:r>
        <w:rPr>
          <w:rFonts w:ascii="Times New Roman" w:hAnsi="Times New Roman" w:cs="Times New Roman"/>
          <w:caps w:val="0"/>
          <w:smallCaps w:val="0"/>
          <w:kern w:val="0"/>
          <w:sz w:val="24"/>
          <w:szCs w:val="24"/>
        </w:rPr>
        <w:t>施工过程应对水域水质中悬浮物和浊度进行跟踪监测，根据跟踪监测结果控制作业量、调整施工进度。</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大气污染防治措施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项目码头及管线施工期产生的大气污染物主要为开挖平整、材料运输，砂石料装卸等过程产生的扬尘，以及施工船舶、施工机械设备、运输车辆排放的尾气等。为最大限度降低施工期对大气环境的影响，建设单位拟采取如下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1、施工前先修筑厂界围墙或简易围屏，如用瓦楞板或聚丙烯布等在施工区四周建高2.5~3.0m的围幛，减少扬尘的逸散。</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2、建设过程中使用的建筑材料，在装卸、堆放、拌合过程中将会产生大量的粉尘外逸，施工单位必须加强施工区的规划管理。建筑材料（主要是砂子、石子）尽量不大量的堆存，少量堆存将其置于较为空旷的位置，并进行遮挡，减少物料起尘对周边环境的影响。</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3、在施工现场和施工车辆运输道路每天应多次撒水，保持工地有一定的湿度。</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4、对港区道路、码头路面及时清扫并洒水，防止货物转运过程中的二次起尘。</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5、施工车辆运输砂土、水泥、碎石等易起尘的物料要加盖蓬布、控制车速，防止物料洒落和产生扬尘；卸车时应尽量减小落差，减少扬尘；进出施工现场车辆将导致地面扬尘，对陆域施工现场及运输道路应定期清扫洒水，保持车辆出入口路面清洁、润湿，以减少施工车辆引起的地面扬尘污染，并尽量要求运输车辆减缓行车速度。施工现场还应铺设临时的施工便道，铺设碎石或细沙，并尽量进行夯实硬化处理，以减少运输车辆轮胎带泥上路和造成二次扬尘。</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6、加强对施工机械、车辆的维修保养，禁止以柴油为燃料的施工机械超负荷工作，减少尾气排放。</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因此，以上施工期防治施工扬尘、施工机械设备、车辆燃油废气的措施可以起到防治污染物对拟建项目周边环境空气质量状况的不良影响，在经济、技术上均具有较高的可行性和可操作性。</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bookmarkStart w:id="204" w:name="6.1.3噪声污染防治措施"/>
      <w:bookmarkEnd w:id="204"/>
      <w:r>
        <w:rPr>
          <w:rFonts w:ascii="Times New Roman" w:hAnsi="Times New Roman" w:cs="Times New Roman" w:eastAsiaTheme="minorEastAsia"/>
          <w:caps w:val="0"/>
          <w:smallCaps w:val="0"/>
          <w:color w:val="000000" w:themeColor="text1"/>
          <w14:textFill>
            <w14:solidFill>
              <w14:schemeClr w14:val="tx1"/>
            </w14:solidFill>
          </w14:textFill>
        </w:rPr>
        <w:t>噪声污染防治措施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ascii="Times New Roman" w:hAnsi="Times New Roman" w:cs="Times New Roman" w:eastAsiaTheme="minorEastAsia"/>
          <w:caps w:val="0"/>
          <w:smallCaps w:val="0"/>
          <w:kern w:val="0"/>
          <w:sz w:val="24"/>
          <w:szCs w:val="24"/>
        </w:rPr>
        <w:t>施工噪声控制措施主要是对施工设备、施工时间和施工人员的控制和管理。</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kern w:val="0"/>
          <w:sz w:val="24"/>
          <w:szCs w:val="24"/>
        </w:rPr>
      </w:pPr>
      <w:r>
        <w:rPr>
          <w:rFonts w:ascii="Times New Roman" w:hAnsi="Times New Roman" w:cs="Times New Roman" w:eastAsiaTheme="minorEastAsia"/>
          <w:b/>
          <w:caps w:val="0"/>
          <w:smallCaps w:val="0"/>
          <w:kern w:val="0"/>
          <w:sz w:val="24"/>
          <w:szCs w:val="24"/>
        </w:rPr>
        <w:t>1、降低声源的噪声强度</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⑴</w:t>
      </w:r>
      <w:r>
        <w:rPr>
          <w:rFonts w:ascii="Times New Roman" w:hAnsi="Times New Roman" w:cs="Times New Roman" w:eastAsiaTheme="minorEastAsia"/>
          <w:caps w:val="0"/>
          <w:smallCaps w:val="0"/>
          <w:kern w:val="0"/>
          <w:sz w:val="24"/>
          <w:szCs w:val="24"/>
        </w:rPr>
        <w:t>采用低噪声施工机械设备和先进的施工技术是控制施工期噪声有效手段之一，淘汰落后的施工设备；</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⑵</w:t>
      </w:r>
      <w:r>
        <w:rPr>
          <w:rFonts w:ascii="Times New Roman" w:hAnsi="Times New Roman" w:cs="Times New Roman" w:eastAsiaTheme="minorEastAsia"/>
          <w:caps w:val="0"/>
          <w:smallCaps w:val="0"/>
          <w:kern w:val="0"/>
          <w:sz w:val="24"/>
          <w:szCs w:val="24"/>
        </w:rPr>
        <w:t>对有固定基座的设备应作单独地基处理，以减少地面振动与结构噪声的传递；</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⑶</w:t>
      </w:r>
      <w:r>
        <w:rPr>
          <w:rFonts w:ascii="Times New Roman" w:hAnsi="Times New Roman" w:cs="Times New Roman" w:eastAsiaTheme="minorEastAsia"/>
          <w:caps w:val="0"/>
          <w:smallCaps w:val="0"/>
          <w:kern w:val="0"/>
          <w:sz w:val="24"/>
          <w:szCs w:val="24"/>
        </w:rPr>
        <w:t>模板、脚手架支拆时，应做到轻拿轻放，严禁抛掷；</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⑷</w:t>
      </w:r>
      <w:r>
        <w:rPr>
          <w:rFonts w:ascii="Times New Roman" w:hAnsi="Times New Roman" w:cs="Times New Roman" w:eastAsiaTheme="minorEastAsia"/>
          <w:caps w:val="0"/>
          <w:smallCaps w:val="0"/>
          <w:kern w:val="0"/>
          <w:sz w:val="24"/>
          <w:szCs w:val="24"/>
        </w:rPr>
        <w:t>对机械设备进行定期维修，使其保持良好的运行工况，严禁带故障工作造成噪声排放超标。</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kern w:val="0"/>
          <w:sz w:val="24"/>
          <w:szCs w:val="24"/>
        </w:rPr>
      </w:pPr>
      <w:r>
        <w:rPr>
          <w:rFonts w:ascii="Times New Roman" w:hAnsi="Times New Roman" w:cs="Times New Roman" w:eastAsiaTheme="minorEastAsia"/>
          <w:b/>
          <w:caps w:val="0"/>
          <w:smallCaps w:val="0"/>
          <w:kern w:val="0"/>
          <w:sz w:val="24"/>
          <w:szCs w:val="24"/>
        </w:rPr>
        <w:t>2、传播途径降噪措施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⑴</w:t>
      </w:r>
      <w:r>
        <w:rPr>
          <w:rFonts w:ascii="Times New Roman" w:hAnsi="Times New Roman" w:cs="Times New Roman" w:eastAsiaTheme="minorEastAsia"/>
          <w:caps w:val="0"/>
          <w:smallCaps w:val="0"/>
          <w:kern w:val="0"/>
          <w:sz w:val="24"/>
          <w:szCs w:val="24"/>
        </w:rPr>
        <w:t>项目施工现场四周应当设置高度不低于2m的围挡，围挡可以当作声屏障，从而降低施工噪声对厂界外敏感点的影响；</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caps w:val="0"/>
          <w:smallCaps w:val="0"/>
          <w:kern w:val="0"/>
          <w:sz w:val="24"/>
          <w:szCs w:val="24"/>
        </w:rPr>
        <w:t>⑵</w:t>
      </w:r>
      <w:r>
        <w:rPr>
          <w:rFonts w:ascii="Times New Roman" w:hAnsi="Times New Roman" w:cs="Times New Roman" w:eastAsiaTheme="minorEastAsia"/>
          <w:caps w:val="0"/>
          <w:smallCaps w:val="0"/>
          <w:kern w:val="0"/>
          <w:sz w:val="24"/>
          <w:szCs w:val="24"/>
        </w:rPr>
        <w:t>对各施工环节中噪声较为突出且又难以对声源进行降噪可能的设备装置，应采取临时围障措施，围障最好敷以吸声材料，以此达到降噪效果。</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kern w:val="0"/>
          <w:sz w:val="24"/>
          <w:szCs w:val="24"/>
        </w:rPr>
      </w:pPr>
      <w:r>
        <w:rPr>
          <w:rFonts w:ascii="Times New Roman" w:hAnsi="Times New Roman" w:cs="Times New Roman" w:eastAsiaTheme="minorEastAsia"/>
          <w:b/>
          <w:caps w:val="0"/>
          <w:smallCaps w:val="0"/>
          <w:kern w:val="0"/>
          <w:sz w:val="24"/>
          <w:szCs w:val="24"/>
        </w:rPr>
        <w:t>3、其他措施和建议</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bookmarkStart w:id="205" w:name="6.1.4固体废物污染防治措施"/>
      <w:bookmarkEnd w:id="205"/>
      <w:r>
        <w:rPr>
          <w:rFonts w:ascii="Times New Roman" w:hAnsi="Times New Roman" w:cs="Times New Roman"/>
          <w:caps w:val="0"/>
          <w:smallCaps w:val="0"/>
          <w:kern w:val="0"/>
          <w:sz w:val="24"/>
          <w:szCs w:val="24"/>
        </w:rPr>
        <w:t>⑴设立项目施工环境影响监督公告牌，在建筑围墙的醒目处明确标明：施工环境影响的投诉方式及联系电话（包括建设单位责任人及施工监查责任人等），让公众随时监督项目施工过程；</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⑵对交通车辆及施工船舶造成的噪声影响要加强管理，运输车辆及船舶尽量采用低声级的喇叭，合理制定运输路线，车辆在场区外的行进路线应尽量对周边的敏感点采取避让措施，若无法避让而必须要经过环境敏感点的，应采取减速慢行、禁止鸣笛等措施降低运输车辆的噪声对周边环境的影响。</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⑶加强施工管理，合理安排施工作业时间，禁止在中午（12:00</w:t>
      </w:r>
      <w:r>
        <w:rPr>
          <w:rFonts w:hint="eastAsia" w:ascii="Times New Roman" w:hAnsi="Times New Roman" w:cs="Times New Roman"/>
          <w:caps w:val="0"/>
          <w:smallCaps w:val="0"/>
          <w:kern w:val="0"/>
          <w:sz w:val="24"/>
          <w:szCs w:val="24"/>
        </w:rPr>
        <w:t>~</w:t>
      </w:r>
      <w:r>
        <w:rPr>
          <w:rFonts w:ascii="Times New Roman" w:hAnsi="Times New Roman" w:cs="Times New Roman"/>
          <w:caps w:val="0"/>
          <w:smallCaps w:val="0"/>
          <w:kern w:val="0"/>
          <w:sz w:val="24"/>
          <w:szCs w:val="24"/>
        </w:rPr>
        <w:t>14:00）和夜间（22:00</w:t>
      </w:r>
      <w:r>
        <w:rPr>
          <w:rFonts w:hint="eastAsia" w:ascii="Times New Roman" w:hAnsi="Times New Roman" w:cs="Times New Roman"/>
          <w:caps w:val="0"/>
          <w:smallCaps w:val="0"/>
          <w:kern w:val="0"/>
          <w:sz w:val="24"/>
          <w:szCs w:val="24"/>
        </w:rPr>
        <w:t>~</w:t>
      </w:r>
      <w:r>
        <w:rPr>
          <w:rFonts w:ascii="Times New Roman" w:hAnsi="Times New Roman" w:cs="Times New Roman"/>
          <w:caps w:val="0"/>
          <w:smallCaps w:val="0"/>
          <w:kern w:val="0"/>
          <w:sz w:val="24"/>
          <w:szCs w:val="24"/>
        </w:rPr>
        <w:t>6:00）施工，避免在同一时间集中使用大量的动力机械设备，施工单位应按规定及时办理相关手续，并做好相应的防护措施。</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⑷考虑到项目施工期间工地来往车辆行驶可能会对沿途声环境造成一定的影响，本次评价建议工程施工材料运输安排在白天进行，严禁夜间扰民。</w:t>
      </w:r>
    </w:p>
    <w:p>
      <w:pPr>
        <w:autoSpaceDE w:val="0"/>
        <w:autoSpaceDN w:val="0"/>
        <w:adjustRightInd w:val="0"/>
        <w:snapToGrid w:val="0"/>
        <w:spacing w:line="360" w:lineRule="auto"/>
        <w:ind w:firstLine="488"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spacing w:val="2"/>
          <w:sz w:val="24"/>
          <w:szCs w:val="24"/>
        </w:rPr>
        <w:fldChar w:fldCharType="begin"/>
      </w:r>
      <w:r>
        <w:rPr>
          <w:rFonts w:ascii="Times New Roman" w:hAnsi="Times New Roman" w:cs="Times New Roman"/>
          <w:caps w:val="0"/>
          <w:smallCaps w:val="0"/>
          <w:spacing w:val="2"/>
          <w:sz w:val="24"/>
          <w:szCs w:val="24"/>
        </w:rPr>
        <w:instrText xml:space="preserve">=5\*GB2</w:instrText>
      </w:r>
      <w:r>
        <w:rPr>
          <w:rFonts w:ascii="Times New Roman" w:hAnsi="Times New Roman" w:cs="Times New Roman"/>
          <w:caps w:val="0"/>
          <w:smallCaps w:val="0"/>
          <w:spacing w:val="2"/>
          <w:sz w:val="24"/>
          <w:szCs w:val="24"/>
        </w:rPr>
        <w:fldChar w:fldCharType="separate"/>
      </w:r>
      <w:r>
        <w:rPr>
          <w:rFonts w:ascii="Times New Roman" w:hAnsi="Times New Roman" w:cs="Times New Roman"/>
          <w:caps w:val="0"/>
          <w:smallCaps w:val="0"/>
          <w:spacing w:val="2"/>
          <w:sz w:val="24"/>
          <w:szCs w:val="24"/>
        </w:rPr>
        <w:t>⑸</w:t>
      </w:r>
      <w:r>
        <w:rPr>
          <w:rFonts w:ascii="Times New Roman" w:hAnsi="Times New Roman" w:cs="Times New Roman"/>
          <w:caps w:val="0"/>
          <w:smallCaps w:val="0"/>
          <w:spacing w:val="2"/>
          <w:sz w:val="24"/>
          <w:szCs w:val="24"/>
        </w:rPr>
        <w:fldChar w:fldCharType="end"/>
      </w:r>
      <w:r>
        <w:rPr>
          <w:rFonts w:ascii="Times New Roman" w:hAnsi="Times New Roman" w:cs="Times New Roman"/>
          <w:caps w:val="0"/>
          <w:smallCaps w:val="0"/>
          <w:kern w:val="0"/>
          <w:sz w:val="24"/>
          <w:szCs w:val="24"/>
        </w:rPr>
        <w:t>工程在运输道路以及临时道路的选线时，尽量避开、远离居民敏感点，以减小施工汽车运输时产生的噪声，尽量将施工道路交通噪声对沿线居民点的影响降至最低。</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通过采取以上噪声污染防控措施，建设单位可将噪声污染对周边声环境质量的影响控制在最低水平，噪声污染防治措施从经济、技术方面来说具有可行性。</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固体废物污染防治措施</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bookmarkStart w:id="206" w:name="6.1.5生态保护措施"/>
      <w:bookmarkEnd w:id="206"/>
      <w:r>
        <w:rPr>
          <w:rFonts w:ascii="Times New Roman" w:hAnsi="Times New Roman" w:cs="Times New Roman"/>
          <w:caps w:val="0"/>
          <w:smallCaps w:val="0"/>
          <w:kern w:val="0"/>
          <w:sz w:val="24"/>
          <w:szCs w:val="24"/>
        </w:rPr>
        <w:t>⑴对施工人员开展宣传教育，使施工人员生活垃圾做到全部有效收集和贮存，船舶生活垃圾由施工单位负责交海事部门环保船接收处理，施工期设置垃圾桶及垃圾集中堆放场地，陆域施工人员生活垃圾由施工单位定期交由环卫部门处理。</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⑵加强建筑垃圾和疏浚污泥的管理。施工单位应尽量回收利用建筑垃圾，对建筑垃圾的收集处理应严格执行《城市建筑垃圾管理规定》，服从当地城市市容环境卫生行政主管部门统一管理，严禁建设和施工单位将建筑施工活动中产生的工程废弃物料等垃圾堆放在河流沿岸护坡或倾倒入河。</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eastAsiaTheme="minorEastAsia"/>
          <w:caps w:val="0"/>
          <w:smallCaps w:val="0"/>
          <w:sz w:val="24"/>
          <w:szCs w:val="24"/>
        </w:rPr>
        <w:t>疏浚淤泥挖出后直接放入渣土运输</w:t>
      </w:r>
      <w:r>
        <w:rPr>
          <w:rFonts w:hint="eastAsia" w:ascii="Times New Roman" w:hAnsi="Times New Roman" w:cs="Times New Roman" w:eastAsiaTheme="minorEastAsia"/>
          <w:caps w:val="0"/>
          <w:smallCaps w:val="0"/>
          <w:sz w:val="24"/>
          <w:szCs w:val="24"/>
          <w:lang w:eastAsia="zh-CN"/>
        </w:rPr>
        <w:t>车</w:t>
      </w:r>
      <w:r>
        <w:rPr>
          <w:rFonts w:hint="eastAsia" w:ascii="Times New Roman" w:hAnsi="Times New Roman" w:cs="Times New Roman" w:eastAsiaTheme="minorEastAsia"/>
          <w:caps w:val="0"/>
          <w:smallCaps w:val="0"/>
          <w:sz w:val="24"/>
          <w:szCs w:val="24"/>
        </w:rPr>
        <w:t>运输至湖南平益高速公路建设工程进行</w:t>
      </w:r>
      <w:r>
        <w:rPr>
          <w:rFonts w:hint="eastAsia" w:ascii="Times New Roman" w:hAnsi="Times New Roman" w:cs="Times New Roman" w:eastAsiaTheme="minorEastAsia"/>
          <w:caps w:val="0"/>
          <w:smallCaps w:val="0"/>
          <w:sz w:val="24"/>
          <w:szCs w:val="24"/>
          <w:lang w:eastAsia="zh-CN"/>
        </w:rPr>
        <w:t>填方</w:t>
      </w:r>
      <w:r>
        <w:rPr>
          <w:rFonts w:hint="eastAsia" w:ascii="Times New Roman" w:hAnsi="Times New Roman" w:cs="Times New Roman" w:eastAsiaTheme="minorEastAsia"/>
          <w:caps w:val="0"/>
          <w:smallCaps w:val="0"/>
          <w:sz w:val="24"/>
          <w:szCs w:val="24"/>
        </w:rPr>
        <w:t>，不在码头处暂存。</w:t>
      </w:r>
      <w:r>
        <w:rPr>
          <w:rFonts w:ascii="Times New Roman" w:hAnsi="Times New Roman" w:cs="Times New Roman"/>
          <w:caps w:val="0"/>
          <w:smallCaps w:val="0"/>
          <w:kern w:val="0"/>
          <w:sz w:val="24"/>
          <w:szCs w:val="24"/>
        </w:rPr>
        <w:t>施工产生的弃土、弃渣不得堆放在河道内尤其是河道岸坡上，避免岸坡应荷载加大而失稳。施工单位应尽快清理施工场地内的建筑垃圾。</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⑶疏浚淤泥运输车辆应严格密闭，防止泥沙散落道路对环境产生二次污染，且应当严格规划运输车辆行驶路线，运输过程中尽量避免车辆发生碰撞等交通事故。</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⑷建设单位应对施工单位处置建筑垃圾进行督促。</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ascii="Times New Roman" w:hAnsi="Times New Roman" w:cs="Times New Roman"/>
          <w:caps w:val="0"/>
          <w:smallCaps w:val="0"/>
          <w:kern w:val="0"/>
          <w:sz w:val="24"/>
          <w:szCs w:val="24"/>
        </w:rPr>
        <w:t>施工结束后，施工场地应及时平整，清场要彻底。</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生态保护措施</w:t>
      </w:r>
    </w:p>
    <w:p>
      <w:pPr>
        <w:pStyle w:val="2"/>
        <w:bidi w:val="0"/>
        <w:rPr>
          <w:rFonts w:ascii="Times New Roman" w:hAnsi="Times New Roman" w:cs="Times New Roman"/>
          <w:caps w:val="0"/>
          <w:smallCaps w:val="0"/>
        </w:rPr>
      </w:pPr>
      <w:bookmarkStart w:id="207" w:name="6.1.5.1水生生态保护措施"/>
      <w:bookmarkEnd w:id="207"/>
      <w:bookmarkStart w:id="208" w:name="6.1.7耕地与基本农田保护方案"/>
      <w:bookmarkEnd w:id="208"/>
      <w:bookmarkStart w:id="209" w:name="6.2营运期污染防治措施"/>
      <w:bookmarkEnd w:id="209"/>
      <w:bookmarkStart w:id="210" w:name="_bookmark55"/>
      <w:bookmarkEnd w:id="210"/>
      <w:r>
        <w:rPr>
          <w:rFonts w:ascii="Times New Roman" w:hAnsi="Times New Roman" w:cs="Times New Roman"/>
          <w:caps w:val="0"/>
          <w:smallCaps w:val="0"/>
        </w:rPr>
        <w:t>（1）避让措施</w:t>
      </w:r>
    </w:p>
    <w:p>
      <w:pPr>
        <w:pStyle w:val="2"/>
        <w:bidi w:val="0"/>
        <w:rPr>
          <w:rFonts w:ascii="Times New Roman" w:hAnsi="Times New Roman" w:cs="Times New Roman"/>
          <w:caps w:val="0"/>
          <w:smallCaps w:val="0"/>
        </w:rPr>
      </w:pPr>
      <w:r>
        <w:rPr>
          <w:rFonts w:ascii="Times New Roman" w:hAnsi="Times New Roman" w:cs="Times New Roman"/>
          <w:caps w:val="0"/>
          <w:smallCaps w:val="0"/>
        </w:rPr>
        <w:t>1）四大家鱼繁殖季节为每年的4~7月，同时豚类繁殖季节为4~6月，中华鲟幼鲟4~7月左右经过长江湖南、湖北段，港池疏浚、打桩、抛石护桩等涉水施工对鱼类有一定影响，所以应严禁在4~7月进行水下施工作业，避开鱼类繁殖和洄游的主汛期。</w:t>
      </w:r>
    </w:p>
    <w:p>
      <w:pPr>
        <w:pStyle w:val="2"/>
        <w:bidi w:val="0"/>
        <w:rPr>
          <w:rFonts w:ascii="Times New Roman" w:hAnsi="Times New Roman" w:cs="Times New Roman"/>
          <w:caps w:val="0"/>
          <w:smallCaps w:val="0"/>
        </w:rPr>
      </w:pPr>
      <w:r>
        <w:rPr>
          <w:rFonts w:ascii="Times New Roman" w:hAnsi="Times New Roman" w:cs="Times New Roman"/>
          <w:caps w:val="0"/>
          <w:smallCaps w:val="0"/>
        </w:rPr>
        <w:t>2）桩基以上设施如引桥等设施施工不受鱼类繁殖期限制，可按计划方案施工。但繁殖季节（4~7月）陆域施工产生的噪声可能对鱼类有干扰，应规定繁殖季节陆域施工装载机、铲土机等产生较大噪音的施工应尽量避开清晨和江水大幅上涨时段，实在无法避免的应通过采取措施减少冲量、能量向水中的传播。</w:t>
      </w:r>
    </w:p>
    <w:p>
      <w:pPr>
        <w:pStyle w:val="2"/>
        <w:bidi w:val="0"/>
        <w:rPr>
          <w:rFonts w:ascii="Times New Roman" w:hAnsi="Times New Roman" w:cs="Times New Roman"/>
          <w:caps w:val="0"/>
          <w:smallCaps w:val="0"/>
        </w:rPr>
      </w:pPr>
      <w:r>
        <w:rPr>
          <w:rFonts w:ascii="Times New Roman" w:hAnsi="Times New Roman" w:cs="Times New Roman"/>
          <w:caps w:val="0"/>
          <w:smallCaps w:val="0"/>
        </w:rPr>
        <w:t>3）施工安排在枯水期很难与长江江豚活动时间避开，对长江江豚的保护主要采取施工期加强监测的措施来保护；在作业时间上进行调度：由于水下工程安排在枯水期，因此在最高设计水位线以上打桩作业在下列两种情况下施工机械不宜太多：①冬季中午气温回升时，注意长江江豚在浅水沙滩觅食；②初春涨水期间，警戒长江江豚来浅水沙滩或缓水边滩觅食与交配活动。</w:t>
      </w:r>
    </w:p>
    <w:p>
      <w:pPr>
        <w:pStyle w:val="2"/>
        <w:bidi w:val="0"/>
        <w:rPr>
          <w:rFonts w:ascii="Times New Roman" w:hAnsi="Times New Roman" w:cs="Times New Roman"/>
          <w:caps w:val="0"/>
          <w:smallCaps w:val="0"/>
        </w:rPr>
      </w:pPr>
      <w:r>
        <w:rPr>
          <w:rFonts w:ascii="Times New Roman" w:hAnsi="Times New Roman" w:cs="Times New Roman"/>
          <w:caps w:val="0"/>
          <w:smallCaps w:val="0"/>
        </w:rPr>
        <w:t>4）确保不在保护区内设置不必要的临时占地，如堆料场、拌料场等。</w:t>
      </w:r>
    </w:p>
    <w:p>
      <w:pPr>
        <w:pStyle w:val="2"/>
        <w:bidi w:val="0"/>
        <w:rPr>
          <w:rFonts w:ascii="Times New Roman" w:hAnsi="Times New Roman" w:cs="Times New Roman"/>
          <w:caps w:val="0"/>
          <w:smallCaps w:val="0"/>
        </w:rPr>
      </w:pPr>
      <w:r>
        <w:rPr>
          <w:rFonts w:ascii="Times New Roman" w:hAnsi="Times New Roman" w:cs="Times New Roman"/>
          <w:caps w:val="0"/>
          <w:smallCaps w:val="0"/>
        </w:rPr>
        <w:t>（2）减缓措施</w:t>
      </w:r>
    </w:p>
    <w:p>
      <w:pPr>
        <w:pStyle w:val="2"/>
        <w:bidi w:val="0"/>
        <w:rPr>
          <w:rFonts w:ascii="Times New Roman" w:hAnsi="Times New Roman" w:cs="Times New Roman"/>
          <w:caps w:val="0"/>
          <w:smallCaps w:val="0"/>
        </w:rPr>
      </w:pPr>
      <w:r>
        <w:rPr>
          <w:rFonts w:ascii="Times New Roman" w:hAnsi="Times New Roman" w:cs="Times New Roman"/>
          <w:caps w:val="0"/>
          <w:smallCaps w:val="0"/>
        </w:rPr>
        <w:t>1）减小水下噪声。施工及营运期间的机械和船舶噪声应通过合理调度，减少施工船舶数量等方法加以控制。针对在水下打桩、水下钻孔等施工，建议采取气泡帷幕降噪或桩体套筒措施，打桩时缓启动。施工及营运期间的各种设备尽量采用低噪声设备，打桩机或空压机噪声通过安装吸音结构、吸音材料和消音器处理。</w:t>
      </w:r>
    </w:p>
    <w:p>
      <w:pPr>
        <w:pStyle w:val="2"/>
        <w:bidi w:val="0"/>
        <w:rPr>
          <w:rFonts w:ascii="Times New Roman" w:hAnsi="Times New Roman" w:cs="Times New Roman"/>
          <w:caps w:val="0"/>
          <w:smallCaps w:val="0"/>
        </w:rPr>
      </w:pPr>
      <w:r>
        <w:rPr>
          <w:rFonts w:ascii="Times New Roman" w:hAnsi="Times New Roman" w:cs="Times New Roman"/>
          <w:caps w:val="0"/>
          <w:smallCaps w:val="0"/>
        </w:rPr>
        <w:t>2）疏浚泥沙应严格按照施工方案确定的地点抛弃，禁止乱抛乱弃，以减小悬浮物带来的影响。</w:t>
      </w:r>
    </w:p>
    <w:p>
      <w:pPr>
        <w:pStyle w:val="2"/>
        <w:bidi w:val="0"/>
        <w:rPr>
          <w:rFonts w:ascii="Times New Roman" w:hAnsi="Times New Roman" w:cs="Times New Roman"/>
          <w:caps w:val="0"/>
          <w:smallCaps w:val="0"/>
        </w:rPr>
      </w:pPr>
      <w:r>
        <w:rPr>
          <w:rFonts w:ascii="Times New Roman" w:hAnsi="Times New Roman" w:cs="Times New Roman"/>
          <w:caps w:val="0"/>
          <w:smallCaps w:val="0"/>
        </w:rPr>
        <w:t>3）港池疏浚土质主要为淤泥混砂，采用</w:t>
      </w:r>
      <w:r>
        <w:rPr>
          <w:rFonts w:hint="eastAsia" w:ascii="Times New Roman" w:hAnsi="Times New Roman" w:cs="Times New Roman"/>
          <w:caps w:val="0"/>
          <w:smallCaps w:val="0"/>
          <w:lang w:eastAsia="zh-CN"/>
        </w:rPr>
        <w:t>抓斗式</w:t>
      </w:r>
      <w:r>
        <w:rPr>
          <w:rFonts w:ascii="Times New Roman" w:hAnsi="Times New Roman" w:cs="Times New Roman"/>
          <w:caps w:val="0"/>
          <w:smallCaps w:val="0"/>
        </w:rPr>
        <w:t>挖泥船挖泥在枯水时进行。水位很低时，近岸可小部分采用用人工干地开挖，以减轻对水环境的影响。</w:t>
      </w:r>
    </w:p>
    <w:p>
      <w:pPr>
        <w:pStyle w:val="5"/>
        <w:rPr>
          <w:rFonts w:ascii="Times New Roman" w:hAnsi="Times New Roman" w:cs="Times New Roman" w:eastAsiaTheme="minorEastAsia"/>
          <w:b/>
          <w:caps w:val="0"/>
          <w:smallCaps w:val="0"/>
        </w:rPr>
      </w:pPr>
      <w:bookmarkStart w:id="211" w:name="_bookmark101"/>
      <w:bookmarkEnd w:id="211"/>
      <w:bookmarkStart w:id="212" w:name="7.5运行期保护措施"/>
      <w:bookmarkEnd w:id="212"/>
      <w:bookmarkStart w:id="213" w:name="_Toc1866"/>
      <w:r>
        <w:rPr>
          <w:rFonts w:ascii="Times New Roman" w:hAnsi="Times New Roman" w:cs="Times New Roman" w:eastAsiaTheme="minorEastAsia"/>
          <w:b/>
          <w:caps w:val="0"/>
          <w:smallCaps w:val="0"/>
        </w:rPr>
        <w:t>营运期污染防治措施</w:t>
      </w:r>
      <w:bookmarkEnd w:id="213"/>
    </w:p>
    <w:p>
      <w:pPr>
        <w:pStyle w:val="6"/>
        <w:rPr>
          <w:rFonts w:ascii="Times New Roman" w:hAnsi="Times New Roman" w:cs="Times New Roman" w:eastAsiaTheme="minorEastAsia"/>
          <w:caps w:val="0"/>
          <w:smallCaps w:val="0"/>
          <w:color w:val="000000" w:themeColor="text1"/>
          <w14:textFill>
            <w14:solidFill>
              <w14:schemeClr w14:val="tx1"/>
            </w14:solidFill>
          </w14:textFill>
        </w:rPr>
      </w:pPr>
      <w:bookmarkStart w:id="214" w:name="6.2.1废气污染防治措施"/>
      <w:bookmarkEnd w:id="214"/>
      <w:r>
        <w:rPr>
          <w:rFonts w:ascii="Times New Roman" w:hAnsi="Times New Roman" w:cs="Times New Roman" w:eastAsiaTheme="minorEastAsia"/>
          <w:caps w:val="0"/>
          <w:smallCaps w:val="0"/>
          <w:color w:val="000000" w:themeColor="text1"/>
          <w14:textFill>
            <w14:solidFill>
              <w14:schemeClr w14:val="tx1"/>
            </w14:solidFill>
          </w14:textFill>
        </w:rPr>
        <w:t>废水污染防治措施</w:t>
      </w:r>
    </w:p>
    <w:p>
      <w:pPr>
        <w:pStyle w:val="7"/>
        <w:bidi w:val="0"/>
        <w:rPr>
          <w:rFonts w:ascii="Times New Roman" w:hAnsi="Times New Roman" w:cs="Times New Roman"/>
          <w:caps w:val="0"/>
          <w:smallCaps w:val="0"/>
        </w:rPr>
      </w:pPr>
      <w:bookmarkStart w:id="215" w:name="6.2.2.1到港船舶废水"/>
      <w:bookmarkEnd w:id="215"/>
      <w:r>
        <w:rPr>
          <w:rFonts w:ascii="Times New Roman" w:hAnsi="Times New Roman" w:cs="Times New Roman"/>
          <w:caps w:val="0"/>
          <w:smallCaps w:val="0"/>
        </w:rPr>
        <w:t>到港船舶废水</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1、舱底油污水</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本项目营运期到港船舶的舱底油污水主要污染物为石油类。根据《中华人民共和国防止船舶污染内河水域环境管理规定》和《船舶水污染物排放标准》（GB3552-</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2018</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的规定，船舶不仅要设置油污储存舱和装设油水分离设备，还应装有排油监控装置和标准排放接头。根据国际海事组织有关公约规定船舶的污水不能在码头区域排放。根据《船舶与港口污染防治专项行动实施方案（2015-2020年）》：内河港口、码头、装卸站（以下简称港口）、船舶修造厂分别于2017年底前和2020年底前具备船舶含油污水、化学品洗舱水、生活污水和垃圾等接收能力，并做好与城市市政公共处理设施的衔接，全面实现船舶污染物按规定处置。到港船舶本身应配有处理机舱油污水的船用油水分离器，经处理后含油量应小于15mg/L，不得在码头所在江段排放舱底油污水，确需排放的由海事部门环保船进行回收，交由海事部门指定有资质单位进行处理。</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2、船舶生活污水</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本项目船舶生活污水禁止直接向水域排放生活污水，生活污水由船舶交给港口海事部门环保船接收处理。此外，项目建设单位应加强与港监部门的配合，积极做好到港船舶的环保监管工作，严禁向长江水域排放各类污水、倾倒各类固体废物；对没有配备防污设施的船舶按规定进行处理，同时采取相应的补救措施，如提供活动厕所或污水接收容器等；船舶靠港装卸、补给期间，应通过宣传教育，提高船员的节水意识，可显著减少船舶生活污水的排放量；加强船舶靠港装卸、补给期间冲洗设备的定期检査，杜绝“跑、冒、滴、漏”现象，也有利于污水量的最少化。为保证到港船舶污染物不污染码头水域，建议在码头前沿醒目处设置严禁排污的警示牌和标明污染物回收站点的指示牌，并加强与</w:t>
      </w:r>
      <w:r>
        <w:rPr>
          <w:rFonts w:hint="eastAsia" w:ascii="Times New Roman" w:hAnsi="Times New Roman" w:cs="Times New Roman" w:eastAsiaTheme="minorEastAsia"/>
          <w:caps w:val="0"/>
          <w:smallCaps w:val="0"/>
          <w:color w:val="000000" w:themeColor="text1"/>
          <w:kern w:val="0"/>
          <w:sz w:val="24"/>
          <w:szCs w:val="24"/>
          <w14:textFill>
            <w14:solidFill>
              <w14:schemeClr w14:val="tx1"/>
            </w14:solidFill>
          </w14:textFill>
        </w:rPr>
        <w:t>岳阳</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地方海事部门的沟通与协调，加强本码头水域的监管和巡査。</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水污染防治行动计划》（2015）指出：加强船舶港口污染控制，积极治理船舶污染，依法强制报废超过使用年限的船舶。分类分级修订船舶及其设施、设备的相关环保标准。2018年起投入使用的沿海船舶、2021年起投入使用的内河船舶执行新的标准；其他船舶于2020年底前完成改造，经改造仍不能达到要求的，限期予以淘汰。航行于我国水域的国际航线船舶，要实施压载水交换或安装压载水灭活处理系统。规范拆船行为，禁止冲滩拆解。</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增强港口码头污染防治能力。编制实施全国港口、码头、装卸站污染防治方案。加快垃圾接收、转运及处理处置设施建设，提高含油污水接收处置能力及污染事故应急能力。位于沿海和内河的港口、码头、装卸站及船舶修造厂，分别于2017年底前和2020年底前达到建设要求。港口、码头、装卸站的经营人应制定防治船舶及其有关活动污染水环境的应急计划。</w:t>
      </w:r>
    </w:p>
    <w:p>
      <w:pPr>
        <w:pStyle w:val="7"/>
        <w:bidi w:val="0"/>
        <w:rPr>
          <w:rFonts w:ascii="Times New Roman" w:hAnsi="Times New Roman" w:cs="Times New Roman"/>
          <w:caps w:val="0"/>
          <w:smallCaps w:val="0"/>
        </w:rPr>
      </w:pPr>
      <w:bookmarkStart w:id="216" w:name="6.2.2.2港区废水"/>
      <w:bookmarkEnd w:id="216"/>
      <w:r>
        <w:rPr>
          <w:rFonts w:ascii="Times New Roman" w:hAnsi="Times New Roman" w:cs="Times New Roman"/>
          <w:caps w:val="0"/>
          <w:smallCaps w:val="0"/>
        </w:rPr>
        <w:t>港区废水</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趸船冲洗废水</w:t>
      </w:r>
      <w:r>
        <w:rPr>
          <w:rFonts w:hint="eastAsia" w:ascii="Times New Roman" w:hAnsi="Times New Roman" w:cs="Times New Roman" w:eastAsiaTheme="minorEastAsia"/>
          <w:caps w:val="0"/>
          <w:smallCaps w:val="0"/>
          <w:color w:val="000000" w:themeColor="text1"/>
          <w:kern w:val="0"/>
          <w:sz w:val="24"/>
          <w:szCs w:val="24"/>
          <w:lang w:eastAsia="zh-CN"/>
          <w14:textFill>
            <w14:solidFill>
              <w14:schemeClr w14:val="tx1"/>
            </w14:solidFill>
          </w14:textFill>
        </w:rPr>
        <w:t>、初期雨水</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采用排水盖板明沟收集，趸船装卸区四周设收集坎，趸船内设1座容积为25m</w:t>
      </w:r>
      <w:r>
        <w:rPr>
          <w:rFonts w:ascii="Times New Roman" w:hAnsi="Times New Roman" w:cs="Times New Roman" w:eastAsiaTheme="minorEastAsia"/>
          <w:caps w:val="0"/>
          <w:smallCaps w:val="0"/>
          <w:color w:val="000000" w:themeColor="text1"/>
          <w:kern w:val="0"/>
          <w:sz w:val="24"/>
          <w:szCs w:val="24"/>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（5×2.5×2）污水收集箱，收集箱污水</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定期交</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海事部门环保船进行回收。</w:t>
      </w:r>
    </w:p>
    <w:p>
      <w:pPr>
        <w:autoSpaceDE w:val="0"/>
        <w:autoSpaceDN w:val="0"/>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pP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码头生活污水依托海丰物流库区化粪池收集处理，作为周边农田灌溉用水，不外排。</w:t>
      </w:r>
    </w:p>
    <w:p>
      <w:pPr>
        <w:pStyle w:val="7"/>
        <w:bidi w:val="0"/>
        <w:rPr>
          <w:u w:val="single"/>
        </w:rPr>
      </w:pPr>
      <w:r>
        <w:rPr>
          <w:rFonts w:hint="eastAsia"/>
          <w:u w:val="single"/>
          <w:lang w:eastAsia="zh-CN"/>
        </w:rPr>
        <w:t>污水收集箱规格设置合理性分析</w:t>
      </w:r>
    </w:p>
    <w:p>
      <w:pPr>
        <w:rPr>
          <w:rFonts w:hint="eastAsia" w:eastAsiaTheme="minorEastAsia"/>
          <w:u w:val="single"/>
          <w:lang w:val="en-US" w:eastAsia="zh-CN"/>
        </w:rPr>
      </w:pPr>
      <w:r>
        <w:rPr>
          <w:rFonts w:hint="eastAsia"/>
          <w:u w:val="single"/>
          <w:lang w:eastAsia="zh-CN"/>
        </w:rPr>
        <w:t>根据工程分析可知，船舶舱底油污水产生量为</w:t>
      </w:r>
      <w:r>
        <w:rPr>
          <w:rFonts w:hint="eastAsia"/>
          <w:u w:val="single"/>
          <w:lang w:val="en-US" w:eastAsia="zh-CN"/>
        </w:rPr>
        <w:t>0.96t/d、船舶生活污水产生量为0.348t/d，趸船冲洗废水产生量为2t/d、初期雨水污水量为9.72t/次，按照日产污水最大量为13.028t/d，本项目设置25</w:t>
      </w:r>
      <w:r>
        <w:rPr>
          <w:rFonts w:ascii="Times New Roman" w:hAnsi="Times New Roman" w:cs="Times New Roman" w:eastAsiaTheme="minorEastAsia"/>
          <w:caps w:val="0"/>
          <w:smallCaps w:val="0"/>
          <w:color w:val="000000" w:themeColor="text1"/>
          <w:kern w:val="0"/>
          <w:sz w:val="24"/>
          <w:szCs w:val="24"/>
          <w:u w:val="single"/>
          <w14:textFill>
            <w14:solidFill>
              <w14:schemeClr w14:val="tx1"/>
            </w14:solidFill>
          </w14:textFill>
        </w:rPr>
        <w:t>m</w:t>
      </w:r>
      <w:r>
        <w:rPr>
          <w:rFonts w:ascii="Times New Roman" w:hAnsi="Times New Roman" w:cs="Times New Roman" w:eastAsiaTheme="minorEastAsia"/>
          <w:caps w:val="0"/>
          <w:smallCaps w:val="0"/>
          <w:color w:val="000000" w:themeColor="text1"/>
          <w:kern w:val="0"/>
          <w:sz w:val="24"/>
          <w:szCs w:val="24"/>
          <w:u w:val="single"/>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kern w:val="0"/>
          <w:sz w:val="24"/>
          <w:szCs w:val="24"/>
          <w:u w:val="single"/>
          <w14:textFill>
            <w14:solidFill>
              <w14:schemeClr w14:val="tx1"/>
            </w14:solidFill>
          </w14:textFill>
        </w:rPr>
        <w:t>污水收集箱</w:t>
      </w:r>
      <w:r>
        <w:rPr>
          <w:rFonts w:hint="eastAsia" w:cs="Times New Roman" w:eastAsiaTheme="minorEastAsia"/>
          <w:caps w:val="0"/>
          <w:smallCaps w:val="0"/>
          <w:color w:val="000000" w:themeColor="text1"/>
          <w:kern w:val="0"/>
          <w:sz w:val="24"/>
          <w:szCs w:val="24"/>
          <w:u w:val="single"/>
          <w:lang w:eastAsia="zh-CN"/>
          <w14:textFill>
            <w14:solidFill>
              <w14:schemeClr w14:val="tx1"/>
            </w14:solidFill>
          </w14:textFill>
        </w:rPr>
        <w:t>，可满足项目污水收集，设置合理。</w:t>
      </w:r>
    </w:p>
    <w:p>
      <w:pPr>
        <w:pStyle w:val="7"/>
        <w:bidi w:val="0"/>
        <w:rPr>
          <w:rFonts w:ascii="Times New Roman" w:hAnsi="Times New Roman" w:cs="Times New Roman"/>
          <w:caps w:val="0"/>
          <w:smallCaps w:val="0"/>
        </w:rPr>
      </w:pPr>
      <w:bookmarkStart w:id="217" w:name="6.2.2.3废水依托可行性分析"/>
      <w:bookmarkEnd w:id="217"/>
      <w:r>
        <w:rPr>
          <w:rFonts w:ascii="Times New Roman" w:hAnsi="Times New Roman" w:cs="Times New Roman"/>
          <w:caps w:val="0"/>
          <w:smallCaps w:val="0"/>
        </w:rPr>
        <w:t>废水依托可行性分析</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本码头为现有在运行码头，提质改造后，码头工作人员不新增，生活污水完全可以依托现有库区的化粪池收集处理。</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bookmarkStart w:id="218" w:name="6.2.2.4废水处理措施可行性分析"/>
      <w:bookmarkEnd w:id="218"/>
      <w:bookmarkStart w:id="219" w:name="6.2.2.5废水排放去向可行性分析"/>
      <w:bookmarkEnd w:id="219"/>
      <w:r>
        <w:rPr>
          <w:rFonts w:ascii="Times New Roman" w:hAnsi="Times New Roman" w:cs="Times New Roman" w:eastAsiaTheme="minorEastAsia"/>
          <w:caps w:val="0"/>
          <w:smallCaps w:val="0"/>
          <w:color w:val="000000" w:themeColor="text1"/>
          <w14:textFill>
            <w14:solidFill>
              <w14:schemeClr w14:val="tx1"/>
            </w14:solidFill>
          </w14:textFill>
        </w:rPr>
        <w:t>地下水污染防治措施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地下水污染防治措施按照“源头控制、末端控制、分区防控、污染监控、应急响应”原则进行设计，从污染物的产生、入渗、扩散、应急响应全阶段进行控制。</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1、加强源头控制</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在工艺、管道、设备及处理构筑物采取相应措施，防止和降低污染物跑、冒、滴、漏，将污染物泄漏的环境风险事故降到最低程度；管线敷设尽量采用“可视化”原则，即管道尽可能地上或架空敷设，做到污染物“早发现、早处理”，减少由于埋地管道泄漏而造成的地下水污染。</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2、实施分区防治措施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主要包括管线污染区地面的防渗措施和泄漏、渗漏污染物收集措施，即在污染区地面进行防渗处理，防止洒落地面的污染物渗入地下，并把滞留在地面的污染物收集起来，集中处理；末端控制采取分区防渗，重点污染防治区、一般污染防治区和非污染防治区防渗措施有区别的防渗原则。项目防渗分区的划分如下：</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⑴</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重点污染防治区</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指对地下水环境有污染的物料或污染物泄漏后，不能发现和处理的区域或部位。主要包括输</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送</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管线、危废暂存间等。</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⑵</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一般污染防治区</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指对地下水环境有污染的物料或污染物泄漏后，容易发现和可及时处理的区域或部位。主要包括泵组、管道等。</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⑶</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非污染防治区</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指没有污染物泄漏或泄漏物不会对地下水环境造成污染的区域或部位。主要包括综合用房、绿化区等。根据各功能分区特点及产排污特征，确定本项目地下水环境污染防治分为：重点污染防治区、一般污染防治区及非污染防治区。</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⑷</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防渗标准</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重点污染防渗区的防渗性能不应低于6.0m厚渗透系数为1.0×10</w:t>
      </w:r>
      <w:r>
        <w:rPr>
          <w:rFonts w:ascii="Times New Roman" w:hAnsi="Times New Roman" w:cs="Times New Roman" w:eastAsiaTheme="minorEastAsia"/>
          <w:caps w:val="0"/>
          <w:smallCaps w:val="0"/>
          <w:color w:val="000000" w:themeColor="text1"/>
          <w:kern w:val="0"/>
          <w:sz w:val="24"/>
          <w:szCs w:val="24"/>
          <w:vertAlign w:val="superscript"/>
          <w14:textFill>
            <w14:solidFill>
              <w14:schemeClr w14:val="tx1"/>
            </w14:solidFill>
          </w14:textFill>
        </w:rPr>
        <w:t>-7</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cm/s的黏土层的防渗性能，一般污染防渗区的防渗性能不应低于1.5m厚渗透系数为1.0×10</w:t>
      </w:r>
      <w:r>
        <w:rPr>
          <w:rFonts w:ascii="Times New Roman" w:hAnsi="Times New Roman" w:cs="Times New Roman" w:eastAsiaTheme="minorEastAsia"/>
          <w:caps w:val="0"/>
          <w:smallCaps w:val="0"/>
          <w:color w:val="000000" w:themeColor="text1"/>
          <w:kern w:val="0"/>
          <w:sz w:val="24"/>
          <w:szCs w:val="24"/>
          <w:vertAlign w:val="superscript"/>
          <w14:textFill>
            <w14:solidFill>
              <w14:schemeClr w14:val="tx1"/>
            </w14:solidFill>
          </w14:textFill>
        </w:rPr>
        <w:t>-7</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cm/s的黏土层的防渗性能，防渗层由单一或多种防渗材料组成，污染防治区地面坡向排水口或排水沟。</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⑸</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防渗措施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重点污染防渗区：参照《危险废物贮存污染控制标准》（GB18597-2001）执行地面防渗设计。采用50cm厚粘土层加2mm的HDPE土工膜进行人工防渗，保证防渗层的渗透系数应小于1.0×10</w:t>
      </w:r>
      <w:r>
        <w:rPr>
          <w:rFonts w:ascii="Times New Roman" w:hAnsi="Times New Roman" w:cs="Times New Roman" w:eastAsiaTheme="minorEastAsia"/>
          <w:caps w:val="0"/>
          <w:smallCaps w:val="0"/>
          <w:color w:val="000000" w:themeColor="text1"/>
          <w:kern w:val="0"/>
          <w:sz w:val="24"/>
          <w:szCs w:val="24"/>
          <w:vertAlign w:val="superscript"/>
          <w14:textFill>
            <w14:solidFill>
              <w14:schemeClr w14:val="tx1"/>
            </w14:solidFill>
          </w14:textFill>
        </w:rPr>
        <w:t>-7</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cm/s。</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一般污染防渗区：参照《</w:t>
      </w:r>
      <w:r>
        <w:rPr>
          <w:rFonts w:hint="eastAsia" w:ascii="Times New Roman" w:hAnsi="Times New Roman" w:cs="Times New Roman" w:eastAsiaTheme="minorEastAsia"/>
          <w:caps w:val="0"/>
          <w:smallCaps w:val="0"/>
          <w:color w:val="000000" w:themeColor="text1"/>
          <w:kern w:val="0"/>
          <w:sz w:val="24"/>
          <w:szCs w:val="24"/>
          <w14:textFill>
            <w14:solidFill>
              <w14:schemeClr w14:val="tx1"/>
            </w14:solidFill>
          </w14:textFill>
        </w:rPr>
        <w:t>一般工业固体废物贮存和填埋污染控制标准</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》（GB18599-20</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20</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w:t>
      </w:r>
      <w:r>
        <w:rPr>
          <w:rFonts w:hint="eastAsia" w:ascii="Times New Roman" w:hAnsi="Times New Roman" w:cs="Times New Roman" w:eastAsiaTheme="minorEastAsia"/>
          <w:caps w:val="0"/>
          <w:smallCaps w:val="0"/>
          <w:color w:val="000000" w:themeColor="text1"/>
          <w:kern w:val="0"/>
          <w:sz w:val="24"/>
          <w:szCs w:val="24"/>
          <w14:textFill>
            <w14:solidFill>
              <w14:schemeClr w14:val="tx1"/>
            </w14:solidFill>
          </w14:textFill>
        </w:rPr>
        <w:t>Ⅱ</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类场进行设计。当天然基础层的渗透系数大于1.0×10</w:t>
      </w:r>
      <w:r>
        <w:rPr>
          <w:rFonts w:ascii="Times New Roman" w:hAnsi="Times New Roman" w:cs="Times New Roman" w:eastAsiaTheme="minorEastAsia"/>
          <w:caps w:val="0"/>
          <w:smallCaps w:val="0"/>
          <w:color w:val="000000" w:themeColor="text1"/>
          <w:kern w:val="0"/>
          <w:sz w:val="24"/>
          <w:szCs w:val="24"/>
          <w:vertAlign w:val="superscript"/>
          <w14:textFill>
            <w14:solidFill>
              <w14:schemeClr w14:val="tx1"/>
            </w14:solidFill>
          </w14:textFill>
        </w:rPr>
        <w:t>-7</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cm/s时，应采用天然或人工材料建筑防渗层，防渗层的厚度相当于渗透系数1.0×10</w:t>
      </w:r>
      <w:r>
        <w:rPr>
          <w:rFonts w:ascii="Times New Roman" w:hAnsi="Times New Roman" w:cs="Times New Roman" w:eastAsiaTheme="minorEastAsia"/>
          <w:caps w:val="0"/>
          <w:smallCaps w:val="0"/>
          <w:color w:val="000000" w:themeColor="text1"/>
          <w:kern w:val="0"/>
          <w:sz w:val="24"/>
          <w:szCs w:val="24"/>
          <w:vertAlign w:val="superscript"/>
          <w14:textFill>
            <w14:solidFill>
              <w14:schemeClr w14:val="tx1"/>
            </w14:solidFill>
          </w14:textFill>
        </w:rPr>
        <w:t>-7</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cm/s和1.5m的粘土层的防渗性能。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非污染防治区：不采取专门针对地下水污染的防治措施。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3、地下水污染监控。定期对管道周边地下水上下游地区进行水质监测，一旦发现有污染地下水现象应立即排查污染源，对污染源头进行治理，对已污染地下水应进行抽水净化，对受到污染的包气带土壤应进行换土。</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4、风险事故应急响应。一旦通过监测等手段确定区域地下水受到污染，特别是检出和本项目相关的特征污染因子，建设单位应立即停止运输并向环境保护行政主管部门报告，检查排查管道是否存在渗漏点导致地下水污染。</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废气污染防治措施</w:t>
      </w:r>
    </w:p>
    <w:p>
      <w:pPr>
        <w:pStyle w:val="7"/>
        <w:bidi w:val="0"/>
        <w:rPr>
          <w:rFonts w:ascii="Times New Roman" w:hAnsi="Times New Roman" w:cs="Times New Roman"/>
          <w:caps w:val="0"/>
          <w:smallCaps w:val="0"/>
        </w:rPr>
      </w:pPr>
      <w:r>
        <w:rPr>
          <w:rFonts w:hint="eastAsia" w:ascii="Times New Roman" w:hAnsi="Times New Roman" w:cs="Times New Roman"/>
          <w:caps w:val="0"/>
          <w:smallCaps w:val="0"/>
        </w:rPr>
        <w:t>废气防治措施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对于装卸过程因物料挥发或物料滴漏而散发的无组织排放的废气，建设方采取的主要措施包括：</w:t>
      </w:r>
    </w:p>
    <w:p>
      <w:pPr>
        <w:autoSpaceDE w:val="0"/>
        <w:autoSpaceDN w:val="0"/>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⑴</w:t>
      </w:r>
      <w:r>
        <w:rPr>
          <w:rFonts w:hint="eastAsia" w:ascii="Times New Roman" w:hAnsi="Times New Roman" w:cs="Times New Roman" w:eastAsiaTheme="minorEastAsia"/>
          <w:caps w:val="0"/>
          <w:smallCaps w:val="0"/>
          <w:color w:val="000000" w:themeColor="text1"/>
          <w:kern w:val="0"/>
          <w:sz w:val="24"/>
          <w:szCs w:val="24"/>
          <w:lang w:eastAsia="zh-CN"/>
          <w14:textFill>
            <w14:solidFill>
              <w14:schemeClr w14:val="tx1"/>
            </w14:solidFill>
          </w14:textFill>
        </w:rPr>
        <w:t>船运沥青</w:t>
      </w:r>
      <w:r>
        <w:rPr>
          <w:rFonts w:hint="eastAsia" w:cs="Times New Roman" w:eastAsiaTheme="minorEastAsia"/>
          <w:caps w:val="0"/>
          <w:smallCaps w:val="0"/>
          <w:color w:val="000000" w:themeColor="text1"/>
          <w:kern w:val="0"/>
          <w:sz w:val="24"/>
          <w:szCs w:val="24"/>
          <w:lang w:eastAsia="zh-CN"/>
          <w14:textFill>
            <w14:solidFill>
              <w14:schemeClr w14:val="tx1"/>
            </w14:solidFill>
          </w14:textFill>
        </w:rPr>
        <w:t>装卸</w:t>
      </w:r>
      <w:r>
        <w:rPr>
          <w:rFonts w:hint="eastAsia" w:ascii="Times New Roman" w:hAnsi="Times New Roman" w:cs="Times New Roman" w:eastAsiaTheme="minorEastAsia"/>
          <w:caps w:val="0"/>
          <w:smallCaps w:val="0"/>
          <w:color w:val="000000" w:themeColor="text1"/>
          <w:kern w:val="0"/>
          <w:sz w:val="24"/>
          <w:szCs w:val="24"/>
          <w:lang w:eastAsia="zh-CN"/>
          <w14:textFill>
            <w14:solidFill>
              <w14:schemeClr w14:val="tx1"/>
            </w14:solidFill>
          </w14:textFill>
        </w:rPr>
        <w:t>废气依托现有库区现有管道</w:t>
      </w:r>
      <w:r>
        <w:rPr>
          <w:rFonts w:hint="default" w:ascii="Times New Roman" w:hAnsi="Times New Roman" w:eastAsia="宋体" w:cs="Times New Roman"/>
          <w:caps w:val="0"/>
          <w:smallCaps w:val="0"/>
          <w:snapToGrid w:val="0"/>
          <w:color w:val="000000"/>
          <w:kern w:val="0"/>
          <w:sz w:val="24"/>
          <w:szCs w:val="24"/>
        </w:rPr>
        <w:t>收集后经过滤箱冷凝（旋流塔，以水作为冷凝）+高压电捕+UV光解+活性炭吸附处理后经</w:t>
      </w:r>
      <w:r>
        <w:rPr>
          <w:rFonts w:hint="eastAsia" w:ascii="Times New Roman" w:hAnsi="Times New Roman" w:cs="Times New Roman"/>
          <w:caps w:val="0"/>
          <w:smallCaps w:val="0"/>
          <w:snapToGrid w:val="0"/>
          <w:color w:val="000000"/>
          <w:kern w:val="0"/>
          <w:sz w:val="24"/>
          <w:szCs w:val="24"/>
          <w:lang w:val="en-US" w:eastAsia="zh-CN"/>
        </w:rPr>
        <w:t>30</w:t>
      </w:r>
      <w:r>
        <w:rPr>
          <w:rFonts w:hint="default" w:ascii="Times New Roman" w:hAnsi="Times New Roman" w:eastAsia="宋体" w:cs="Times New Roman"/>
          <w:caps w:val="0"/>
          <w:smallCaps w:val="0"/>
          <w:snapToGrid w:val="0"/>
          <w:color w:val="000000"/>
          <w:kern w:val="0"/>
          <w:sz w:val="24"/>
          <w:szCs w:val="24"/>
        </w:rPr>
        <w:t>米高排气筒外排</w:t>
      </w:r>
      <w:r>
        <w:rPr>
          <w:rFonts w:hint="eastAsia" w:ascii="Times New Roman" w:hAnsi="Times New Roman" w:cs="Times New Roman"/>
          <w:caps w:val="0"/>
          <w:smallCaps w:val="0"/>
          <w:snapToGrid w:val="0"/>
          <w:color w:val="000000"/>
          <w:kern w:val="0"/>
          <w:sz w:val="24"/>
          <w:szCs w:val="24"/>
          <w:lang w:val="en-US" w:eastAsia="zh-CN"/>
        </w:rPr>
        <w:t>；</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⑵采用先进的装卸设备设施与材料，确保阀门、法兰片、管道之间的密封性，并加强装卸设备设施的使用、管理和维护，使之经常处于良好状态，真正起到降低蒸发损失的作用。</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⑶装卸采用浸没式作业方式，把输液管伸入到船舱底部，使</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沥青</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液面缓慢下降，以减少液体的飞溅；同时控制装卸的温度和流速，介质温度高，易挥发；流速快，压力高，喷溅；搅动大，造成的损耗也大。</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lang w:val="zh-CN"/>
          <w14:textFill>
            <w14:solidFill>
              <w14:schemeClr w14:val="tx1"/>
            </w14:solidFill>
          </w14:textFill>
        </w:rPr>
        <w:t>⑷</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沥青装卸完成后，用压缩空气对管线进行吹扫，吹扫方向为由装卸船到储罐，这样既可最大限度回收原料，也最大限度减少废气的无组织外泄。</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⑸</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卸船</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时尽量加大泵的流量，使油品来不及大量蒸发从而减少损耗；</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(6)</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为了防止</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沥青</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在输送过程中泄漏对大气的污染，选用性能、材料良好的输液设备、管道、阀门。运营中必须重视设备管线的日常维护、管理，提高设备运行的完好率，杜绝管线、阀门的跑、冒、滴、漏。</w:t>
      </w:r>
    </w:p>
    <w:p>
      <w:pPr>
        <w:pStyle w:val="7"/>
        <w:bidi w:val="0"/>
        <w:rPr>
          <w:rFonts w:ascii="Times New Roman" w:hAnsi="Times New Roman" w:cs="Times New Roman"/>
          <w:caps w:val="0"/>
          <w:smallCaps w:val="0"/>
        </w:rPr>
      </w:pPr>
      <w:r>
        <w:rPr>
          <w:rFonts w:hint="eastAsia" w:ascii="Times New Roman" w:hAnsi="Times New Roman" w:cs="Times New Roman"/>
          <w:caps w:val="0"/>
          <w:smallCaps w:val="0"/>
        </w:rPr>
        <w:t>废气防治</w:t>
      </w:r>
      <w:r>
        <w:rPr>
          <w:rFonts w:hint="eastAsia" w:ascii="Times New Roman" w:hAnsi="Times New Roman" w:cs="Times New Roman"/>
          <w:caps w:val="0"/>
          <w:smallCaps w:val="0"/>
          <w:lang w:eastAsia="zh-CN"/>
        </w:rPr>
        <w:t>设施可依托性</w:t>
      </w:r>
    </w:p>
    <w:p>
      <w:pPr>
        <w:pStyle w:val="69"/>
        <w:rPr>
          <w:rFonts w:hint="eastAsia" w:ascii="Times New Roman" w:hAnsi="Times New Roman" w:cs="Times New Roman"/>
          <w:caps w:val="0"/>
          <w:smallCaps w:val="0"/>
          <w:snapToGrid w:val="0"/>
          <w:color w:val="000000"/>
          <w:kern w:val="0"/>
          <w:sz w:val="24"/>
          <w:szCs w:val="24"/>
          <w:lang w:eastAsia="zh-CN"/>
        </w:rPr>
      </w:pPr>
      <w:r>
        <w:rPr>
          <w:rFonts w:hint="eastAsia" w:ascii="Times New Roman" w:hAnsi="Times New Roman" w:cs="Times New Roman"/>
          <w:caps w:val="0"/>
          <w:smallCaps w:val="0"/>
          <w:lang w:eastAsia="zh-CN"/>
        </w:rPr>
        <w:t>本项目沥青卸船产生的废气经</w:t>
      </w:r>
      <w:r>
        <w:rPr>
          <w:rFonts w:hint="eastAsia" w:ascii="Times New Roman" w:hAnsi="Times New Roman" w:cs="Times New Roman" w:eastAsiaTheme="minorEastAsia"/>
          <w:caps w:val="0"/>
          <w:smallCaps w:val="0"/>
          <w:color w:val="000000" w:themeColor="text1"/>
          <w:kern w:val="0"/>
          <w:sz w:val="24"/>
          <w:szCs w:val="24"/>
          <w:lang w:eastAsia="zh-CN"/>
          <w14:textFill>
            <w14:solidFill>
              <w14:schemeClr w14:val="tx1"/>
            </w14:solidFill>
          </w14:textFill>
        </w:rPr>
        <w:t>现有库区现有管道</w:t>
      </w:r>
      <w:r>
        <w:rPr>
          <w:rFonts w:hint="default" w:ascii="Times New Roman" w:hAnsi="Times New Roman" w:eastAsia="宋体" w:cs="Times New Roman"/>
          <w:caps w:val="0"/>
          <w:smallCaps w:val="0"/>
          <w:snapToGrid w:val="0"/>
          <w:color w:val="000000"/>
          <w:kern w:val="0"/>
          <w:sz w:val="24"/>
          <w:szCs w:val="24"/>
        </w:rPr>
        <w:t>收集后</w:t>
      </w:r>
      <w:r>
        <w:rPr>
          <w:rFonts w:hint="eastAsia" w:ascii="Times New Roman" w:hAnsi="Times New Roman" w:cs="Times New Roman"/>
          <w:caps w:val="0"/>
          <w:smallCaps w:val="0"/>
          <w:snapToGrid w:val="0"/>
          <w:color w:val="000000"/>
          <w:kern w:val="0"/>
          <w:sz w:val="24"/>
          <w:szCs w:val="24"/>
          <w:lang w:eastAsia="zh-CN"/>
        </w:rPr>
        <w:t>通过</w:t>
      </w:r>
      <w:r>
        <w:rPr>
          <w:rFonts w:hint="default" w:ascii="Times New Roman" w:hAnsi="Times New Roman" w:eastAsia="宋体" w:cs="Times New Roman"/>
          <w:caps w:val="0"/>
          <w:smallCaps w:val="0"/>
          <w:snapToGrid w:val="0"/>
          <w:color w:val="000000"/>
          <w:kern w:val="0"/>
          <w:sz w:val="24"/>
          <w:szCs w:val="24"/>
        </w:rPr>
        <w:t>滤箱冷凝（旋流塔，以水作为冷凝）+高压电捕+UV光解+活性炭吸附处理</w:t>
      </w:r>
      <w:r>
        <w:rPr>
          <w:rFonts w:hint="eastAsia" w:ascii="Times New Roman" w:hAnsi="Times New Roman" w:cs="Times New Roman"/>
          <w:caps w:val="0"/>
          <w:smallCaps w:val="0"/>
          <w:snapToGrid w:val="0"/>
          <w:color w:val="000000"/>
          <w:kern w:val="0"/>
          <w:sz w:val="24"/>
          <w:szCs w:val="24"/>
          <w:lang w:eastAsia="zh-CN"/>
        </w:rPr>
        <w:t>后</w:t>
      </w:r>
      <w:r>
        <w:rPr>
          <w:rFonts w:hint="eastAsia" w:ascii="Times New Roman" w:hAnsi="Times New Roman" w:cs="Times New Roman"/>
          <w:caps w:val="0"/>
          <w:smallCaps w:val="0"/>
          <w:snapToGrid w:val="0"/>
          <w:color w:val="000000"/>
          <w:kern w:val="0"/>
          <w:sz w:val="24"/>
          <w:szCs w:val="24"/>
          <w:lang w:val="en-US" w:eastAsia="zh-CN"/>
        </w:rPr>
        <w:t>30</w:t>
      </w:r>
      <w:r>
        <w:rPr>
          <w:rFonts w:hint="default" w:ascii="Times New Roman" w:hAnsi="Times New Roman" w:eastAsia="宋体" w:cs="Times New Roman"/>
          <w:caps w:val="0"/>
          <w:smallCaps w:val="0"/>
          <w:snapToGrid w:val="0"/>
          <w:color w:val="000000"/>
          <w:kern w:val="0"/>
          <w:sz w:val="24"/>
          <w:szCs w:val="24"/>
        </w:rPr>
        <w:t>米高排气筒外排</w:t>
      </w:r>
      <w:r>
        <w:rPr>
          <w:rFonts w:hint="eastAsia" w:ascii="Times New Roman" w:hAnsi="Times New Roman" w:cs="Times New Roman"/>
          <w:caps w:val="0"/>
          <w:smallCaps w:val="0"/>
          <w:snapToGrid w:val="0"/>
          <w:color w:val="000000"/>
          <w:kern w:val="0"/>
          <w:sz w:val="24"/>
          <w:szCs w:val="24"/>
          <w:lang w:eastAsia="zh-CN"/>
        </w:rPr>
        <w:t>。</w:t>
      </w:r>
    </w:p>
    <w:p>
      <w:pPr>
        <w:spacing w:line="360" w:lineRule="auto"/>
        <w:ind w:firstLine="480"/>
        <w:jc w:val="left"/>
        <w:rPr>
          <w:rFonts w:hint="eastAsia" w:ascii="Times New Roman" w:hAnsi="Times New Roman" w:cs="Times New Roman"/>
          <w:caps w:val="0"/>
          <w:smallCaps w:val="0"/>
          <w:sz w:val="24"/>
          <w:lang w:eastAsia="zh-CN"/>
        </w:rPr>
      </w:pPr>
      <w:r>
        <w:rPr>
          <w:rFonts w:hint="default" w:ascii="Times New Roman" w:hAnsi="Times New Roman" w:cs="Times New Roman"/>
          <w:caps w:val="0"/>
          <w:smallCaps w:val="0"/>
          <w:sz w:val="24"/>
          <w:highlight w:val="none"/>
          <w:lang w:val="en-US" w:eastAsia="zh-CN"/>
        </w:rPr>
        <w:t>根据湖南宏润检测有限公司</w:t>
      </w:r>
      <w:r>
        <w:rPr>
          <w:rFonts w:hint="eastAsia" w:ascii="Times New Roman" w:hAnsi="Times New Roman" w:cs="Times New Roman"/>
          <w:caps w:val="0"/>
          <w:smallCaps w:val="0"/>
          <w:sz w:val="24"/>
          <w:highlight w:val="none"/>
          <w:lang w:val="en-US" w:eastAsia="zh-CN"/>
        </w:rPr>
        <w:t>2019年</w:t>
      </w:r>
      <w:r>
        <w:rPr>
          <w:rFonts w:hint="default" w:ascii="Times New Roman" w:hAnsi="Times New Roman" w:cs="Times New Roman"/>
          <w:caps w:val="0"/>
          <w:smallCaps w:val="0"/>
          <w:sz w:val="24"/>
          <w:highlight w:val="none"/>
          <w:lang w:val="en-US" w:eastAsia="zh-CN"/>
        </w:rPr>
        <w:t>编制的</w:t>
      </w:r>
      <w:r>
        <w:rPr>
          <w:rFonts w:hint="eastAsia" w:ascii="Times New Roman" w:hAnsi="Times New Roman" w:cs="Times New Roman"/>
          <w:caps w:val="0"/>
          <w:smallCaps w:val="0"/>
          <w:sz w:val="24"/>
          <w:highlight w:val="none"/>
          <w:lang w:val="en-US" w:eastAsia="zh-CN"/>
        </w:rPr>
        <w:t>《</w:t>
      </w:r>
      <w:r>
        <w:rPr>
          <w:rFonts w:hint="default" w:ascii="Times New Roman" w:hAnsi="Times New Roman" w:cs="Times New Roman"/>
          <w:caps w:val="0"/>
          <w:smallCaps w:val="0"/>
          <w:sz w:val="24"/>
          <w:highlight w:val="none"/>
          <w:lang w:val="en-US" w:eastAsia="zh-CN"/>
        </w:rPr>
        <w:t>湖南海丰物流有限公司2017年度库区改扩建工程竣工环境保护验收监测报告表</w:t>
      </w:r>
      <w:r>
        <w:rPr>
          <w:rFonts w:hint="eastAsia" w:ascii="Times New Roman" w:hAnsi="Times New Roman" w:cs="Times New Roman"/>
          <w:caps w:val="0"/>
          <w:smallCaps w:val="0"/>
          <w:sz w:val="24"/>
          <w:highlight w:val="none"/>
          <w:lang w:val="en-US" w:eastAsia="zh-CN"/>
        </w:rPr>
        <w:t>》</w:t>
      </w:r>
      <w:r>
        <w:rPr>
          <w:rFonts w:hint="default" w:ascii="Times New Roman" w:hAnsi="Times New Roman" w:cs="Times New Roman"/>
          <w:caps w:val="0"/>
          <w:smallCaps w:val="0"/>
          <w:sz w:val="24"/>
          <w:highlight w:val="none"/>
          <w:lang w:val="en-US" w:eastAsia="zh-CN"/>
        </w:rPr>
        <w:t>，对企业排放大气污染物监测结果</w:t>
      </w:r>
      <w:r>
        <w:rPr>
          <w:rFonts w:hint="eastAsia" w:ascii="Times New Roman" w:hAnsi="Times New Roman" w:cs="Times New Roman"/>
          <w:caps w:val="0"/>
          <w:smallCaps w:val="0"/>
          <w:sz w:val="24"/>
          <w:highlight w:val="none"/>
          <w:lang w:val="en-US" w:eastAsia="zh-CN"/>
        </w:rPr>
        <w:t>（详见表3.1-2）</w:t>
      </w:r>
      <w:r>
        <w:rPr>
          <w:rFonts w:hint="default" w:ascii="Times New Roman" w:hAnsi="Times New Roman" w:cs="Times New Roman"/>
          <w:caps w:val="0"/>
          <w:smallCaps w:val="0"/>
          <w:sz w:val="24"/>
          <w:highlight w:val="none"/>
          <w:lang w:val="en-US" w:eastAsia="zh-CN"/>
        </w:rPr>
        <w:t>，</w:t>
      </w:r>
      <w:r>
        <w:rPr>
          <w:rFonts w:hint="eastAsia" w:ascii="Times New Roman" w:hAnsi="Times New Roman" w:cs="Times New Roman"/>
          <w:caps w:val="0"/>
          <w:smallCaps w:val="0"/>
          <w:sz w:val="24"/>
          <w:highlight w:val="none"/>
          <w:lang w:val="en-US" w:eastAsia="zh-CN"/>
        </w:rPr>
        <w:t>沥青卸载、沥青罐呼吸废气中</w:t>
      </w:r>
      <w:r>
        <w:rPr>
          <w:rFonts w:hint="default" w:ascii="Times New Roman" w:hAnsi="Times New Roman" w:cs="Times New Roman"/>
          <w:caps w:val="0"/>
          <w:smallCaps w:val="0"/>
          <w:sz w:val="24"/>
          <w:highlight w:val="none"/>
          <w:lang w:val="en-US" w:eastAsia="zh-CN"/>
        </w:rPr>
        <w:t>污染物排放均满足相应标准要求</w:t>
      </w:r>
      <w:r>
        <w:rPr>
          <w:rFonts w:hint="default" w:ascii="Times New Roman" w:hAnsi="Times New Roman" w:cs="Times New Roman"/>
          <w:caps w:val="0"/>
          <w:smallCaps w:val="0"/>
          <w:sz w:val="24"/>
          <w:highlight w:val="none"/>
          <w:lang w:eastAsia="zh-CN"/>
        </w:rPr>
        <w:t>。</w:t>
      </w:r>
      <w:r>
        <w:rPr>
          <w:rFonts w:hint="eastAsia" w:ascii="Times New Roman" w:hAnsi="Times New Roman" w:cs="Times New Roman"/>
          <w:caps w:val="0"/>
          <w:smallCaps w:val="0"/>
          <w:sz w:val="24"/>
          <w:highlight w:val="none"/>
          <w:lang w:eastAsia="zh-CN"/>
        </w:rPr>
        <w:t>因此，本项目依托现有沥青有机废处理设施可行。</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bookmarkStart w:id="220" w:name="6.2.3噪声污染防治措施"/>
      <w:bookmarkEnd w:id="220"/>
      <w:bookmarkStart w:id="221" w:name="6.2.2废水污染防治措施"/>
      <w:bookmarkEnd w:id="221"/>
      <w:r>
        <w:rPr>
          <w:rFonts w:ascii="Times New Roman" w:hAnsi="Times New Roman" w:cs="Times New Roman" w:eastAsiaTheme="minorEastAsia"/>
          <w:caps w:val="0"/>
          <w:smallCaps w:val="0"/>
          <w:color w:val="000000" w:themeColor="text1"/>
          <w14:textFill>
            <w14:solidFill>
              <w14:schemeClr w14:val="tx1"/>
            </w14:solidFill>
          </w14:textFill>
        </w:rPr>
        <w:t>噪声污染防治措施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项目营运期间的噪声主要来源于卸油泵、船舶发动机和船舶鸣号产生的交通噪声等。船舶发动机噪声源强可达80~90分贝，一般停靠港后不开动发动机，所以影响不大。船舶鸣笛为突发性噪声，主要采取船舶按照规定进行鸣笛的措施来减轻船舶鸣笛噪声影响。</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1、噪声源控制</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⑴</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选用低噪声机械设备；</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⑵</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设专人对机械设备进行定期保养和维护，并负责对工作人员进行培训，严格按操作规范使用各类机械；</w:t>
      </w:r>
    </w:p>
    <w:p>
      <w:pPr>
        <w:autoSpaceDE w:val="0"/>
        <w:autoSpaceDN w:val="0"/>
        <w:adjustRightInd w:val="0"/>
        <w:snapToGrid w:val="0"/>
        <w:spacing w:line="360" w:lineRule="auto"/>
        <w:ind w:firstLine="480" w:firstLineChars="200"/>
        <w:rPr>
          <w:rFonts w:hint="default"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⑶</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船舶进入港区禁止鸣笛，并安排专人通过通信设施或其他设施方法引导，确保船舶航行安全；</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船舶靠港后使用岸电，不启动发动机。</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⑷</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流动性设备尽可能远离厂界运行，以增大其噪声衰减距离；</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⑸</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加强港区附近交通管理，避免交通阻塞而增加车辆噪声。</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2、装卸产生的瞬时突发噪声</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可以通过绿化带、建筑物隔声减噪8~10dB</w:t>
      </w:r>
      <w:r>
        <w:rPr>
          <w:rFonts w:ascii="Times New Roman" w:hAnsi="Times New Roman" w:cs="Times New Roman"/>
          <w:caps w:val="0"/>
          <w:smallCaps w:val="0"/>
          <w:sz w:val="24"/>
          <w:szCs w:val="24"/>
        </w:rPr>
        <w:t>(A)</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，且建议采取以下管理控制措施：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⑴</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严格遵守设备及装卸操作规范，防止因误操作而产生异常噪音，做到轻拿轻放。</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⑵</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定期对设备的主要部件进行维修和保养，保持其技术性能良好，使其排放的噪声符合有关技术标准。</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⑶</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检查设备的状态时，注重对其噪声的监测，对超过噪声排放标准的设备及时采取控制措施。</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⑷</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加强设备的检查工作，遇到突发情况时，及时修理产生异常噪音的车辆、机械设备，缩短异常噪音的排放时间。</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⑸</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船舶噪声主要有船舶发动机的移动噪声和船舶的汽笛声，均为间歇性噪声源，其中汽笛声为突发性噪声。主要采取的措施有：船舶发动机噪声主要采用停港即停机，减少停靠时间等方法减少发声时间，船舶汽笛按照规定进行鸣笛。</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通过采取上述治理措施后，可确保所有厂界噪声排放均达到《工业企业厂界环境噪声排放标准》（GB12348-2008）相应的2、4类标准要求。噪声治理措施容易实施，所需费用较少，在经济上是可行的，其防治措施可行。</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bookmarkStart w:id="222" w:name="6.2.4固体废物污染防治措施"/>
      <w:bookmarkEnd w:id="222"/>
      <w:r>
        <w:rPr>
          <w:rFonts w:ascii="Times New Roman" w:hAnsi="Times New Roman" w:cs="Times New Roman" w:eastAsiaTheme="minorEastAsia"/>
          <w:caps w:val="0"/>
          <w:smallCaps w:val="0"/>
          <w:color w:val="000000" w:themeColor="text1"/>
          <w14:textFill>
            <w14:solidFill>
              <w14:schemeClr w14:val="tx1"/>
            </w14:solidFill>
          </w14:textFill>
        </w:rPr>
        <w:t>固体废物污染防治措施</w:t>
      </w:r>
    </w:p>
    <w:p>
      <w:pPr>
        <w:autoSpaceDE w:val="0"/>
        <w:autoSpaceDN w:val="0"/>
        <w:adjustRightInd w:val="0"/>
        <w:snapToGrid w:val="0"/>
        <w:spacing w:line="360" w:lineRule="auto"/>
        <w:ind w:firstLine="480" w:firstLineChars="200"/>
        <w:rPr>
          <w:rFonts w:hint="eastAsia" w:ascii="Times New Roman" w:hAnsi="Times New Roman" w:cs="Times New Roman"/>
          <w:caps w:val="0"/>
          <w:smallCaps w:val="0"/>
          <w:color w:val="000000" w:themeColor="text1"/>
          <w:kern w:val="0"/>
          <w:sz w:val="24"/>
          <w:szCs w:val="24"/>
          <w14:textFill>
            <w14:solidFill>
              <w14:schemeClr w14:val="tx1"/>
            </w14:solidFill>
          </w14:textFill>
        </w:rPr>
      </w:pPr>
      <w:bookmarkStart w:id="223" w:name="_Toc25815_WPSOffice_Level3"/>
      <w:bookmarkStart w:id="224" w:name="_Toc28872_WPSOffice_Level3"/>
      <w:r>
        <w:rPr>
          <w:rFonts w:hint="eastAsia" w:ascii="Times New Roman" w:hAnsi="Times New Roman" w:cs="Times New Roman"/>
          <w:caps w:val="0"/>
          <w:smallCaps w:val="0"/>
          <w:color w:val="000000" w:themeColor="text1"/>
          <w:kern w:val="0"/>
          <w:sz w:val="24"/>
          <w:szCs w:val="24"/>
          <w:lang w:eastAsia="zh-CN"/>
          <w14:textFill>
            <w14:solidFill>
              <w14:schemeClr w14:val="tx1"/>
            </w14:solidFill>
          </w14:textFill>
        </w:rPr>
        <w:t>1、</w:t>
      </w:r>
      <w:r>
        <w:rPr>
          <w:rFonts w:hint="eastAsia" w:ascii="Times New Roman" w:hAnsi="Times New Roman" w:cs="Times New Roman"/>
          <w:caps w:val="0"/>
          <w:smallCaps w:val="0"/>
          <w:color w:val="000000" w:themeColor="text1"/>
          <w:kern w:val="0"/>
          <w:sz w:val="24"/>
          <w:szCs w:val="24"/>
          <w14:textFill>
            <w14:solidFill>
              <w14:schemeClr w14:val="tx1"/>
            </w14:solidFill>
          </w14:textFill>
        </w:rPr>
        <w:t>处置方式</w:t>
      </w:r>
      <w:bookmarkEnd w:id="223"/>
      <w:bookmarkEnd w:id="224"/>
    </w:p>
    <w:p>
      <w:pPr>
        <w:autoSpaceDE w:val="0"/>
        <w:autoSpaceDN w:val="0"/>
        <w:adjustRightInd w:val="0"/>
        <w:snapToGrid w:val="0"/>
        <w:spacing w:line="360" w:lineRule="auto"/>
        <w:ind w:firstLine="480" w:firstLineChars="200"/>
        <w:rPr>
          <w:rFonts w:hint="eastAsia" w:ascii="Times New Roman" w:hAnsi="Times New Roman" w:cs="Times New Roman"/>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本项目营运期主要包括营运期码头员工生活垃圾、船舶员工生活垃圾、码头设备维护产生的废矿物油。</w:t>
      </w:r>
    </w:p>
    <w:p>
      <w:pPr>
        <w:autoSpaceDE w:val="0"/>
        <w:autoSpaceDN w:val="0"/>
        <w:adjustRightInd w:val="0"/>
        <w:snapToGrid w:val="0"/>
        <w:spacing w:line="360" w:lineRule="auto"/>
        <w:ind w:firstLine="480" w:firstLineChars="200"/>
        <w:rPr>
          <w:rFonts w:hint="eastAsia" w:ascii="Times New Roman" w:hAnsi="Times New Roman" w:cs="Times New Roman"/>
          <w:caps w:val="0"/>
          <w:smallCaps w:val="0"/>
          <w:color w:val="000000" w:themeColor="text1"/>
          <w:kern w:val="0"/>
          <w:sz w:val="24"/>
          <w:szCs w:val="24"/>
          <w:lang w:eastAsia="zh-CN"/>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项目营运期码头员工生活垃圾依托依托生产厂区现有生活垃圾收集设施收集后交环卫部门清运处置。船舶员工生活垃圾经趸船生活垃圾收集设施暂存后定期由海事部门指定具有专业资质的接收船清运。废矿物油依托厂区现有危废暂存间进行收集暂存，交有资质单位进行处理。</w:t>
      </w:r>
    </w:p>
    <w:p>
      <w:pPr>
        <w:autoSpaceDE w:val="0"/>
        <w:autoSpaceDN w:val="0"/>
        <w:adjustRightInd w:val="0"/>
        <w:snapToGrid w:val="0"/>
        <w:spacing w:line="360" w:lineRule="auto"/>
        <w:ind w:firstLine="480" w:firstLineChars="200"/>
        <w:rPr>
          <w:rFonts w:hint="eastAsia" w:ascii="Times New Roman" w:hAnsi="Times New Roman" w:cs="Times New Roman"/>
          <w:caps w:val="0"/>
          <w:smallCaps w:val="0"/>
          <w:color w:val="000000" w:themeColor="text1"/>
          <w:kern w:val="0"/>
          <w:sz w:val="24"/>
          <w:szCs w:val="24"/>
          <w14:textFill>
            <w14:solidFill>
              <w14:schemeClr w14:val="tx1"/>
            </w14:solidFill>
          </w14:textFill>
        </w:rPr>
      </w:pPr>
      <w:bookmarkStart w:id="225" w:name="_Toc5952_WPSOffice_Level3"/>
      <w:bookmarkStart w:id="226" w:name="_Toc24548_WPSOffice_Level3"/>
      <w:r>
        <w:rPr>
          <w:rFonts w:hint="eastAsia" w:ascii="Times New Roman" w:hAnsi="Times New Roman" w:cs="Times New Roman"/>
          <w:caps w:val="0"/>
          <w:smallCaps w:val="0"/>
          <w:color w:val="000000" w:themeColor="text1"/>
          <w:kern w:val="0"/>
          <w:sz w:val="24"/>
          <w:szCs w:val="24"/>
          <w14:textFill>
            <w14:solidFill>
              <w14:schemeClr w14:val="tx1"/>
            </w14:solidFill>
          </w14:textFill>
        </w:rPr>
        <w:t>2、暂存措施</w:t>
      </w:r>
    </w:p>
    <w:p>
      <w:pPr>
        <w:autoSpaceDE w:val="0"/>
        <w:autoSpaceDN w:val="0"/>
        <w:adjustRightInd w:val="0"/>
        <w:snapToGrid w:val="0"/>
        <w:spacing w:line="360" w:lineRule="auto"/>
        <w:ind w:firstLine="480" w:firstLineChars="200"/>
        <w:rPr>
          <w:rFonts w:hint="eastAsia" w:ascii="Times New Roman" w:hAnsi="Times New Roman" w:cs="Times New Roman"/>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本项目趸船设置生活垃圾暂存</w:t>
      </w:r>
      <w:r>
        <w:rPr>
          <w:rFonts w:hint="eastAsia" w:ascii="Times New Roman" w:hAnsi="Times New Roman" w:cs="Times New Roman"/>
          <w:caps w:val="0"/>
          <w:smallCaps w:val="0"/>
          <w:color w:val="000000" w:themeColor="text1"/>
          <w:kern w:val="0"/>
          <w:sz w:val="24"/>
          <w:szCs w:val="24"/>
          <w:lang w:eastAsia="zh-CN"/>
          <w14:textFill>
            <w14:solidFill>
              <w14:schemeClr w14:val="tx1"/>
            </w14:solidFill>
          </w14:textFill>
        </w:rPr>
        <w:t>设施</w:t>
      </w:r>
      <w:r>
        <w:rPr>
          <w:rFonts w:hint="eastAsia" w:ascii="Times New Roman" w:hAnsi="Times New Roman" w:cs="Times New Roman"/>
          <w:caps w:val="0"/>
          <w:smallCaps w:val="0"/>
          <w:color w:val="000000" w:themeColor="text1"/>
          <w:kern w:val="0"/>
          <w:sz w:val="24"/>
          <w:szCs w:val="24"/>
          <w14:textFill>
            <w14:solidFill>
              <w14:schemeClr w14:val="tx1"/>
            </w14:solidFill>
          </w14:textFill>
        </w:rPr>
        <w:t>，按《生活垃圾填埋场污染控制标准》（GB16889-2008）控制要求做好防风、防雨、防渗、放遗漏等措施。</w:t>
      </w:r>
    </w:p>
    <w:p>
      <w:pPr>
        <w:autoSpaceDE w:val="0"/>
        <w:autoSpaceDN w:val="0"/>
        <w:adjustRightInd w:val="0"/>
        <w:snapToGrid w:val="0"/>
        <w:spacing w:line="360" w:lineRule="auto"/>
        <w:ind w:firstLine="480" w:firstLineChars="200"/>
        <w:rPr>
          <w:rFonts w:hint="eastAsia" w:ascii="Times New Roman" w:hAnsi="Times New Roman" w:cs="Times New Roman"/>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本项目后方厂区危废暂存间已按《中华人民共和国固体废物污染环境防治法》、国家环保总局《关于发布〈危险废物污染防治技术政策〉的通知》[环发2001（199）号]及《危险固废贮存污染控制标准（GB18597-2001）》及修改单中的相关要求建设，有完善的防风、防雨、防晒措施，地面与裙脚用坚固、防渗的混凝土硬化并进行防渗防漏处理，避免由于雨水淋溶、渗透等原因对地下水、地表水等环境产生不利影响，设施周围应设置围墙进行密闭处理。同时应严格履行国家与地方政府关于危险废物转移的规定，危险废物送至具有危险固废处理资质的机构处置（与其签订处置协议），由具有防渗漏设施的专用车辆运输。严禁危险废物混入一般工业固废及生活垃圾中。项目危险固体废物依托厂区现有危废暂存间，可满足环保要求，危险固体废物可得到有效处置。</w:t>
      </w:r>
    </w:p>
    <w:p>
      <w:pPr>
        <w:autoSpaceDE w:val="0"/>
        <w:autoSpaceDN w:val="0"/>
        <w:adjustRightInd w:val="0"/>
        <w:snapToGrid w:val="0"/>
        <w:spacing w:line="360" w:lineRule="auto"/>
        <w:ind w:firstLine="480" w:firstLineChars="200"/>
        <w:rPr>
          <w:rFonts w:hint="eastAsia" w:ascii="Times New Roman" w:hAnsi="Times New Roman" w:cs="Times New Roman"/>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危险废物处置应严格按照以下规定及相关要求管理：（1）根据《中华人民共和国固体废物污染环境防治法（修订）》规定：对危险废物的容器和包装物以及收集、贮存、运输、处置危险废物的设施、场所、必须设置危险废物识别标志。厂内危险废物临时堆存应采取相应污染控制措施防止对环境产生影响；（2）必须按照国家有关规定制定危险废物管理计划；（3）必须按照国家有关规定处置危险废物，不得擅自倾倒、堆放；（4）从事收集、贮存、处置危险废物经营活动的单位，必须向县级以上人民政府环境保护行政主管部门申请领取经营许可证；禁止将危险废物提供或者委托给无经营许可证的单位从事收集、贮存、利用、处置的经营活动；（5）转移危险废物的，须按照国家有关规定填写危险废物转移联单，并向危险废物移出地的市级以上地方人民政府环境保护行政主管部门提出申请。运输危险废物，必须采取防止污染环境的措施，并遵守国家有关危险货物运输管理的规定。（6）收集、贮存、运输、处置危险废物的场所，设施、设备和容器，包装物及其他物品转作他用时，必须经过消除污染的处理．方可使用。（7）产生、收集、贮存、运输、利用、处置危险废物的单位、应当制定意外事故的防范措施和应急预案，并向所在地县级以上地方人民政府环境保护行政主管部门备案，环境保护行政主管部门应当进行检查。</w:t>
      </w:r>
    </w:p>
    <w:p>
      <w:pPr>
        <w:autoSpaceDE w:val="0"/>
        <w:autoSpaceDN w:val="0"/>
        <w:adjustRightInd w:val="0"/>
        <w:snapToGrid w:val="0"/>
        <w:spacing w:line="360" w:lineRule="auto"/>
        <w:ind w:firstLine="480" w:firstLineChars="200"/>
        <w:rPr>
          <w:rFonts w:hint="eastAsia" w:ascii="Times New Roman" w:hAnsi="Times New Roman" w:cs="Times New Roman"/>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综上所述，本项目产生的各种固体废物均能得到妥善处置，对周围环境的影响较小。</w:t>
      </w:r>
      <w:bookmarkEnd w:id="225"/>
      <w:bookmarkEnd w:id="226"/>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土壤防治措施</w:t>
      </w:r>
    </w:p>
    <w:p>
      <w:pPr>
        <w:adjustRightIn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⑴源头控制，采用先进的装卸设备设施与材料，确保阀门、法兰片、管道之间的密封性，并加强装卸设备设施的使用、管理和维护等，减少挥发性有机物的产生。</w:t>
      </w:r>
    </w:p>
    <w:p>
      <w:pPr>
        <w:adjustRightInd w:val="0"/>
        <w:spacing w:line="360" w:lineRule="auto"/>
        <w:ind w:firstLine="480" w:firstLineChars="200"/>
        <w:rPr>
          <w:rFonts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⑵过程防控，建议在项目区域内适量栽植植物，可有效阻挡污染物向周边逸散。</w:t>
      </w:r>
    </w:p>
    <w:p>
      <w:pPr>
        <w:adjustRightInd w:val="0"/>
        <w:spacing w:line="360" w:lineRule="auto"/>
        <w:ind w:firstLine="480" w:firstLineChars="200"/>
        <w:rPr>
          <w:rFonts w:hint="eastAsia" w:ascii="Times New Roman" w:hAnsi="Times New Roman" w:cs="Times New Roman"/>
          <w:caps w:val="0"/>
          <w:smallCaps w:val="0"/>
          <w:color w:val="000000" w:themeColor="text1"/>
          <w:sz w:val="24"/>
          <w:szCs w:val="32"/>
          <w14:textFill>
            <w14:solidFill>
              <w14:schemeClr w14:val="tx1"/>
            </w14:solidFill>
          </w14:textFill>
        </w:rPr>
      </w:pPr>
      <w:r>
        <w:rPr>
          <w:rFonts w:hint="eastAsia" w:ascii="Times New Roman" w:hAnsi="Times New Roman" w:cs="Times New Roman"/>
          <w:caps w:val="0"/>
          <w:smallCaps w:val="0"/>
          <w:color w:val="000000" w:themeColor="text1"/>
          <w:sz w:val="24"/>
          <w:szCs w:val="32"/>
          <w14:textFill>
            <w14:solidFill>
              <w14:schemeClr w14:val="tx1"/>
            </w14:solidFill>
          </w14:textFill>
        </w:rPr>
        <w:t>⑶跟踪监测，在项目区域下风向居民点处布置监测点，每5年内开展1次跟踪监测。</w:t>
      </w:r>
    </w:p>
    <w:p>
      <w:pPr>
        <w:pStyle w:val="6"/>
        <w:rPr>
          <w:rFonts w:hint="eastAsia" w:ascii="Times New Roman" w:hAnsi="Times New Roman" w:cs="Times New Roman" w:eastAsiaTheme="minorEastAsia"/>
          <w:caps w:val="0"/>
          <w:smallCaps w:val="0"/>
          <w:color w:val="000000" w:themeColor="text1"/>
          <w14:textFill>
            <w14:solidFill>
              <w14:schemeClr w14:val="tx1"/>
            </w14:solidFill>
          </w14:textFill>
        </w:rPr>
      </w:pPr>
      <w:bookmarkStart w:id="227" w:name="_Toc82508898"/>
      <w:r>
        <w:rPr>
          <w:rFonts w:hint="eastAsia" w:ascii="Times New Roman" w:hAnsi="Times New Roman" w:cs="Times New Roman" w:eastAsiaTheme="minorEastAsia"/>
          <w:caps w:val="0"/>
          <w:smallCaps w:val="0"/>
          <w:color w:val="000000" w:themeColor="text1"/>
          <w14:textFill>
            <w14:solidFill>
              <w14:schemeClr w14:val="tx1"/>
            </w14:solidFill>
          </w14:textFill>
        </w:rPr>
        <w:t>营运期生态</w:t>
      </w:r>
      <w:r>
        <w:rPr>
          <w:rFonts w:hint="eastAsia" w:ascii="Times New Roman" w:hAnsi="Times New Roman" w:cs="Times New Roman" w:eastAsiaTheme="minorEastAsia"/>
          <w:caps w:val="0"/>
          <w:smallCaps w:val="0"/>
          <w:color w:val="000000" w:themeColor="text1"/>
          <w:lang w:eastAsia="zh-CN"/>
          <w14:textFill>
            <w14:solidFill>
              <w14:schemeClr w14:val="tx1"/>
            </w14:solidFill>
          </w14:textFill>
        </w:rPr>
        <w:t>保护</w:t>
      </w:r>
      <w:r>
        <w:rPr>
          <w:rFonts w:hint="eastAsia" w:ascii="Times New Roman" w:hAnsi="Times New Roman" w:cs="Times New Roman" w:eastAsiaTheme="minorEastAsia"/>
          <w:caps w:val="0"/>
          <w:smallCaps w:val="0"/>
          <w:color w:val="000000" w:themeColor="text1"/>
          <w14:textFill>
            <w14:solidFill>
              <w14:schemeClr w14:val="tx1"/>
            </w14:solidFill>
          </w14:textFill>
        </w:rPr>
        <w:t>措施</w:t>
      </w:r>
      <w:bookmarkEnd w:id="227"/>
    </w:p>
    <w:p>
      <w:pPr>
        <w:pStyle w:val="2"/>
        <w:bidi w:val="0"/>
        <w:rPr>
          <w:rFonts w:ascii="Times New Roman" w:hAnsi="Times New Roman" w:cs="Times New Roman"/>
          <w:caps w:val="0"/>
          <w:smallCaps w:val="0"/>
        </w:rPr>
      </w:pPr>
      <w:r>
        <w:rPr>
          <w:rFonts w:ascii="Times New Roman" w:hAnsi="Times New Roman" w:cs="Times New Roman"/>
          <w:caps w:val="0"/>
          <w:smallCaps w:val="0"/>
        </w:rPr>
        <w:t>本工程为沥青码头，污染区域主要为码头平台及后方罐区、道路等部位。</w:t>
      </w:r>
    </w:p>
    <w:p>
      <w:pPr>
        <w:pStyle w:val="2"/>
        <w:bidi w:val="0"/>
        <w:rPr>
          <w:rFonts w:ascii="Times New Roman" w:hAnsi="Times New Roman" w:cs="Times New Roman"/>
          <w:caps w:val="0"/>
          <w:smallCaps w:val="0"/>
        </w:rPr>
      </w:pPr>
      <w:r>
        <w:rPr>
          <w:rFonts w:ascii="Times New Roman" w:hAnsi="Times New Roman" w:cs="Times New Roman"/>
          <w:caps w:val="0"/>
          <w:smallCaps w:val="0"/>
        </w:rPr>
        <w:t>（1）大气污染的治理措施</w:t>
      </w:r>
    </w:p>
    <w:p>
      <w:pPr>
        <w:pStyle w:val="2"/>
        <w:bidi w:val="0"/>
        <w:rPr>
          <w:rFonts w:ascii="Times New Roman" w:hAnsi="Times New Roman" w:cs="Times New Roman"/>
          <w:caps w:val="0"/>
          <w:smallCaps w:val="0"/>
        </w:rPr>
      </w:pPr>
      <w:r>
        <w:rPr>
          <w:rFonts w:ascii="Times New Roman" w:hAnsi="Times New Roman" w:cs="Times New Roman"/>
          <w:caps w:val="0"/>
          <w:smallCaps w:val="0"/>
        </w:rPr>
        <w:t>①道路扬尘为防止作业区附近道路的扬尘污染，公司应配置洒水管道，定时定线进行清扫和洒水。</w:t>
      </w:r>
    </w:p>
    <w:p>
      <w:pPr>
        <w:pStyle w:val="2"/>
        <w:bidi w:val="0"/>
        <w:rPr>
          <w:rFonts w:ascii="Times New Roman" w:hAnsi="Times New Roman" w:cs="Times New Roman"/>
          <w:caps w:val="0"/>
          <w:smallCaps w:val="0"/>
        </w:rPr>
      </w:pPr>
      <w:r>
        <w:rPr>
          <w:rFonts w:ascii="Times New Roman" w:hAnsi="Times New Roman" w:cs="Times New Roman"/>
          <w:caps w:val="0"/>
          <w:smallCaps w:val="0"/>
        </w:rPr>
        <w:t>②利用港区内可绿化场地充分进行绿化，美化港区环境，改善区域生态环境。</w:t>
      </w:r>
    </w:p>
    <w:p>
      <w:pPr>
        <w:pStyle w:val="2"/>
        <w:bidi w:val="0"/>
        <w:rPr>
          <w:rFonts w:ascii="Times New Roman" w:hAnsi="Times New Roman" w:cs="Times New Roman"/>
          <w:caps w:val="0"/>
          <w:smallCaps w:val="0"/>
        </w:rPr>
      </w:pPr>
      <w:r>
        <w:rPr>
          <w:rFonts w:ascii="Times New Roman" w:hAnsi="Times New Roman" w:cs="Times New Roman"/>
          <w:caps w:val="0"/>
          <w:smallCaps w:val="0"/>
        </w:rPr>
        <w:t>（2）水污染的治理措施</w:t>
      </w:r>
    </w:p>
    <w:p>
      <w:pPr>
        <w:pStyle w:val="2"/>
        <w:bidi w:val="0"/>
        <w:rPr>
          <w:rFonts w:ascii="Times New Roman" w:hAnsi="Times New Roman" w:cs="Times New Roman"/>
          <w:caps w:val="0"/>
          <w:smallCaps w:val="0"/>
        </w:rPr>
      </w:pPr>
      <w:r>
        <w:rPr>
          <w:rFonts w:ascii="Times New Roman" w:hAnsi="Times New Roman" w:cs="Times New Roman"/>
          <w:caps w:val="0"/>
          <w:smallCaps w:val="0"/>
        </w:rPr>
        <w:t>①生产污水治理码头平台设置雨水沟和雨水收集池，初期雨水经集水池收集后，采用潜污泵泵送至陆域污水处理站，达标后排放。</w:t>
      </w:r>
    </w:p>
    <w:p>
      <w:pPr>
        <w:pStyle w:val="2"/>
        <w:bidi w:val="0"/>
        <w:rPr>
          <w:rFonts w:ascii="Times New Roman" w:hAnsi="Times New Roman" w:cs="Times New Roman"/>
          <w:caps w:val="0"/>
          <w:smallCaps w:val="0"/>
        </w:rPr>
      </w:pPr>
      <w:r>
        <w:rPr>
          <w:rFonts w:ascii="Times New Roman" w:hAnsi="Times New Roman" w:cs="Times New Roman"/>
          <w:caps w:val="0"/>
          <w:smallCaps w:val="0"/>
        </w:rPr>
        <w:t>②生活污水治理码头生活污水治理依托后方陆域。</w:t>
      </w:r>
    </w:p>
    <w:p>
      <w:pPr>
        <w:pStyle w:val="2"/>
        <w:bidi w:val="0"/>
        <w:rPr>
          <w:rFonts w:ascii="Times New Roman" w:hAnsi="Times New Roman" w:cs="Times New Roman"/>
          <w:caps w:val="0"/>
          <w:smallCaps w:val="0"/>
        </w:rPr>
      </w:pPr>
      <w:r>
        <w:rPr>
          <w:rFonts w:ascii="Times New Roman" w:hAnsi="Times New Roman" w:cs="Times New Roman"/>
          <w:caps w:val="0"/>
          <w:smallCaps w:val="0"/>
        </w:rPr>
        <w:t>③含油污水治理码头上下游配置围油栏，以防止船舶突发漏油事故油污扩散。发生漏油事故后及时回收油污水进行处理。油污水（包括停靠船舶机舱含油污水）必须经船上自配的油水分离器处理达标后，在当地港口管理部门规定的水域排放或申请接收，不得在码头水域排放。</w:t>
      </w:r>
    </w:p>
    <w:p>
      <w:pPr>
        <w:pStyle w:val="2"/>
        <w:bidi w:val="0"/>
        <w:rPr>
          <w:rFonts w:ascii="Times New Roman" w:hAnsi="Times New Roman" w:cs="Times New Roman"/>
          <w:caps w:val="0"/>
          <w:smallCaps w:val="0"/>
        </w:rPr>
      </w:pPr>
      <w:r>
        <w:rPr>
          <w:rFonts w:ascii="Times New Roman" w:hAnsi="Times New Roman" w:cs="Times New Roman"/>
          <w:caps w:val="0"/>
          <w:smallCaps w:val="0"/>
        </w:rPr>
        <w:t>（3）噪声污染的治理措施码头所选用的装卸机械设备的单机噪声必须满足《工业企业厂界噪声标准》的有关规定。尽可能选取加工精度高、装配质量好、产噪低的设备，以降低声源的噪声发射功率；对于某些设备运行时因振动产生的噪声，将考虑设备基础的隔振、减振；合理进行总体布局，利用建筑物、构筑物隔声；缩短夜间作业时间，控制作业区内车速以及减少车、船的鸣号次数和时间；在噪声较大的设备周围，设隔声罩或安装消声器等，以控制声源的噪声辐射。</w:t>
      </w:r>
    </w:p>
    <w:p>
      <w:pPr>
        <w:pStyle w:val="2"/>
        <w:bidi w:val="0"/>
        <w:rPr>
          <w:rFonts w:ascii="Times New Roman" w:hAnsi="Times New Roman" w:cs="Times New Roman"/>
          <w:caps w:val="0"/>
          <w:smallCaps w:val="0"/>
        </w:rPr>
      </w:pPr>
      <w:r>
        <w:rPr>
          <w:rFonts w:ascii="Times New Roman" w:hAnsi="Times New Roman" w:cs="Times New Roman"/>
          <w:caps w:val="0"/>
          <w:smallCaps w:val="0"/>
        </w:rPr>
        <w:t>（4）固体废弃物污染治理措施到港船舶固废：残油、油泥以及含油抹布等可燃性废物，交由有资质的废物处理单位进行回收处置；生活垃圾运往港区的垃圾站，与港区陆域生活垃圾一并交由当地环卫部门集中处理。</w:t>
      </w:r>
    </w:p>
    <w:p>
      <w:pPr>
        <w:pStyle w:val="2"/>
        <w:bidi w:val="0"/>
        <w:rPr>
          <w:rFonts w:ascii="Times New Roman" w:hAnsi="Times New Roman" w:cs="Times New Roman"/>
          <w:caps w:val="0"/>
          <w:smallCaps w:val="0"/>
        </w:rPr>
      </w:pPr>
      <w:r>
        <w:rPr>
          <w:rFonts w:ascii="Times New Roman" w:hAnsi="Times New Roman" w:cs="Times New Roman"/>
          <w:caps w:val="0"/>
          <w:smallCaps w:val="0"/>
        </w:rPr>
        <w:t>港区固废：生产、生活垃圾定点收集，及时清运或处理。设置垃圾箱收集码头各类固体废弃物，集中运至城市垃圾处理场。</w:t>
      </w:r>
    </w:p>
    <w:p>
      <w:pPr>
        <w:pStyle w:val="2"/>
        <w:numPr>
          <w:ilvl w:val="0"/>
          <w:numId w:val="6"/>
        </w:numPr>
        <w:bidi w:val="0"/>
        <w:ind w:left="0" w:leftChars="0" w:firstLine="480" w:firstLineChars="200"/>
        <w:rPr>
          <w:rFonts w:ascii="Times New Roman" w:hAnsi="Times New Roman" w:cs="Times New Roman"/>
          <w:caps w:val="0"/>
          <w:smallCaps w:val="0"/>
        </w:rPr>
      </w:pPr>
      <w:r>
        <w:rPr>
          <w:rFonts w:ascii="Times New Roman" w:hAnsi="Times New Roman" w:cs="Times New Roman"/>
          <w:caps w:val="0"/>
          <w:smallCaps w:val="0"/>
        </w:rPr>
        <w:t>水生生态保护措施根据目前已有类似项目经验，暂定航行船舶限制如下：</w:t>
      </w:r>
    </w:p>
    <w:p>
      <w:pPr>
        <w:pStyle w:val="2"/>
        <w:bidi w:val="0"/>
        <w:rPr>
          <w:rFonts w:ascii="Times New Roman" w:hAnsi="Times New Roman" w:cs="Times New Roman"/>
          <w:caps w:val="0"/>
          <w:smallCaps w:val="0"/>
        </w:rPr>
      </w:pPr>
      <w:r>
        <w:rPr>
          <w:rFonts w:ascii="Times New Roman" w:hAnsi="Times New Roman" w:cs="Times New Roman"/>
          <w:caps w:val="0"/>
          <w:smallCaps w:val="0"/>
        </w:rPr>
        <w:t>1）控制通行船舶间距，尽可能给长江江豚留出活动通道和空间，枯水季节尤其要特别注意控制航行船只密度和数量。已有研究表明，长江江豚对船舶噪声有主动躲避行为，比如，船舶出现与长江江豚出现存在负相关关系，在船舶航行轨迹的0~50m垂直距离范围内，通常难以观察到长江江豚，而在50~100m范围内却能观察到长江江豚。尽管长江江豚能主动避船，但在某些特殊情形下，仍容易被航行船舶伤害，比如在捕食时，长江江豚容易不理会船舶靠近；在相对狭窄的水道内，高速船舶突然接近时，长江江豚无处躲避或难以在短时间内逃离到安全距离之外。到港船舶航行过程中要求速度不大于4km，船速较慢，此处水域面积宽广，且各船舶安排专门长江江豚观察员，时刻关注长江江豚活动。到港船舶之间的距离必须保持在200m以外，如由于到港船舶量过大而导致到港船舶之间的距离小于200m，应控制到港船舶进出量，必要的时候禁止船舶进出。</w:t>
      </w:r>
    </w:p>
    <w:p>
      <w:pPr>
        <w:pStyle w:val="2"/>
        <w:bidi w:val="0"/>
        <w:rPr>
          <w:rFonts w:ascii="Times New Roman" w:hAnsi="Times New Roman" w:cs="Times New Roman"/>
          <w:caps w:val="0"/>
          <w:smallCaps w:val="0"/>
        </w:rPr>
      </w:pPr>
      <w:r>
        <w:rPr>
          <w:rFonts w:ascii="Times New Roman" w:hAnsi="Times New Roman" w:cs="Times New Roman"/>
          <w:caps w:val="0"/>
          <w:smallCaps w:val="0"/>
        </w:rPr>
        <w:t>2）限定航道，防止船舶在保护区区域随意行驶。</w:t>
      </w:r>
    </w:p>
    <w:p>
      <w:pPr>
        <w:pStyle w:val="5"/>
        <w:bidi w:val="0"/>
        <w:rPr>
          <w:rFonts w:ascii="Times New Roman" w:hAnsi="Times New Roman" w:cs="Times New Roman"/>
          <w:caps w:val="0"/>
          <w:smallCaps w:val="0"/>
        </w:rPr>
      </w:pPr>
      <w:bookmarkStart w:id="228" w:name="_Toc3226"/>
      <w:r>
        <w:rPr>
          <w:rFonts w:ascii="Times New Roman" w:hAnsi="Times New Roman" w:cs="Times New Roman"/>
          <w:caps w:val="0"/>
          <w:smallCaps w:val="0"/>
        </w:rPr>
        <w:t>生态恢复与补偿措施</w:t>
      </w:r>
      <w:bookmarkEnd w:id="228"/>
    </w:p>
    <w:p>
      <w:pPr>
        <w:pStyle w:val="7"/>
        <w:numPr>
          <w:ilvl w:val="3"/>
          <w:numId w:val="0"/>
        </w:numPr>
        <w:spacing w:line="240" w:lineRule="auto"/>
        <w:ind w:leftChars="200" w:right="0" w:rightChars="0"/>
        <w:jc w:val="left"/>
        <w:rPr>
          <w:rFonts w:ascii="Times New Roman" w:hAnsi="Times New Roman" w:cs="Times New Roman"/>
          <w:b w:val="0"/>
          <w:bCs w:val="0"/>
          <w:caps w:val="0"/>
          <w:smallCaps w:val="0"/>
        </w:rPr>
      </w:pPr>
      <w:bookmarkStart w:id="229" w:name="_bookmark103"/>
      <w:bookmarkEnd w:id="229"/>
      <w:bookmarkStart w:id="230" w:name="7.6.1保护区建设和管理"/>
      <w:bookmarkEnd w:id="230"/>
      <w:r>
        <w:rPr>
          <w:rFonts w:hint="eastAsia" w:ascii="Times New Roman" w:hAnsi="Times New Roman" w:cs="Times New Roman"/>
          <w:caps w:val="0"/>
          <w:smallCaps w:val="0"/>
          <w:spacing w:val="-1"/>
          <w:lang w:val="en-US" w:eastAsia="zh-CN"/>
        </w:rPr>
        <w:t>1、</w:t>
      </w:r>
      <w:r>
        <w:rPr>
          <w:rFonts w:ascii="Times New Roman" w:hAnsi="Times New Roman" w:cs="Times New Roman"/>
          <w:caps w:val="0"/>
          <w:smallCaps w:val="0"/>
          <w:spacing w:val="-1"/>
        </w:rPr>
        <w:t>保护区建设和管理</w:t>
      </w:r>
    </w:p>
    <w:p>
      <w:pPr>
        <w:pStyle w:val="2"/>
        <w:bidi w:val="0"/>
        <w:rPr>
          <w:rFonts w:ascii="Times New Roman" w:hAnsi="Times New Roman" w:cs="Times New Roman"/>
          <w:caps w:val="0"/>
          <w:smallCaps w:val="0"/>
        </w:rPr>
      </w:pPr>
      <w:r>
        <w:rPr>
          <w:rFonts w:ascii="Times New Roman" w:hAnsi="Times New Roman" w:cs="Times New Roman"/>
          <w:caps w:val="0"/>
          <w:smallCaps w:val="0"/>
        </w:rPr>
        <w:t>（1）建议在码头水域附近设置江豚保护宣传牌，对水生生物保护进行科普宣传，提高保护区的社会影响力，营造良好的水生生物资源养护社会氛围。</w:t>
      </w:r>
    </w:p>
    <w:p>
      <w:pPr>
        <w:pStyle w:val="2"/>
        <w:bidi w:val="0"/>
        <w:rPr>
          <w:rFonts w:ascii="Times New Roman" w:hAnsi="Times New Roman" w:cs="Times New Roman"/>
          <w:caps w:val="0"/>
          <w:smallCaps w:val="0"/>
        </w:rPr>
      </w:pPr>
      <w:r>
        <w:rPr>
          <w:rFonts w:ascii="Times New Roman" w:hAnsi="Times New Roman" w:cs="Times New Roman"/>
          <w:caps w:val="0"/>
          <w:smallCaps w:val="0"/>
        </w:rPr>
        <w:t>（2）搭建长江江豚“智慧巡护”体系。设置长江江豚远程监测摄像头，在 线监测江豚活动、分析情况；同时，对长江江豚进行巡护，为长江江豚保护区提供详细的影像资料、利用大数据分析为长江江豚的保护及保护区管理提供技术支撑。</w:t>
      </w:r>
    </w:p>
    <w:p>
      <w:pPr>
        <w:pStyle w:val="7"/>
        <w:numPr>
          <w:ilvl w:val="3"/>
          <w:numId w:val="0"/>
        </w:numPr>
        <w:spacing w:before="211" w:line="240" w:lineRule="auto"/>
        <w:ind w:leftChars="200" w:right="5548" w:rightChars="0"/>
        <w:jc w:val="both"/>
        <w:rPr>
          <w:rFonts w:ascii="Times New Roman" w:hAnsi="Times New Roman" w:cs="Times New Roman"/>
          <w:b w:val="0"/>
          <w:bCs w:val="0"/>
          <w:caps w:val="0"/>
          <w:smallCaps w:val="0"/>
        </w:rPr>
      </w:pPr>
      <w:bookmarkStart w:id="231" w:name="_bookmark104"/>
      <w:bookmarkEnd w:id="231"/>
      <w:bookmarkStart w:id="232" w:name="7.6.2开展长江江豚救护"/>
      <w:bookmarkEnd w:id="232"/>
      <w:r>
        <w:rPr>
          <w:rFonts w:hint="eastAsia" w:ascii="Times New Roman" w:hAnsi="Times New Roman" w:eastAsia="宋体" w:cs="Times New Roman"/>
          <w:caps w:val="0"/>
          <w:smallCaps w:val="0"/>
          <w:spacing w:val="-25"/>
          <w:lang w:val="en-US" w:eastAsia="zh-CN"/>
        </w:rPr>
        <w:t>2、</w:t>
      </w:r>
      <w:r>
        <w:rPr>
          <w:rFonts w:ascii="Times New Roman" w:hAnsi="Times New Roman" w:cs="Times New Roman"/>
          <w:caps w:val="0"/>
          <w:smallCaps w:val="0"/>
          <w:spacing w:val="-1"/>
        </w:rPr>
        <w:t>开展长江江豚救护</w:t>
      </w:r>
    </w:p>
    <w:p>
      <w:pPr>
        <w:pStyle w:val="2"/>
        <w:spacing w:before="193" w:line="361" w:lineRule="auto"/>
        <w:ind w:right="119" w:firstLine="480"/>
        <w:jc w:val="both"/>
        <w:rPr>
          <w:rFonts w:ascii="Times New Roman" w:hAnsi="Times New Roman" w:cs="Times New Roman"/>
          <w:caps w:val="0"/>
          <w:smallCaps w:val="0"/>
        </w:rPr>
      </w:pPr>
      <w:r>
        <w:rPr>
          <w:rFonts w:ascii="Times New Roman" w:hAnsi="Times New Roman" w:cs="Times New Roman"/>
          <w:caps w:val="0"/>
          <w:smallCaps w:val="0"/>
        </w:rPr>
        <w:t>针对长江保护动物意外伤害事件</w:t>
      </w:r>
      <w:r>
        <w:rPr>
          <w:rFonts w:ascii="Times New Roman" w:hAnsi="Times New Roman" w:cs="Times New Roman"/>
          <w:caps w:val="0"/>
          <w:smallCaps w:val="0"/>
          <w:spacing w:val="-48"/>
        </w:rPr>
        <w:t>，</w:t>
      </w:r>
      <w:r>
        <w:rPr>
          <w:rFonts w:ascii="Times New Roman" w:hAnsi="Times New Roman" w:cs="Times New Roman"/>
          <w:caps w:val="0"/>
          <w:smallCaps w:val="0"/>
        </w:rPr>
        <w:t>特别是对长江江豚</w:t>
      </w:r>
      <w:r>
        <w:rPr>
          <w:rFonts w:ascii="Times New Roman" w:hAnsi="Times New Roman" w:cs="Times New Roman"/>
          <w:caps w:val="0"/>
          <w:smallCaps w:val="0"/>
          <w:spacing w:val="-46"/>
        </w:rPr>
        <w:t>、</w:t>
      </w:r>
      <w:r>
        <w:rPr>
          <w:rFonts w:ascii="Times New Roman" w:hAnsi="Times New Roman" w:cs="Times New Roman"/>
          <w:caps w:val="0"/>
          <w:smallCaps w:val="0"/>
        </w:rPr>
        <w:t>中华鲟等珍稀鱼类造 成的意外伤害事件</w:t>
      </w:r>
      <w:r>
        <w:rPr>
          <w:rFonts w:ascii="Times New Roman" w:hAnsi="Times New Roman" w:cs="Times New Roman"/>
          <w:caps w:val="0"/>
          <w:smallCaps w:val="0"/>
          <w:spacing w:val="-32"/>
        </w:rPr>
        <w:t>，</w:t>
      </w:r>
      <w:r>
        <w:rPr>
          <w:rFonts w:ascii="Times New Roman" w:hAnsi="Times New Roman" w:cs="Times New Roman"/>
          <w:caps w:val="0"/>
          <w:smallCaps w:val="0"/>
        </w:rPr>
        <w:t>制定相应应急预案</w:t>
      </w:r>
      <w:r>
        <w:rPr>
          <w:rFonts w:ascii="Times New Roman" w:hAnsi="Times New Roman" w:cs="Times New Roman"/>
          <w:caps w:val="0"/>
          <w:smallCaps w:val="0"/>
          <w:spacing w:val="-32"/>
        </w:rPr>
        <w:t>。</w:t>
      </w:r>
      <w:r>
        <w:rPr>
          <w:rFonts w:ascii="Times New Roman" w:hAnsi="Times New Roman" w:cs="Times New Roman"/>
          <w:caps w:val="0"/>
          <w:smallCaps w:val="0"/>
        </w:rPr>
        <w:t>施工时进行长江江豚监控和预</w:t>
      </w:r>
      <w:r>
        <w:rPr>
          <w:rFonts w:ascii="Times New Roman" w:hAnsi="Times New Roman" w:cs="Times New Roman"/>
          <w:caps w:val="0"/>
          <w:smallCaps w:val="0"/>
          <w:spacing w:val="2"/>
        </w:rPr>
        <w:t>警</w:t>
      </w:r>
      <w:r>
        <w:rPr>
          <w:rFonts w:ascii="Times New Roman" w:hAnsi="Times New Roman" w:cs="Times New Roman"/>
          <w:caps w:val="0"/>
          <w:smallCaps w:val="0"/>
          <w:spacing w:val="-34"/>
        </w:rPr>
        <w:t>。</w:t>
      </w:r>
      <w:r>
        <w:rPr>
          <w:rFonts w:ascii="Times New Roman" w:hAnsi="Times New Roman" w:cs="Times New Roman"/>
          <w:caps w:val="0"/>
          <w:smallCaps w:val="0"/>
        </w:rPr>
        <w:t>本项目提出的施工期观察保护、现场临时救护预案、科普教育与救护培训等措施。</w:t>
      </w:r>
    </w:p>
    <w:p>
      <w:pPr>
        <w:pStyle w:val="7"/>
        <w:numPr>
          <w:ilvl w:val="3"/>
          <w:numId w:val="0"/>
        </w:numPr>
        <w:spacing w:before="211" w:line="240" w:lineRule="auto"/>
        <w:ind w:leftChars="200" w:right="5548" w:rightChars="0"/>
        <w:jc w:val="both"/>
        <w:rPr>
          <w:rFonts w:hint="eastAsia" w:ascii="Times New Roman" w:hAnsi="Times New Roman" w:eastAsia="宋体" w:cs="Times New Roman"/>
          <w:b/>
          <w:bCs/>
          <w:caps w:val="0"/>
          <w:smallCaps w:val="0"/>
          <w:spacing w:val="0"/>
          <w:sz w:val="24"/>
          <w:lang w:val="en-US" w:eastAsia="zh-CN"/>
        </w:rPr>
      </w:pPr>
      <w:bookmarkStart w:id="233" w:name="7.6.3人工增殖放流"/>
      <w:bookmarkEnd w:id="233"/>
      <w:bookmarkStart w:id="234" w:name="_bookmark105"/>
      <w:bookmarkEnd w:id="234"/>
      <w:r>
        <w:rPr>
          <w:rFonts w:hint="eastAsia" w:ascii="Times New Roman" w:hAnsi="Times New Roman" w:eastAsia="宋体" w:cs="Times New Roman"/>
          <w:b/>
          <w:bCs/>
          <w:caps w:val="0"/>
          <w:smallCaps w:val="0"/>
          <w:spacing w:val="0"/>
          <w:sz w:val="24"/>
          <w:lang w:val="en-US" w:eastAsia="zh-CN"/>
        </w:rPr>
        <w:t>3、人工增殖放流</w:t>
      </w:r>
    </w:p>
    <w:p>
      <w:pPr>
        <w:pStyle w:val="2"/>
        <w:keepNext w:val="0"/>
        <w:keepLines w:val="0"/>
        <w:pageBreakBefore w:val="0"/>
        <w:widowControl w:val="0"/>
        <w:kinsoku/>
        <w:wordWrap/>
        <w:overflowPunct/>
        <w:topLinePunct w:val="0"/>
        <w:autoSpaceDE/>
        <w:autoSpaceDN/>
        <w:bidi w:val="0"/>
        <w:adjustRightInd/>
        <w:snapToGrid/>
        <w:spacing w:after="157" w:afterLines="50" w:line="360" w:lineRule="auto"/>
        <w:ind w:right="0" w:firstLine="480"/>
        <w:jc w:val="both"/>
        <w:textAlignment w:val="auto"/>
        <w:rPr>
          <w:rFonts w:ascii="Times New Roman" w:hAnsi="Times New Roman" w:cs="Times New Roman"/>
          <w:caps w:val="0"/>
          <w:smallCaps w:val="0"/>
        </w:rPr>
      </w:pPr>
      <w:r>
        <w:rPr>
          <w:rFonts w:ascii="Times New Roman" w:hAnsi="Times New Roman" w:cs="Times New Roman"/>
          <w:caps w:val="0"/>
          <w:smallCaps w:val="0"/>
        </w:rPr>
        <w:t>工程实施对区域长江江豚饵料资源会产生一定的影响</w:t>
      </w:r>
      <w:r>
        <w:rPr>
          <w:rFonts w:hint="eastAsia" w:ascii="Times New Roman" w:hAnsi="Times New Roman" w:cs="Times New Roman"/>
          <w:caps w:val="0"/>
          <w:smallCaps w:val="0"/>
          <w:lang w:eastAsia="zh-CN"/>
        </w:rPr>
        <w:t>，</w:t>
      </w:r>
      <w:r>
        <w:rPr>
          <w:rFonts w:ascii="Times New Roman" w:hAnsi="Times New Roman" w:cs="Times New Roman"/>
          <w:caps w:val="0"/>
          <w:smallCaps w:val="0"/>
        </w:rPr>
        <w:t>拟采取投放长江江豚 饵料生物进行补偿</w:t>
      </w:r>
      <w:r>
        <w:rPr>
          <w:rFonts w:ascii="Times New Roman" w:hAnsi="Times New Roman" w:cs="Times New Roman"/>
          <w:caps w:val="0"/>
          <w:smallCaps w:val="0"/>
          <w:spacing w:val="-48"/>
        </w:rPr>
        <w:t>。</w:t>
      </w:r>
      <w:r>
        <w:rPr>
          <w:rFonts w:ascii="Times New Roman" w:hAnsi="Times New Roman" w:cs="Times New Roman"/>
          <w:caps w:val="0"/>
          <w:smallCaps w:val="0"/>
        </w:rPr>
        <w:t>由于工程施工对底栖动物造成的损失较大</w:t>
      </w:r>
      <w:r>
        <w:rPr>
          <w:rFonts w:ascii="Times New Roman" w:hAnsi="Times New Roman" w:cs="Times New Roman"/>
          <w:caps w:val="0"/>
          <w:smallCaps w:val="0"/>
          <w:spacing w:val="-46"/>
        </w:rPr>
        <w:t>，</w:t>
      </w:r>
      <w:r>
        <w:rPr>
          <w:rFonts w:ascii="Times New Roman" w:hAnsi="Times New Roman" w:cs="Times New Roman"/>
          <w:caps w:val="0"/>
          <w:smallCaps w:val="0"/>
        </w:rPr>
        <w:t>因此也需要通过 增殖放流进行修复，以改善水域生态群落结构，增强水域生态系统的稳定性。</w:t>
      </w:r>
    </w:p>
    <w:p>
      <w:pPr>
        <w:pStyle w:val="5"/>
        <w:rPr>
          <w:rFonts w:ascii="Times New Roman" w:hAnsi="Times New Roman" w:cs="Times New Roman" w:eastAsiaTheme="minorEastAsia"/>
          <w:b/>
          <w:caps w:val="0"/>
          <w:smallCaps w:val="0"/>
        </w:rPr>
      </w:pPr>
      <w:bookmarkStart w:id="235" w:name="6.2.5地下水污染防治措施"/>
      <w:bookmarkEnd w:id="235"/>
      <w:bookmarkStart w:id="236" w:name="_bookmark56"/>
      <w:bookmarkEnd w:id="236"/>
      <w:bookmarkStart w:id="237" w:name="6.3项目环保投资及“三同时”验收"/>
      <w:bookmarkEnd w:id="237"/>
      <w:bookmarkStart w:id="238" w:name="_Toc6950"/>
      <w:r>
        <w:rPr>
          <w:rFonts w:ascii="Times New Roman" w:hAnsi="Times New Roman" w:cs="Times New Roman" w:eastAsiaTheme="minorEastAsia"/>
          <w:b/>
          <w:caps w:val="0"/>
          <w:smallCaps w:val="0"/>
        </w:rPr>
        <w:t>项目环保投资</w:t>
      </w:r>
      <w:bookmarkEnd w:id="238"/>
    </w:p>
    <w:p>
      <w:pPr>
        <w:adjustRightInd w:val="0"/>
        <w:spacing w:line="360" w:lineRule="auto"/>
        <w:ind w:firstLine="480" w:firstLineChars="200"/>
        <w:rPr>
          <w:rFonts w:hint="eastAsia" w:ascii="Times New Roman" w:hAnsi="Times New Roman" w:cs="Times New Roman"/>
          <w:caps w:val="0"/>
          <w:smallCaps w:val="0"/>
          <w:color w:val="000000" w:themeColor="text1"/>
          <w:sz w:val="24"/>
          <w:szCs w:val="32"/>
          <w:lang w:val="en-US" w:eastAsia="zh-CN"/>
          <w14:textFill>
            <w14:solidFill>
              <w14:schemeClr w14:val="tx1"/>
            </w14:solidFill>
          </w14:textFill>
        </w:rPr>
      </w:pPr>
      <w:r>
        <w:rPr>
          <w:rFonts w:hint="eastAsia" w:ascii="Times New Roman" w:hAnsi="Times New Roman" w:cs="Times New Roman"/>
          <w:caps w:val="0"/>
          <w:smallCaps w:val="0"/>
          <w:color w:val="000000" w:themeColor="text1"/>
          <w:sz w:val="24"/>
          <w:szCs w:val="32"/>
          <w:lang w:val="en-US" w:eastAsia="zh-CN"/>
          <w14:textFill>
            <w14:solidFill>
              <w14:schemeClr w14:val="tx1"/>
            </w14:solidFill>
          </w14:textFill>
        </w:rPr>
        <w:t>本项目环境保护投资约391.5万元，占总投资2679.77万元的14.6%，项目项目环境保护“三同时”措施汇总及投资估算见表7.4-1。</w:t>
      </w:r>
    </w:p>
    <w:p>
      <w:pPr>
        <w:pStyle w:val="94"/>
        <w:rPr>
          <w:rFonts w:ascii="Times New Roman" w:hAnsi="Times New Roman" w:cs="Times New Roman"/>
          <w:caps w:val="0"/>
          <w:smallCaps w:val="0"/>
        </w:rPr>
      </w:pPr>
      <w:r>
        <w:rPr>
          <w:rFonts w:ascii="Times New Roman" w:hAnsi="Times New Roman" w:cs="Times New Roman"/>
          <w:caps w:val="0"/>
          <w:smallCaps w:val="0"/>
        </w:rPr>
        <w:t>表</w:t>
      </w:r>
      <w:r>
        <w:rPr>
          <w:rFonts w:hint="eastAsia" w:ascii="Times New Roman" w:hAnsi="Times New Roman" w:cs="Times New Roman"/>
          <w:caps w:val="0"/>
          <w:smallCaps w:val="0"/>
          <w:lang w:val="en-US" w:eastAsia="zh-CN"/>
        </w:rPr>
        <w:t>7</w:t>
      </w:r>
      <w:r>
        <w:rPr>
          <w:rFonts w:ascii="Times New Roman" w:hAnsi="Times New Roman" w:cs="Times New Roman"/>
          <w:caps w:val="0"/>
          <w:smallCaps w:val="0"/>
        </w:rPr>
        <w:t>.</w:t>
      </w:r>
      <w:r>
        <w:rPr>
          <w:rFonts w:hint="eastAsia" w:ascii="Times New Roman" w:hAnsi="Times New Roman" w:cs="Times New Roman"/>
          <w:caps w:val="0"/>
          <w:smallCaps w:val="0"/>
          <w:lang w:val="en-US" w:eastAsia="zh-CN"/>
        </w:rPr>
        <w:t>4</w:t>
      </w:r>
      <w:r>
        <w:rPr>
          <w:rFonts w:ascii="Times New Roman" w:hAnsi="Times New Roman" w:cs="Times New Roman"/>
          <w:caps w:val="0"/>
          <w:smallCaps w:val="0"/>
        </w:rPr>
        <w:t>-1环保设施投资估算表</w:t>
      </w:r>
    </w:p>
    <w:tbl>
      <w:tblPr>
        <w:tblStyle w:val="71"/>
        <w:tblW w:w="5097" w:type="pct"/>
        <w:tblInd w:w="-15"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1304"/>
        <w:gridCol w:w="1201"/>
        <w:gridCol w:w="1199"/>
        <w:gridCol w:w="4374"/>
        <w:gridCol w:w="1199"/>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8" w:hRule="exact"/>
        </w:trPr>
        <w:tc>
          <w:tcPr>
            <w:tcW w:w="1350" w:type="pct"/>
            <w:gridSpan w:val="2"/>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类别</w:t>
            </w: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235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治理措施</w:t>
            </w: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总投资</w:t>
            </w:r>
          </w:p>
          <w:p>
            <w:pPr>
              <w:pStyle w:val="117"/>
              <w:bidi w:val="0"/>
              <w:rPr>
                <w:rFonts w:ascii="Times New Roman" w:hAnsi="Times New Roman" w:cs="Times New Roman"/>
                <w:caps w:val="0"/>
                <w:smallCaps w:val="0"/>
              </w:rPr>
            </w:pPr>
            <w:r>
              <w:rPr>
                <w:rFonts w:ascii="Times New Roman" w:hAnsi="Times New Roman" w:cs="Times New Roman"/>
                <w:caps w:val="0"/>
                <w:smallCaps w:val="0"/>
              </w:rPr>
              <w:t>（万元）</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8" w:hRule="exact"/>
        </w:trPr>
        <w:tc>
          <w:tcPr>
            <w:tcW w:w="70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施工期</w:t>
            </w:r>
          </w:p>
        </w:tc>
        <w:tc>
          <w:tcPr>
            <w:tcW w:w="647"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废气</w:t>
            </w: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粉尘</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限速行驶和保持路面场地清洁，洒水抑尘、物料遮盖</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val="en-US" w:eastAsia="zh-CN"/>
              </w:rPr>
              <w:t>3</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8" w:hRule="exac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vMerge w:val="continue"/>
            <w:noWrap w:val="0"/>
            <w:vAlign w:val="center"/>
          </w:tcPr>
          <w:p>
            <w:pPr>
              <w:pStyle w:val="117"/>
              <w:bidi w:val="0"/>
              <w:rPr>
                <w:rFonts w:ascii="Times New Roman" w:hAnsi="Times New Roman" w:cs="Times New Roman"/>
                <w:caps w:val="0"/>
                <w:smallCaps w:val="0"/>
              </w:rPr>
            </w:pP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尾气</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选用符合国家标准的运输车辆和施工机械设备</w:t>
            </w: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8" w:hRule="exact"/>
        </w:trPr>
        <w:tc>
          <w:tcPr>
            <w:tcW w:w="703" w:type="pct"/>
            <w:vMerge w:val="continue"/>
            <w:noWrap w:val="0"/>
            <w:vAlign w:val="center"/>
          </w:tcPr>
          <w:p>
            <w:pPr>
              <w:pStyle w:val="117"/>
              <w:bidi w:val="0"/>
              <w:rPr>
                <w:rFonts w:ascii="Times New Roman" w:hAnsi="Times New Roman" w:cs="Times New Roman"/>
                <w:caps w:val="0"/>
                <w:smallCaps w:val="0"/>
                <w:lang w:eastAsia="zh-CN"/>
              </w:rPr>
            </w:pPr>
          </w:p>
        </w:tc>
        <w:tc>
          <w:tcPr>
            <w:tcW w:w="647" w:type="pct"/>
            <w:vMerge w:val="restar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废水</w:t>
            </w: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施工废水</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隔油池、沉淀池处理施工机械冲洗废水，处理后回用场地洒水抑尘</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val="en-US" w:eastAsia="zh-C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83" w:hRule="exact"/>
        </w:trPr>
        <w:tc>
          <w:tcPr>
            <w:tcW w:w="703" w:type="pct"/>
            <w:vMerge w:val="continue"/>
            <w:noWrap w:val="0"/>
            <w:vAlign w:val="center"/>
          </w:tcPr>
          <w:p>
            <w:pPr>
              <w:pStyle w:val="117"/>
              <w:bidi w:val="0"/>
              <w:rPr>
                <w:rFonts w:ascii="Times New Roman" w:hAnsi="Times New Roman" w:cs="Times New Roman"/>
                <w:caps w:val="0"/>
                <w:smallCaps w:val="0"/>
                <w:lang w:eastAsia="zh-CN"/>
              </w:rPr>
            </w:pPr>
          </w:p>
        </w:tc>
        <w:tc>
          <w:tcPr>
            <w:tcW w:w="647" w:type="pct"/>
            <w:vMerge w:val="continue"/>
            <w:noWrap w:val="0"/>
            <w:vAlign w:val="center"/>
          </w:tcPr>
          <w:p>
            <w:pPr>
              <w:pStyle w:val="117"/>
              <w:bidi w:val="0"/>
              <w:rPr>
                <w:rFonts w:ascii="Times New Roman" w:hAnsi="Times New Roman" w:cs="Times New Roman"/>
                <w:caps w:val="0"/>
                <w:smallCaps w:val="0"/>
                <w:lang w:eastAsia="zh-CN"/>
              </w:rPr>
            </w:pP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施工船舶污水</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船舶污水经船主收集送海事部门指定单位收集并负责处理。建设单位在施工招标时，应明确施工单位落实船舶油污水处理责任</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val="en-US" w:eastAsia="zh-C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99" w:hRule="exact"/>
        </w:trPr>
        <w:tc>
          <w:tcPr>
            <w:tcW w:w="703" w:type="pct"/>
            <w:vMerge w:val="continue"/>
            <w:noWrap w:val="0"/>
            <w:vAlign w:val="center"/>
          </w:tcPr>
          <w:p>
            <w:pPr>
              <w:pStyle w:val="117"/>
              <w:bidi w:val="0"/>
              <w:rPr>
                <w:rFonts w:ascii="Times New Roman" w:hAnsi="Times New Roman" w:cs="Times New Roman"/>
                <w:caps w:val="0"/>
                <w:smallCaps w:val="0"/>
                <w:lang w:eastAsia="zh-CN"/>
              </w:rPr>
            </w:pPr>
          </w:p>
        </w:tc>
        <w:tc>
          <w:tcPr>
            <w:tcW w:w="647" w:type="pct"/>
            <w:vMerge w:val="continue"/>
            <w:noWrap w:val="0"/>
            <w:vAlign w:val="center"/>
          </w:tcPr>
          <w:p>
            <w:pPr>
              <w:pStyle w:val="117"/>
              <w:bidi w:val="0"/>
              <w:rPr>
                <w:rFonts w:ascii="Times New Roman" w:hAnsi="Times New Roman" w:cs="Times New Roman"/>
                <w:caps w:val="0"/>
                <w:smallCaps w:val="0"/>
                <w:lang w:eastAsia="zh-CN"/>
              </w:rPr>
            </w:pP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生活污水</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val="en-US" w:eastAsia="zh-CN"/>
              </w:rPr>
              <w:t>生活污水依托</w:t>
            </w:r>
            <w:r>
              <w:rPr>
                <w:rFonts w:hint="eastAsia" w:ascii="Times New Roman" w:hAnsi="Times New Roman" w:cs="Times New Roman"/>
                <w:caps w:val="0"/>
                <w:smallCaps w:val="0"/>
                <w:lang w:val="en-US" w:eastAsia="zh-CN"/>
              </w:rPr>
              <w:t>海丰物流现有库</w:t>
            </w:r>
            <w:r>
              <w:rPr>
                <w:rFonts w:ascii="Times New Roman" w:hAnsi="Times New Roman" w:cs="Times New Roman"/>
                <w:caps w:val="0"/>
                <w:smallCaps w:val="0"/>
                <w:lang w:val="en-US" w:eastAsia="zh-CN"/>
              </w:rPr>
              <w:t>区化粪池处理后</w:t>
            </w:r>
            <w:r>
              <w:rPr>
                <w:rFonts w:hint="eastAsia" w:ascii="Times New Roman" w:hAnsi="Times New Roman" w:cs="Times New Roman"/>
                <w:caps w:val="0"/>
                <w:smallCaps w:val="0"/>
                <w:lang w:val="en-US" w:eastAsia="zh-CN"/>
              </w:rPr>
              <w:t>排入市政管网</w:t>
            </w:r>
            <w:r>
              <w:rPr>
                <w:rFonts w:ascii="Times New Roman" w:hAnsi="Times New Roman" w:cs="Times New Roman"/>
                <w:caps w:val="0"/>
                <w:smallCaps w:val="0"/>
                <w:lang w:val="en-US" w:eastAsia="zh-CN"/>
              </w:rPr>
              <w:t>。</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99" w:hRule="exact"/>
        </w:trPr>
        <w:tc>
          <w:tcPr>
            <w:tcW w:w="703" w:type="pct"/>
            <w:vMerge w:val="continue"/>
            <w:noWrap w:val="0"/>
            <w:vAlign w:val="center"/>
          </w:tcPr>
          <w:p>
            <w:pPr>
              <w:pStyle w:val="117"/>
              <w:bidi w:val="0"/>
              <w:rPr>
                <w:rFonts w:ascii="Times New Roman" w:hAnsi="Times New Roman" w:cs="Times New Roman"/>
                <w:caps w:val="0"/>
                <w:smallCaps w:val="0"/>
                <w:lang w:eastAsia="zh-CN"/>
              </w:rPr>
            </w:pPr>
          </w:p>
        </w:tc>
        <w:tc>
          <w:tcPr>
            <w:tcW w:w="647"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噪声</w:t>
            </w: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施工机械、车辆、船舶</w:t>
            </w:r>
          </w:p>
        </w:tc>
        <w:tc>
          <w:tcPr>
            <w:tcW w:w="235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禁止鸣笛、选用低噪声设备</w:t>
            </w: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99" w:hRule="exact"/>
        </w:trPr>
        <w:tc>
          <w:tcPr>
            <w:tcW w:w="703" w:type="pct"/>
            <w:vMerge w:val="continue"/>
            <w:noWrap w:val="0"/>
            <w:vAlign w:val="center"/>
          </w:tcPr>
          <w:p>
            <w:pPr>
              <w:pStyle w:val="117"/>
              <w:bidi w:val="0"/>
              <w:rPr>
                <w:rFonts w:ascii="Times New Roman" w:hAnsi="Times New Roman" w:cs="Times New Roman"/>
                <w:caps w:val="0"/>
                <w:smallCaps w:val="0"/>
                <w:lang w:eastAsia="zh-CN"/>
              </w:rPr>
            </w:pPr>
          </w:p>
        </w:tc>
        <w:tc>
          <w:tcPr>
            <w:tcW w:w="647" w:type="pct"/>
            <w:vMerge w:val="restar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固废</w:t>
            </w: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桩基钻渣</w:t>
            </w:r>
          </w:p>
        </w:tc>
        <w:tc>
          <w:tcPr>
            <w:tcW w:w="235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尽量用于</w:t>
            </w:r>
            <w:r>
              <w:rPr>
                <w:rFonts w:hint="eastAsia" w:ascii="Times New Roman" w:hAnsi="Times New Roman" w:cs="Times New Roman"/>
                <w:caps w:val="0"/>
                <w:smallCaps w:val="0"/>
              </w:rPr>
              <w:t>复绿</w:t>
            </w:r>
            <w:r>
              <w:rPr>
                <w:rFonts w:ascii="Times New Roman" w:hAnsi="Times New Roman" w:cs="Times New Roman"/>
                <w:caps w:val="0"/>
                <w:smallCaps w:val="0"/>
              </w:rPr>
              <w:t>回填土，不能利用的清运至当地渣土部门指定地方</w:t>
            </w: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3</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871" w:hRule="exact"/>
        </w:trPr>
        <w:tc>
          <w:tcPr>
            <w:tcW w:w="703" w:type="pct"/>
            <w:vMerge w:val="continue"/>
            <w:noWrap w:val="0"/>
            <w:vAlign w:val="center"/>
          </w:tcPr>
          <w:p>
            <w:pPr>
              <w:pStyle w:val="117"/>
              <w:bidi w:val="0"/>
              <w:rPr>
                <w:rFonts w:ascii="Times New Roman" w:hAnsi="Times New Roman" w:cs="Times New Roman"/>
                <w:caps w:val="0"/>
                <w:smallCaps w:val="0"/>
                <w:lang w:eastAsia="zh-CN"/>
              </w:rPr>
            </w:pPr>
          </w:p>
        </w:tc>
        <w:tc>
          <w:tcPr>
            <w:tcW w:w="647" w:type="pct"/>
            <w:vMerge w:val="continue"/>
            <w:noWrap w:val="0"/>
            <w:vAlign w:val="center"/>
          </w:tcPr>
          <w:p>
            <w:pPr>
              <w:pStyle w:val="117"/>
              <w:bidi w:val="0"/>
              <w:rPr>
                <w:rFonts w:ascii="Times New Roman" w:hAnsi="Times New Roman" w:cs="Times New Roman"/>
                <w:caps w:val="0"/>
                <w:smallCaps w:val="0"/>
                <w:lang w:eastAsia="zh-CN"/>
              </w:rPr>
            </w:pP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建筑垃圾</w:t>
            </w:r>
          </w:p>
        </w:tc>
        <w:tc>
          <w:tcPr>
            <w:tcW w:w="235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经收集后清运至当地渣土部门指定地方</w:t>
            </w:r>
          </w:p>
        </w:tc>
        <w:tc>
          <w:tcPr>
            <w:tcW w:w="646" w:type="pct"/>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10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99" w:hRule="exact"/>
        </w:trPr>
        <w:tc>
          <w:tcPr>
            <w:tcW w:w="703" w:type="pct"/>
            <w:vMerge w:val="continue"/>
            <w:noWrap w:val="0"/>
            <w:vAlign w:val="center"/>
          </w:tcPr>
          <w:p>
            <w:pPr>
              <w:pStyle w:val="117"/>
              <w:bidi w:val="0"/>
              <w:rPr>
                <w:rFonts w:ascii="Times New Roman" w:hAnsi="Times New Roman" w:cs="Times New Roman"/>
                <w:caps w:val="0"/>
                <w:smallCaps w:val="0"/>
                <w:lang w:eastAsia="zh-CN"/>
              </w:rPr>
            </w:pPr>
          </w:p>
        </w:tc>
        <w:tc>
          <w:tcPr>
            <w:tcW w:w="647" w:type="pct"/>
            <w:vMerge w:val="continue"/>
            <w:noWrap w:val="0"/>
            <w:vAlign w:val="center"/>
          </w:tcPr>
          <w:p>
            <w:pPr>
              <w:pStyle w:val="117"/>
              <w:bidi w:val="0"/>
              <w:rPr>
                <w:rFonts w:ascii="Times New Roman" w:hAnsi="Times New Roman" w:cs="Times New Roman"/>
                <w:caps w:val="0"/>
                <w:smallCaps w:val="0"/>
                <w:lang w:eastAsia="zh-CN"/>
              </w:rPr>
            </w:pP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生活垃圾</w:t>
            </w:r>
          </w:p>
        </w:tc>
        <w:tc>
          <w:tcPr>
            <w:tcW w:w="235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垃圾桶收集，环卫部门统一清运</w:t>
            </w:r>
          </w:p>
        </w:tc>
        <w:tc>
          <w:tcPr>
            <w:tcW w:w="646" w:type="pct"/>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0.5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418" w:hRule="exact"/>
        </w:trPr>
        <w:tc>
          <w:tcPr>
            <w:tcW w:w="703"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营运期</w:t>
            </w:r>
          </w:p>
        </w:tc>
        <w:tc>
          <w:tcPr>
            <w:tcW w:w="647"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rPr>
              <w:t>废气</w:t>
            </w:r>
          </w:p>
        </w:tc>
        <w:tc>
          <w:tcPr>
            <w:tcW w:w="646"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eastAsia="zh-CN"/>
              </w:rPr>
              <w:t>船舶燃油废气</w:t>
            </w:r>
          </w:p>
        </w:tc>
        <w:tc>
          <w:tcPr>
            <w:tcW w:w="2356" w:type="pct"/>
            <w:noWrap w:val="0"/>
            <w:vAlign w:val="center"/>
          </w:tcPr>
          <w:p>
            <w:pPr>
              <w:pStyle w:val="117"/>
              <w:bidi w:val="0"/>
              <w:rPr>
                <w:rFonts w:ascii="Times New Roman" w:hAnsi="Times New Roman" w:cs="Times New Roman"/>
                <w:caps w:val="0"/>
                <w:smallCaps w:val="0"/>
                <w:lang w:val="en-US" w:eastAsia="zh-CN"/>
              </w:rPr>
            </w:pPr>
            <w:r>
              <w:rPr>
                <w:rFonts w:ascii="Times New Roman" w:hAnsi="Times New Roman" w:cs="Times New Roman"/>
                <w:caps w:val="0"/>
                <w:smallCaps w:val="0"/>
                <w:lang w:eastAsia="zh-CN"/>
              </w:rPr>
              <w:t>已年检的船舶，加强进出场区交通管理</w:t>
            </w:r>
          </w:p>
        </w:tc>
        <w:tc>
          <w:tcPr>
            <w:tcW w:w="646" w:type="pct"/>
            <w:noWrap w:val="0"/>
            <w:vAlign w:val="center"/>
          </w:tcPr>
          <w:p>
            <w:pPr>
              <w:pStyle w:val="117"/>
              <w:bidi w:val="0"/>
              <w:rPr>
                <w:rFonts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25" w:hRule="exac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废水</w:t>
            </w: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码头员工生活污水</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码头员工生活污水</w:t>
            </w:r>
            <w:r>
              <w:rPr>
                <w:rFonts w:ascii="Times New Roman" w:hAnsi="Times New Roman" w:cs="Times New Roman"/>
                <w:caps w:val="0"/>
                <w:smallCaps w:val="0"/>
                <w:lang w:val="en-US" w:eastAsia="zh-CN"/>
              </w:rPr>
              <w:t>依托</w:t>
            </w:r>
            <w:r>
              <w:rPr>
                <w:rFonts w:hint="eastAsia" w:ascii="Times New Roman" w:hAnsi="Times New Roman" w:cs="Times New Roman"/>
                <w:caps w:val="0"/>
                <w:smallCaps w:val="0"/>
                <w:lang w:val="en-US" w:eastAsia="zh-CN"/>
              </w:rPr>
              <w:t>海丰物流现有库</w:t>
            </w:r>
            <w:r>
              <w:rPr>
                <w:rFonts w:ascii="Times New Roman" w:hAnsi="Times New Roman" w:cs="Times New Roman"/>
                <w:caps w:val="0"/>
                <w:smallCaps w:val="0"/>
                <w:lang w:val="en-US" w:eastAsia="zh-CN"/>
              </w:rPr>
              <w:t>区化粪池处理后</w:t>
            </w:r>
            <w:r>
              <w:rPr>
                <w:rFonts w:hint="eastAsia" w:ascii="Times New Roman" w:hAnsi="Times New Roman" w:cs="Times New Roman"/>
                <w:caps w:val="0"/>
                <w:smallCaps w:val="0"/>
                <w:lang w:val="en-US" w:eastAsia="zh-CN"/>
              </w:rPr>
              <w:t>排入市政管网</w:t>
            </w:r>
            <w:r>
              <w:rPr>
                <w:rFonts w:ascii="Times New Roman" w:hAnsi="Times New Roman" w:cs="Times New Roman"/>
                <w:caps w:val="0"/>
                <w:smallCaps w:val="0"/>
                <w:lang w:val="en-US" w:eastAsia="zh-CN"/>
              </w:rPr>
              <w:t>。</w:t>
            </w: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70" w:hRule="exac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vMerge w:val="continue"/>
            <w:noWrap w:val="0"/>
            <w:vAlign w:val="center"/>
          </w:tcPr>
          <w:p>
            <w:pPr>
              <w:pStyle w:val="117"/>
              <w:bidi w:val="0"/>
              <w:rPr>
                <w:rFonts w:ascii="Times New Roman" w:hAnsi="Times New Roman" w:cs="Times New Roman"/>
                <w:caps w:val="0"/>
                <w:smallCaps w:val="0"/>
                <w:lang w:eastAsia="zh-CN"/>
              </w:rPr>
            </w:pP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趸船冲洗废水</w:t>
            </w:r>
          </w:p>
        </w:tc>
        <w:tc>
          <w:tcPr>
            <w:tcW w:w="235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经趸船冲洗废水收集池</w:t>
            </w:r>
            <w:r>
              <w:rPr>
                <w:rFonts w:hint="eastAsia" w:ascii="Times New Roman" w:hAnsi="Times New Roman" w:cs="Times New Roman"/>
                <w:caps w:val="0"/>
                <w:smallCaps w:val="0"/>
                <w:lang w:val="en-US" w:eastAsia="zh-CN"/>
              </w:rPr>
              <w:t>收集后，</w:t>
            </w:r>
            <w:r>
              <w:rPr>
                <w:rFonts w:ascii="Times New Roman" w:hAnsi="Times New Roman" w:cs="Times New Roman"/>
                <w:caps w:val="0"/>
                <w:smallCaps w:val="0"/>
                <w:lang w:eastAsia="zh-CN"/>
              </w:rPr>
              <w:t>交海事部门指定具有专业资质的接收船接收处</w:t>
            </w:r>
            <w:r>
              <w:rPr>
                <w:rFonts w:hint="eastAsia" w:ascii="Times New Roman" w:hAnsi="Times New Roman" w:cs="Times New Roman"/>
                <w:caps w:val="0"/>
                <w:smallCaps w:val="0"/>
                <w:lang w:eastAsia="zh-CN"/>
              </w:rPr>
              <w:t>。</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val="en-US" w:eastAsia="zh-CN"/>
              </w:rPr>
              <w:t>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1149" w:hRule="exact"/>
        </w:trPr>
        <w:tc>
          <w:tcPr>
            <w:tcW w:w="703" w:type="pct"/>
            <w:vMerge w:val="continue"/>
            <w:noWrap w:val="0"/>
            <w:vAlign w:val="center"/>
          </w:tcPr>
          <w:p>
            <w:pPr>
              <w:pStyle w:val="117"/>
              <w:bidi w:val="0"/>
              <w:rPr>
                <w:rFonts w:ascii="Times New Roman" w:hAnsi="Times New Roman" w:cs="Times New Roman"/>
                <w:caps w:val="0"/>
                <w:smallCaps w:val="0"/>
                <w:lang w:eastAsia="zh-CN"/>
              </w:rPr>
            </w:pPr>
          </w:p>
        </w:tc>
        <w:tc>
          <w:tcPr>
            <w:tcW w:w="647" w:type="pct"/>
            <w:vMerge w:val="continue"/>
            <w:noWrap w:val="0"/>
            <w:vAlign w:val="center"/>
          </w:tcPr>
          <w:p>
            <w:pPr>
              <w:pStyle w:val="117"/>
              <w:bidi w:val="0"/>
              <w:rPr>
                <w:rFonts w:ascii="Times New Roman" w:hAnsi="Times New Roman" w:cs="Times New Roman"/>
                <w:caps w:val="0"/>
                <w:smallCaps w:val="0"/>
                <w:lang w:eastAsia="zh-CN"/>
              </w:rPr>
            </w:pP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船舶含油污水</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排入</w:t>
            </w:r>
            <w:r>
              <w:rPr>
                <w:rFonts w:hint="eastAsia" w:ascii="Times New Roman" w:hAnsi="Times New Roman" w:cs="Times New Roman"/>
                <w:caps w:val="0"/>
                <w:smallCaps w:val="0"/>
                <w:lang w:eastAsia="zh-CN"/>
              </w:rPr>
              <w:t>趸船含油污水箱，</w:t>
            </w:r>
            <w:r>
              <w:rPr>
                <w:rFonts w:ascii="Times New Roman" w:hAnsi="Times New Roman" w:cs="Times New Roman"/>
                <w:caps w:val="0"/>
                <w:smallCaps w:val="0"/>
                <w:lang w:eastAsia="zh-CN"/>
              </w:rPr>
              <w:t>交海事部门指定具有专业资质的接收船接收处理</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val="en-US" w:eastAsia="zh-CN"/>
              </w:rPr>
              <w:t>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986" w:hRule="exact"/>
        </w:trPr>
        <w:tc>
          <w:tcPr>
            <w:tcW w:w="703" w:type="pct"/>
            <w:vMerge w:val="continue"/>
            <w:noWrap w:val="0"/>
            <w:vAlign w:val="center"/>
          </w:tcPr>
          <w:p>
            <w:pPr>
              <w:pStyle w:val="117"/>
              <w:bidi w:val="0"/>
              <w:rPr>
                <w:rFonts w:ascii="Times New Roman" w:hAnsi="Times New Roman" w:cs="Times New Roman"/>
                <w:caps w:val="0"/>
                <w:smallCaps w:val="0"/>
                <w:lang w:eastAsia="zh-CN"/>
              </w:rPr>
            </w:pPr>
          </w:p>
        </w:tc>
        <w:tc>
          <w:tcPr>
            <w:tcW w:w="647" w:type="pct"/>
            <w:vMerge w:val="continue"/>
            <w:noWrap w:val="0"/>
            <w:vAlign w:val="center"/>
          </w:tcPr>
          <w:p>
            <w:pPr>
              <w:pStyle w:val="117"/>
              <w:bidi w:val="0"/>
              <w:rPr>
                <w:rFonts w:ascii="Times New Roman" w:hAnsi="Times New Roman" w:cs="Times New Roman"/>
                <w:caps w:val="0"/>
                <w:smallCaps w:val="0"/>
                <w:lang w:eastAsia="zh-CN"/>
              </w:rPr>
            </w:pP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船舶员工生活污水</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排入趸船生活污水箱</w:t>
            </w:r>
            <w:r>
              <w:rPr>
                <w:rFonts w:hint="eastAsia" w:ascii="Times New Roman" w:hAnsi="Times New Roman" w:cs="Times New Roman"/>
                <w:caps w:val="0"/>
                <w:smallCaps w:val="0"/>
                <w:lang w:eastAsia="zh-CN"/>
              </w:rPr>
              <w:t>，</w:t>
            </w:r>
            <w:r>
              <w:rPr>
                <w:rFonts w:ascii="Times New Roman" w:hAnsi="Times New Roman" w:cs="Times New Roman"/>
                <w:caps w:val="0"/>
                <w:smallCaps w:val="0"/>
                <w:lang w:eastAsia="zh-CN"/>
              </w:rPr>
              <w:t>由海事部门指定具有专业资质的接收船接收处理</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val="en-US" w:eastAsia="zh-CN"/>
              </w:rPr>
              <w:t>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81" w:hRule="atLeas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固体废物</w:t>
            </w: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lang w:eastAsia="zh-CN"/>
              </w:rPr>
              <w:t>废</w:t>
            </w:r>
            <w:r>
              <w:rPr>
                <w:rFonts w:hint="eastAsia" w:ascii="Times New Roman" w:hAnsi="Times New Roman" w:cs="Times New Roman"/>
                <w:caps w:val="0"/>
                <w:smallCaps w:val="0"/>
                <w:lang w:eastAsia="zh-CN"/>
              </w:rPr>
              <w:t>矿物油</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专用废油收集桶收集后交有资质单位处理</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81" w:hRule="atLeas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vMerge w:val="continue"/>
            <w:noWrap w:val="0"/>
            <w:vAlign w:val="center"/>
          </w:tcPr>
          <w:p>
            <w:pPr>
              <w:pStyle w:val="117"/>
              <w:bidi w:val="0"/>
              <w:rPr>
                <w:rFonts w:ascii="Times New Roman" w:hAnsi="Times New Roman" w:cs="Times New Roman"/>
                <w:caps w:val="0"/>
                <w:smallCaps w:val="0"/>
              </w:rPr>
            </w:pP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船舶员工生活垃圾</w:t>
            </w:r>
          </w:p>
        </w:tc>
        <w:tc>
          <w:tcPr>
            <w:tcW w:w="2356" w:type="pct"/>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eastAsia="zh-CN"/>
              </w:rPr>
              <w:t>趸船</w:t>
            </w:r>
            <w:r>
              <w:rPr>
                <w:rFonts w:ascii="Times New Roman" w:hAnsi="Times New Roman" w:cs="Times New Roman"/>
                <w:caps w:val="0"/>
                <w:smallCaps w:val="0"/>
                <w:lang w:eastAsia="zh-CN"/>
              </w:rPr>
              <w:t>生活垃圾收集装置收集后</w:t>
            </w:r>
            <w:r>
              <w:rPr>
                <w:rFonts w:hint="eastAsia" w:ascii="Times New Roman" w:hAnsi="Times New Roman" w:cs="Times New Roman"/>
                <w:caps w:val="0"/>
                <w:smallCaps w:val="0"/>
                <w:lang w:val="en-US" w:eastAsia="zh-CN"/>
              </w:rPr>
              <w:t>上岸，交环卫部门处理</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0" w:hRule="atLeas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vMerge w:val="continue"/>
            <w:noWrap w:val="0"/>
            <w:vAlign w:val="center"/>
          </w:tcPr>
          <w:p>
            <w:pPr>
              <w:pStyle w:val="117"/>
              <w:bidi w:val="0"/>
              <w:rPr>
                <w:rFonts w:ascii="Times New Roman" w:hAnsi="Times New Roman" w:cs="Times New Roman"/>
                <w:caps w:val="0"/>
                <w:smallCaps w:val="0"/>
              </w:rPr>
            </w:pP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码头员工生活垃圾</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依托厂区生活垃圾收集系统收集后交环卫部门处置</w:t>
            </w: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2" w:hRule="atLeas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w:t>
            </w: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到港船舶降低航速，减少鸣笛次数，运输带设备隔声、减震、降噪</w:t>
            </w: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06" w:hRule="exac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vMerge w:val="restar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风险</w:t>
            </w: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应急设备</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围油栏、收油机等</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20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86" w:hRule="atLeas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vMerge w:val="continue"/>
            <w:noWrap w:val="0"/>
            <w:vAlign w:val="center"/>
          </w:tcPr>
          <w:p>
            <w:pPr>
              <w:pStyle w:val="117"/>
              <w:bidi w:val="0"/>
              <w:rPr>
                <w:rFonts w:ascii="Times New Roman" w:hAnsi="Times New Roman" w:cs="Times New Roman"/>
                <w:caps w:val="0"/>
                <w:smallCaps w:val="0"/>
              </w:rPr>
            </w:pP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应急预案</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制定环境风险应急预案</w:t>
            </w:r>
          </w:p>
        </w:tc>
        <w:tc>
          <w:tcPr>
            <w:tcW w:w="64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1</w:t>
            </w:r>
            <w:r>
              <w:rPr>
                <w:rFonts w:hint="eastAsia" w:ascii="Times New Roman" w:hAnsi="Times New Roman" w:cs="Times New Roman"/>
                <w:caps w:val="0"/>
                <w:smallCaps w:val="0"/>
                <w:lang w:eastAsia="zh-CN"/>
              </w:rPr>
              <w:t>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08" w:hRule="exact"/>
        </w:trPr>
        <w:tc>
          <w:tcPr>
            <w:tcW w:w="703" w:type="pct"/>
            <w:vMerge w:val="continue"/>
            <w:noWrap w:val="0"/>
            <w:vAlign w:val="center"/>
          </w:tcPr>
          <w:p>
            <w:pPr>
              <w:pStyle w:val="117"/>
              <w:bidi w:val="0"/>
              <w:rPr>
                <w:rFonts w:ascii="Times New Roman" w:hAnsi="Times New Roman" w:cs="Times New Roman"/>
                <w:caps w:val="0"/>
                <w:smallCaps w:val="0"/>
              </w:rPr>
            </w:pPr>
          </w:p>
        </w:tc>
        <w:tc>
          <w:tcPr>
            <w:tcW w:w="647"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环境管理</w:t>
            </w:r>
          </w:p>
        </w:tc>
        <w:tc>
          <w:tcPr>
            <w:tcW w:w="646" w:type="pct"/>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培训</w:t>
            </w:r>
          </w:p>
        </w:tc>
        <w:tc>
          <w:tcPr>
            <w:tcW w:w="2356" w:type="pct"/>
            <w:noWrap w:val="0"/>
            <w:vAlign w:val="center"/>
          </w:tcPr>
          <w:p>
            <w:pPr>
              <w:pStyle w:val="117"/>
              <w:bidi w:val="0"/>
              <w:rPr>
                <w:rFonts w:ascii="Times New Roman" w:hAnsi="Times New Roman" w:cs="Times New Roman"/>
                <w:caps w:val="0"/>
                <w:smallCaps w:val="0"/>
                <w:lang w:eastAsia="zh-CN"/>
              </w:rPr>
            </w:pPr>
            <w:r>
              <w:rPr>
                <w:rFonts w:ascii="Times New Roman" w:hAnsi="Times New Roman" w:cs="Times New Roman"/>
                <w:caps w:val="0"/>
                <w:smallCaps w:val="0"/>
                <w:lang w:eastAsia="zh-CN"/>
              </w:rPr>
              <w:t>环保培训、规章及实施</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10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88" w:hRule="exact"/>
        </w:trPr>
        <w:tc>
          <w:tcPr>
            <w:tcW w:w="1350" w:type="pct"/>
            <w:gridSpan w:val="2"/>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生态</w:t>
            </w:r>
          </w:p>
        </w:tc>
        <w:tc>
          <w:tcPr>
            <w:tcW w:w="64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生态恢复和保护</w:t>
            </w:r>
          </w:p>
        </w:tc>
        <w:tc>
          <w:tcPr>
            <w:tcW w:w="2356" w:type="pct"/>
            <w:noWrap w:val="0"/>
            <w:vAlign w:val="center"/>
          </w:tcPr>
          <w:p>
            <w:pPr>
              <w:pStyle w:val="117"/>
              <w:bidi w:val="0"/>
              <w:rPr>
                <w:rFonts w:ascii="Times New Roman" w:hAnsi="Times New Roman" w:cs="Times New Roman"/>
                <w:caps w:val="0"/>
                <w:smallCaps w:val="0"/>
                <w:lang w:eastAsia="zh-CN"/>
              </w:rPr>
            </w:pPr>
            <w:r>
              <w:rPr>
                <w:rFonts w:hint="eastAsia" w:ascii="Times New Roman" w:hAnsi="Times New Roman" w:cs="Times New Roman"/>
                <w:caps w:val="0"/>
                <w:smallCaps w:val="0"/>
                <w:lang w:eastAsia="zh-CN"/>
              </w:rPr>
              <w:t>保护区建设和管理、江豚救护、增殖放流</w:t>
            </w:r>
          </w:p>
        </w:tc>
        <w:tc>
          <w:tcPr>
            <w:tcW w:w="646" w:type="pct"/>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300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67" w:hRule="atLeast"/>
        </w:trPr>
        <w:tc>
          <w:tcPr>
            <w:tcW w:w="4353" w:type="pct"/>
            <w:gridSpan w:val="4"/>
            <w:noWrap w:val="0"/>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合计</w:t>
            </w:r>
          </w:p>
        </w:tc>
        <w:tc>
          <w:tcPr>
            <w:tcW w:w="646" w:type="pct"/>
            <w:noWrap w:val="0"/>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391.5</w:t>
            </w:r>
          </w:p>
        </w:tc>
      </w:tr>
    </w:tbl>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sectPr>
          <w:footerReference r:id="rId19" w:type="default"/>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keepNext/>
        <w:keepLines/>
        <w:numPr>
          <w:ilvl w:val="0"/>
          <w:numId w:val="1"/>
        </w:numPr>
        <w:adjustRightInd w:val="0"/>
        <w:snapToGrid w:val="0"/>
        <w:spacing w:line="480" w:lineRule="auto"/>
        <w:ind w:left="431" w:hanging="431"/>
        <w:jc w:val="center"/>
        <w:outlineLvl w:val="0"/>
        <w:rPr>
          <w:rFonts w:ascii="Times New Roman" w:hAnsi="Times New Roman" w:cs="Times New Roman" w:eastAsiaTheme="minorEastAsia"/>
          <w:b/>
          <w:bCs/>
          <w:caps w:val="0"/>
          <w:smallCaps w:val="0"/>
          <w:kern w:val="44"/>
          <w:sz w:val="32"/>
          <w:szCs w:val="32"/>
        </w:rPr>
      </w:pPr>
      <w:r>
        <w:rPr>
          <w:rFonts w:hint="eastAsia" w:ascii="Times New Roman" w:hAnsi="Times New Roman" w:cs="Times New Roman" w:eastAsiaTheme="minorEastAsia"/>
          <w:b/>
          <w:bCs/>
          <w:caps w:val="0"/>
          <w:smallCaps w:val="0"/>
          <w:kern w:val="44"/>
          <w:sz w:val="32"/>
          <w:szCs w:val="32"/>
          <w:lang w:val="en-US" w:eastAsia="zh-CN"/>
        </w:rPr>
        <w:t xml:space="preserve">   </w:t>
      </w:r>
      <w:bookmarkStart w:id="239" w:name="_Toc6396"/>
      <w:r>
        <w:rPr>
          <w:rFonts w:ascii="Times New Roman" w:hAnsi="Times New Roman" w:cs="Times New Roman" w:eastAsiaTheme="minorEastAsia"/>
          <w:b/>
          <w:bCs/>
          <w:caps w:val="0"/>
          <w:smallCaps w:val="0"/>
          <w:kern w:val="44"/>
          <w:sz w:val="32"/>
          <w:szCs w:val="32"/>
        </w:rPr>
        <w:t>环境经济损益分析</w:t>
      </w:r>
      <w:bookmarkEnd w:id="239"/>
    </w:p>
    <w:p>
      <w:pPr>
        <w:pStyle w:val="5"/>
        <w:bidi w:val="0"/>
        <w:rPr>
          <w:rFonts w:ascii="Times New Roman" w:hAnsi="Times New Roman" w:cs="Times New Roman"/>
          <w:caps w:val="0"/>
          <w:smallCaps w:val="0"/>
        </w:rPr>
      </w:pPr>
      <w:bookmarkStart w:id="240" w:name="_Toc21562"/>
      <w:r>
        <w:rPr>
          <w:rFonts w:ascii="Times New Roman" w:hAnsi="Times New Roman" w:cs="Times New Roman"/>
          <w:caps w:val="0"/>
          <w:smallCaps w:val="0"/>
        </w:rPr>
        <w:t>项目带来的环境损失</w:t>
      </w:r>
      <w:bookmarkEnd w:id="240"/>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本项目带来的环境损失主要表现在施工期码头、引桥基础施工对区域水环境的影响，管线工程施工对区域生态的影响；营运期装卸作业过程中产生的废气、生产废水和生活污水、事故风险溢油。</w:t>
      </w:r>
    </w:p>
    <w:p>
      <w:pPr>
        <w:adjustRightInd w:val="0"/>
        <w:snapToGrid w:val="0"/>
        <w:spacing w:line="360" w:lineRule="auto"/>
        <w:ind w:firstLine="498" w:firstLineChars="200"/>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t>1、水工建筑物施工作业对水环境的影响</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本项目水域施工将造成局部水域悬浮物浓度增加，对局部水环境、生态环境有一定的污染影响，但影响是暂时的、有限的，随着施工期的结束，这种影响也随之结束。</w:t>
      </w:r>
    </w:p>
    <w:p>
      <w:pPr>
        <w:adjustRightInd w:val="0"/>
        <w:snapToGrid w:val="0"/>
        <w:spacing w:line="360" w:lineRule="auto"/>
        <w:ind w:firstLine="498" w:firstLineChars="200"/>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t>2、装卸作业废气</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沥青</w:t>
      </w: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装卸船作业时，在风力作用下会造成局部区域非甲烷总烃影响。</w:t>
      </w:r>
    </w:p>
    <w:p>
      <w:pPr>
        <w:adjustRightInd w:val="0"/>
        <w:snapToGrid w:val="0"/>
        <w:spacing w:line="360" w:lineRule="auto"/>
        <w:ind w:firstLine="498" w:firstLineChars="200"/>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pPr>
      <w:r>
        <w:rPr>
          <w:rFonts w:hint="eastAsia" w:ascii="Times New Roman" w:hAnsi="Times New Roman" w:cs="Times New Roman" w:eastAsiaTheme="minorEastAsia"/>
          <w:b/>
          <w:caps w:val="0"/>
          <w:smallCaps w:val="0"/>
          <w:color w:val="000000" w:themeColor="text1"/>
          <w:spacing w:val="4"/>
          <w:sz w:val="24"/>
          <w:szCs w:val="24"/>
          <w:lang w:val="en-US" w:eastAsia="zh-CN"/>
          <w14:textFill>
            <w14:solidFill>
              <w14:schemeClr w14:val="tx1"/>
            </w14:solidFill>
          </w14:textFill>
        </w:rPr>
        <w:t>3</w:t>
      </w:r>
      <w: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t>、生产生活污水</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营运期发生的污水主要包括冲洗水、港区工作人员生活污水等，污水排放会增加受纳水体污染负荷。</w:t>
      </w:r>
    </w:p>
    <w:p>
      <w:pPr>
        <w:adjustRightInd w:val="0"/>
        <w:snapToGrid w:val="0"/>
        <w:spacing w:line="360" w:lineRule="auto"/>
        <w:ind w:firstLine="498" w:firstLineChars="200"/>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pPr>
      <w:r>
        <w:rPr>
          <w:rFonts w:hint="eastAsia" w:ascii="Times New Roman" w:hAnsi="Times New Roman" w:cs="Times New Roman" w:eastAsiaTheme="minorEastAsia"/>
          <w:b/>
          <w:caps w:val="0"/>
          <w:smallCaps w:val="0"/>
          <w:color w:val="000000" w:themeColor="text1"/>
          <w:spacing w:val="4"/>
          <w:sz w:val="24"/>
          <w:szCs w:val="24"/>
          <w:lang w:val="en-US" w:eastAsia="zh-CN"/>
          <w14:textFill>
            <w14:solidFill>
              <w14:schemeClr w14:val="tx1"/>
            </w14:solidFill>
          </w14:textFill>
        </w:rPr>
        <w:t>4</w:t>
      </w:r>
      <w: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t>、事故溢油</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到港船舶如在码头水域发生碰撞等事故，造成柴油泄漏，将对区域水、空气和生态环境和居民产生污染影响，造成环境损失。</w:t>
      </w:r>
    </w:p>
    <w:p>
      <w:pPr>
        <w:pStyle w:val="5"/>
        <w:bidi w:val="0"/>
        <w:rPr>
          <w:rFonts w:ascii="Times New Roman" w:hAnsi="Times New Roman" w:cs="Times New Roman"/>
          <w:caps w:val="0"/>
          <w:smallCaps w:val="0"/>
        </w:rPr>
      </w:pPr>
      <w:bookmarkStart w:id="241" w:name="_Toc12463"/>
      <w:r>
        <w:rPr>
          <w:rFonts w:ascii="Times New Roman" w:hAnsi="Times New Roman" w:cs="Times New Roman"/>
          <w:caps w:val="0"/>
          <w:smallCaps w:val="0"/>
        </w:rPr>
        <w:t>工程产生的效益分析</w:t>
      </w:r>
      <w:bookmarkEnd w:id="241"/>
    </w:p>
    <w:p>
      <w:pPr>
        <w:pStyle w:val="6"/>
        <w:bidi w:val="0"/>
        <w:rPr>
          <w:rFonts w:ascii="Times New Roman" w:hAnsi="Times New Roman" w:cs="Times New Roman"/>
          <w:caps w:val="0"/>
          <w:smallCaps w:val="0"/>
        </w:rPr>
      </w:pPr>
      <w:r>
        <w:rPr>
          <w:rFonts w:ascii="Times New Roman" w:hAnsi="Times New Roman" w:cs="Times New Roman"/>
          <w:caps w:val="0"/>
          <w:smallCaps w:val="0"/>
        </w:rPr>
        <w:t>社会经济效益</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本项目的建设符合国家产业政策，项目建成投产后，将为当地带来新的就业机会，会使部分外出务工人员返乡而留在当地参与项目的建设，随着现代化港口的建成及运营，为当地居民提供新的经济收入来源，丰富了当地居民的生活，提高了当地教育、文化和卫生水平，使当地居民的生活水平和生活质量得到提高和改善。</w:t>
      </w:r>
    </w:p>
    <w:p>
      <w:pPr>
        <w:pStyle w:val="6"/>
        <w:bidi w:val="0"/>
        <w:rPr>
          <w:rFonts w:ascii="Times New Roman" w:hAnsi="Times New Roman" w:cs="Times New Roman"/>
          <w:caps w:val="0"/>
          <w:smallCaps w:val="0"/>
        </w:rPr>
      </w:pPr>
      <w:r>
        <w:rPr>
          <w:rFonts w:ascii="Times New Roman" w:hAnsi="Times New Roman" w:cs="Times New Roman"/>
          <w:caps w:val="0"/>
          <w:smallCaps w:val="0"/>
        </w:rPr>
        <w:t>环境经济效益</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工程施工对区域环境会带来短暂的影响，通过控制采取适当的方法、文明施工，加强施工监理等措施减缓影响。各种废水经</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收集处理</w:t>
      </w: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对周围地表水环境影响不明显；采取的各种降噪、隔声措施可降低噪声设备的声级，减少噪声对港界的影响，同时改善工作环境，保护了劳动者的身心健康；固体废物在采取合理的处理处置措施后，不产生二次污染，基本不对周边环境产生危害。</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本项目在采取切实可行的环保措施后，可以大幅度减少污染物的排放量。项目环境经济效益估算见表</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8</w:t>
      </w: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2</w:t>
      </w: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-1。</w:t>
      </w:r>
    </w:p>
    <w:p>
      <w:pPr>
        <w:adjustRightInd w:val="0"/>
        <w:snapToGrid w:val="0"/>
        <w:spacing w:line="276" w:lineRule="auto"/>
        <w:ind w:firstLine="498" w:firstLineChars="200"/>
        <w:jc w:val="cente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t>表</w:t>
      </w:r>
      <w:r>
        <w:rPr>
          <w:rFonts w:hint="eastAsia" w:ascii="Times New Roman" w:hAnsi="Times New Roman" w:cs="Times New Roman" w:eastAsiaTheme="minorEastAsia"/>
          <w:b/>
          <w:caps w:val="0"/>
          <w:smallCaps w:val="0"/>
          <w:color w:val="000000" w:themeColor="text1"/>
          <w:spacing w:val="4"/>
          <w:sz w:val="24"/>
          <w:szCs w:val="24"/>
          <w:lang w:val="en-US" w:eastAsia="zh-CN"/>
          <w14:textFill>
            <w14:solidFill>
              <w14:schemeClr w14:val="tx1"/>
            </w14:solidFill>
          </w14:textFill>
        </w:rPr>
        <w:t>8</w:t>
      </w:r>
      <w: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t>.</w:t>
      </w:r>
      <w:r>
        <w:rPr>
          <w:rFonts w:hint="eastAsia" w:ascii="Times New Roman" w:hAnsi="Times New Roman" w:cs="Times New Roman" w:eastAsiaTheme="minorEastAsia"/>
          <w:b/>
          <w:caps w:val="0"/>
          <w:smallCaps w:val="0"/>
          <w:color w:val="000000" w:themeColor="text1"/>
          <w:spacing w:val="4"/>
          <w:sz w:val="24"/>
          <w:szCs w:val="24"/>
          <w:lang w:val="en-US" w:eastAsia="zh-CN"/>
          <w14:textFill>
            <w14:solidFill>
              <w14:schemeClr w14:val="tx1"/>
            </w14:solidFill>
          </w14:textFill>
        </w:rPr>
        <w:t>2</w:t>
      </w:r>
      <w: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t>-1本项目环境经济效益估算</w:t>
      </w:r>
    </w:p>
    <w:tbl>
      <w:tblPr>
        <w:tblStyle w:val="72"/>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26"/>
        <w:gridCol w:w="3817"/>
        <w:gridCol w:w="2477"/>
        <w:gridCol w:w="216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4"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3716"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投资目的</w:t>
            </w:r>
          </w:p>
        </w:tc>
        <w:tc>
          <w:tcPr>
            <w:tcW w:w="2411"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估算换回费用（万元）</w:t>
            </w:r>
          </w:p>
        </w:tc>
        <w:tc>
          <w:tcPr>
            <w:tcW w:w="211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备注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4"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3716"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杜绝风险事故发生，避免事故溢油造成经济损失，减少水域污染</w:t>
            </w:r>
          </w:p>
        </w:tc>
        <w:tc>
          <w:tcPr>
            <w:tcW w:w="2411"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30</w:t>
            </w:r>
          </w:p>
        </w:tc>
        <w:tc>
          <w:tcPr>
            <w:tcW w:w="211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按发生一次事故溢油损失计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4"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w:t>
            </w:r>
          </w:p>
        </w:tc>
        <w:tc>
          <w:tcPr>
            <w:tcW w:w="3716"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控制</w:t>
            </w:r>
            <w:r>
              <w:rPr>
                <w:rFonts w:hint="eastAsia" w:ascii="Times New Roman" w:hAnsi="Times New Roman" w:cs="Times New Roman"/>
                <w:caps w:val="0"/>
                <w:smallCaps w:val="0"/>
                <w:lang w:val="en-US" w:eastAsia="zh-CN"/>
              </w:rPr>
              <w:t>沥青</w:t>
            </w:r>
            <w:r>
              <w:rPr>
                <w:rFonts w:ascii="Times New Roman" w:hAnsi="Times New Roman" w:cs="Times New Roman"/>
                <w:caps w:val="0"/>
                <w:smallCaps w:val="0"/>
              </w:rPr>
              <w:t>卸船环节的废气污染</w:t>
            </w:r>
          </w:p>
        </w:tc>
        <w:tc>
          <w:tcPr>
            <w:tcW w:w="2411" w:type="dxa"/>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val="en-US" w:eastAsia="zh-CN"/>
              </w:rPr>
              <w:t>5</w:t>
            </w:r>
          </w:p>
        </w:tc>
        <w:tc>
          <w:tcPr>
            <w:tcW w:w="211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按周边人群收到的长期影响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804"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w:t>
            </w:r>
          </w:p>
        </w:tc>
        <w:tc>
          <w:tcPr>
            <w:tcW w:w="3716"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防止污水排放和其它污染物对水体影响</w:t>
            </w:r>
          </w:p>
        </w:tc>
        <w:tc>
          <w:tcPr>
            <w:tcW w:w="2411" w:type="dxa"/>
            <w:vAlign w:val="center"/>
          </w:tcPr>
          <w:p>
            <w:pPr>
              <w:pStyle w:val="117"/>
              <w:bidi w:val="0"/>
              <w:rPr>
                <w:rFonts w:hint="eastAsia" w:ascii="Times New Roman" w:hAnsi="Times New Roman" w:cs="Times New Roman"/>
                <w:caps w:val="0"/>
                <w:smallCaps w:val="0"/>
                <w:lang w:eastAsia="zh-CN"/>
              </w:rPr>
            </w:pPr>
            <w:r>
              <w:rPr>
                <w:rFonts w:hint="eastAsia" w:ascii="Times New Roman" w:hAnsi="Times New Roman" w:cs="Times New Roman"/>
                <w:caps w:val="0"/>
                <w:smallCaps w:val="0"/>
                <w:lang w:val="en-US" w:eastAsia="zh-CN"/>
              </w:rPr>
              <w:t>5</w:t>
            </w:r>
          </w:p>
        </w:tc>
        <w:tc>
          <w:tcPr>
            <w:tcW w:w="211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按污染物排入江中造成的损失计</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520" w:type="dxa"/>
            <w:gridSpan w:val="2"/>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合计</w:t>
            </w:r>
          </w:p>
        </w:tc>
        <w:tc>
          <w:tcPr>
            <w:tcW w:w="2411" w:type="dxa"/>
            <w:vAlign w:val="center"/>
          </w:tcPr>
          <w:p>
            <w:pPr>
              <w:pStyle w:val="117"/>
              <w:bidi w:val="0"/>
              <w:rPr>
                <w:rFonts w:hint="default" w:ascii="Times New Roman" w:hAnsi="Times New Roman" w:cs="Times New Roman"/>
                <w:caps w:val="0"/>
                <w:smallCaps w:val="0"/>
                <w:lang w:val="en-US" w:eastAsia="zh-CN"/>
              </w:rPr>
            </w:pPr>
            <w:r>
              <w:rPr>
                <w:rFonts w:hint="eastAsia" w:ascii="Times New Roman" w:hAnsi="Times New Roman" w:cs="Times New Roman"/>
                <w:caps w:val="0"/>
                <w:smallCaps w:val="0"/>
                <w:lang w:val="en-US" w:eastAsia="zh-CN"/>
              </w:rPr>
              <w:t>40</w:t>
            </w:r>
          </w:p>
        </w:tc>
        <w:tc>
          <w:tcPr>
            <w:tcW w:w="2110"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r>
    </w:tbl>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结合本项目带来的环境损失、产生的经济效益和社会效益，以及工程环保投入和产生的环境效益进行综合分析，本项目的建设在创造良好经济效益和社会效益的同时，对环境的影响有限，经采取措施后，能够将工程带来的环境损失得到最大限度的控制。</w:t>
      </w:r>
    </w:p>
    <w:p>
      <w:pPr>
        <w:pStyle w:val="5"/>
        <w:bidi w:val="0"/>
        <w:rPr>
          <w:rFonts w:ascii="Times New Roman" w:hAnsi="Times New Roman" w:cs="Times New Roman"/>
          <w:caps w:val="0"/>
          <w:smallCaps w:val="0"/>
        </w:rPr>
      </w:pPr>
      <w:bookmarkStart w:id="242" w:name="_Toc11124"/>
      <w:r>
        <w:rPr>
          <w:rFonts w:ascii="Times New Roman" w:hAnsi="Times New Roman" w:cs="Times New Roman"/>
          <w:caps w:val="0"/>
          <w:smallCaps w:val="0"/>
        </w:rPr>
        <w:t>环境影响经济损益分析</w:t>
      </w:r>
      <w:bookmarkEnd w:id="242"/>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环保措施的经济损益分析可由年环保费用的经济效益来表示，计算公式如下：</w:t>
      </w:r>
    </w:p>
    <w:p>
      <w:pPr>
        <w:adjustRightInd w:val="0"/>
        <w:snapToGrid w:val="0"/>
        <w:spacing w:line="360" w:lineRule="auto"/>
        <w:jc w:val="cente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E=S/H</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式中：E—环保费用的经济效益；</w:t>
      </w:r>
    </w:p>
    <w:p>
      <w:pPr>
        <w:adjustRightInd w:val="0"/>
        <w:snapToGrid w:val="0"/>
        <w:spacing w:line="360" w:lineRule="auto"/>
        <w:ind w:firstLine="1240" w:firstLineChars="5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S—采取环保措施后每年可挽回的经济损失；</w:t>
      </w:r>
    </w:p>
    <w:p>
      <w:pPr>
        <w:adjustRightInd w:val="0"/>
        <w:snapToGrid w:val="0"/>
        <w:spacing w:line="360" w:lineRule="auto"/>
        <w:ind w:firstLine="1240" w:firstLineChars="5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H—年均环保投资费用。</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本项目每年可挽回经济损失</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4</w:t>
      </w: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0万元，每年（折算营运期20年）用于环保的直接费用为8万元，环保费用的经济效益E=</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4</w:t>
      </w: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0/8=</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5</w:t>
      </w: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，较为合理。</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结合本项目带来的环境损失、产生的经济效益、社会效益以及工程环保投入和产生的环境效益进行综合分析和比较，本项目的建设在创造良好经济效益和社会效益的同时，经采取污染防治措施后，能够将工程带来的环境损失降到很低程度，对环境的影响有限。</w:t>
      </w:r>
    </w:p>
    <w:p>
      <w:pPr>
        <w:autoSpaceDE w:val="0"/>
        <w:autoSpaceDN w:val="0"/>
        <w:adjustRightInd w:val="0"/>
        <w:snapToGrid w:val="0"/>
        <w:spacing w:line="360" w:lineRule="auto"/>
        <w:ind w:firstLine="496" w:firstLineChars="200"/>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综上所述，本项目的建设能够做到经济效益、社会效益和环境效益的统一。</w:t>
      </w:r>
    </w:p>
    <w:p>
      <w:pPr>
        <w:pStyle w:val="69"/>
        <w:ind w:firstLine="0" w:firstLineChars="0"/>
        <w:rPr>
          <w:rFonts w:ascii="Times New Roman" w:hAnsi="Times New Roman" w:cs="Times New Roman" w:eastAsiaTheme="minorEastAsia"/>
          <w:caps w:val="0"/>
          <w:smallCaps w:val="0"/>
        </w:rPr>
      </w:pPr>
    </w:p>
    <w:p>
      <w:pPr>
        <w:pStyle w:val="69"/>
        <w:ind w:firstLine="480"/>
        <w:rPr>
          <w:rFonts w:ascii="Times New Roman" w:hAnsi="Times New Roman" w:cs="Times New Roman" w:eastAsiaTheme="minorEastAsia"/>
          <w:caps w:val="0"/>
          <w:smallCaps w:val="0"/>
        </w:rPr>
        <w:sectPr>
          <w:headerReference r:id="rId20" w:type="default"/>
          <w:pgSz w:w="11907" w:h="16839"/>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keepNext/>
        <w:keepLines/>
        <w:pageBreakBefore w:val="0"/>
        <w:widowControl w:val="0"/>
        <w:kinsoku/>
        <w:wordWrap/>
        <w:overflowPunct/>
        <w:topLinePunct w:val="0"/>
        <w:autoSpaceDE/>
        <w:autoSpaceDN/>
        <w:bidi w:val="0"/>
        <w:adjustRightInd w:val="0"/>
        <w:snapToGrid w:val="0"/>
        <w:spacing w:line="480" w:lineRule="auto"/>
        <w:ind w:left="431" w:firstLine="0" w:firstLineChars="0"/>
        <w:jc w:val="center"/>
        <w:textAlignment w:val="auto"/>
        <w:rPr>
          <w:rFonts w:ascii="Times New Roman" w:hAnsi="Times New Roman" w:cs="Times New Roman" w:eastAsiaTheme="minorEastAsia"/>
          <w:b/>
          <w:caps w:val="0"/>
          <w:smallCaps w:val="0"/>
          <w:sz w:val="32"/>
          <w:szCs w:val="32"/>
        </w:rPr>
      </w:pPr>
      <w:r>
        <w:rPr>
          <w:rFonts w:hint="eastAsia" w:ascii="Times New Roman" w:hAnsi="Times New Roman" w:cs="Times New Roman" w:eastAsiaTheme="minorEastAsia"/>
          <w:b/>
          <w:caps w:val="0"/>
          <w:smallCaps w:val="0"/>
          <w:sz w:val="32"/>
          <w:szCs w:val="32"/>
          <w:lang w:val="en-US" w:eastAsia="zh-CN"/>
        </w:rPr>
        <w:t xml:space="preserve">  </w:t>
      </w:r>
      <w:bookmarkStart w:id="243" w:name="_Toc6828"/>
      <w:r>
        <w:rPr>
          <w:rFonts w:ascii="Times New Roman" w:hAnsi="Times New Roman" w:cs="Times New Roman" w:eastAsiaTheme="minorEastAsia"/>
          <w:b/>
          <w:caps w:val="0"/>
          <w:smallCaps w:val="0"/>
          <w:sz w:val="32"/>
          <w:szCs w:val="32"/>
        </w:rPr>
        <w:t>环境保护管理及监测计划</w:t>
      </w:r>
      <w:bookmarkEnd w:id="243"/>
    </w:p>
    <w:p>
      <w:pPr>
        <w:pStyle w:val="5"/>
        <w:rPr>
          <w:rFonts w:ascii="Times New Roman" w:hAnsi="Times New Roman" w:cs="Times New Roman" w:eastAsiaTheme="minorEastAsia"/>
          <w:b/>
          <w:caps w:val="0"/>
          <w:smallCaps w:val="0"/>
        </w:rPr>
      </w:pPr>
      <w:bookmarkStart w:id="244" w:name="_Toc16032"/>
      <w:r>
        <w:rPr>
          <w:rFonts w:ascii="Times New Roman" w:hAnsi="Times New Roman" w:cs="Times New Roman" w:eastAsiaTheme="minorEastAsia"/>
          <w:b/>
          <w:caps w:val="0"/>
          <w:smallCaps w:val="0"/>
        </w:rPr>
        <w:t>环境管理</w:t>
      </w:r>
      <w:bookmarkEnd w:id="244"/>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环境管理是以环境科学理论为基础，运用经济、法律、技术、行政、教育等手段对经济、社会发展过程中施加给环境的污染和破坏影响进行调节控制、实现经济、社会和环境效益的和谐统一。本环境管理计划依据环评报告书提出的主要环境问题、环保工程措施及省、地市</w:t>
      </w:r>
      <w:r>
        <w:rPr>
          <w:rFonts w:hint="eastAsia" w:ascii="Times New Roman" w:hAnsi="Times New Roman" w:cs="Times New Roman" w:eastAsiaTheme="minorEastAsia"/>
          <w:caps w:val="0"/>
          <w:smallCaps w:val="0"/>
          <w:color w:val="000000" w:themeColor="text1"/>
          <w:kern w:val="0"/>
          <w:sz w:val="24"/>
          <w:szCs w:val="24"/>
          <w:lang w:eastAsia="zh-CN"/>
          <w14:textFill>
            <w14:solidFill>
              <w14:schemeClr w14:val="tx1"/>
            </w14:solidFill>
          </w14:textFill>
        </w:rPr>
        <w:t>生态环境</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部门对企业环境管理的要求，提出该项目的环境管理和监测计划，供各级环保部门对该项目进行环境管理时参考，并作为企业项目设计、建设及运营阶段环境保护管理工作的依据。</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环境保护管理目的</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1、贯彻执行国家有关环境保护方针、政策及法规条例；</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2、制定年度项目环境保护工作计划，整编相关资料，建立环境信息系统，编制年度环境质量报告，并呈报上级主管部门；</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3、加强项目环境监测管理，审定监测计划，委托具有相应资质的环境、卫生监测等专业部门实施环境监测计划；</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4、组织实施项目的环境保护规划，并监督、检查环境保护措施的执行情况和环保经费的使用情况；</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5、协调处理项目引起的环境污染事故和环境纠纷；</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6、加强环境保护的宣传教育和技术培训，提高工程建设、管理人员的环境保护意识与环境保护技术水平。</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环境保护管理机构</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建设、营运各个时段环境保护管理机构的与监督机构的组成见表</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9</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.1-1。</w:t>
      </w:r>
    </w:p>
    <w:p>
      <w:pPr>
        <w:autoSpaceDE w:val="0"/>
        <w:autoSpaceDN w:val="0"/>
        <w:adjustRightInd w:val="0"/>
        <w:snapToGrid w:val="0"/>
        <w:spacing w:line="276" w:lineRule="auto"/>
        <w:jc w:val="cente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表</w:t>
      </w:r>
      <w:r>
        <w:rPr>
          <w:rFonts w:hint="eastAsia" w:ascii="Times New Roman" w:hAnsi="Times New Roman" w:cs="Times New Roman" w:eastAsiaTheme="minorEastAsia"/>
          <w:b/>
          <w:caps w:val="0"/>
          <w:smallCaps w:val="0"/>
          <w:color w:val="000000" w:themeColor="text1"/>
          <w:kern w:val="0"/>
          <w:sz w:val="24"/>
          <w:szCs w:val="24"/>
          <w:lang w:val="en-US" w:eastAsia="zh-CN"/>
          <w14:textFill>
            <w14:solidFill>
              <w14:schemeClr w14:val="tx1"/>
            </w14:solidFill>
          </w14:textFill>
        </w:rPr>
        <w:t>9</w:t>
      </w: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.1-1环境保护管理机构主要工作职能</w:t>
      </w:r>
    </w:p>
    <w:tbl>
      <w:tblPr>
        <w:tblStyle w:val="7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1687"/>
        <w:gridCol w:w="2624"/>
        <w:gridCol w:w="403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2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管理内容项目阶段</w:t>
            </w:r>
          </w:p>
        </w:tc>
        <w:tc>
          <w:tcPr>
            <w:tcW w:w="2835"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工程建设内容</w:t>
            </w:r>
          </w:p>
        </w:tc>
        <w:tc>
          <w:tcPr>
            <w:tcW w:w="4377"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环境管理内容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2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项目前期工作</w:t>
            </w:r>
          </w:p>
        </w:tc>
        <w:tc>
          <w:tcPr>
            <w:tcW w:w="2835"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编制项目建议书</w:t>
            </w:r>
            <w:r>
              <w:rPr>
                <w:rFonts w:hint="eastAsia" w:ascii="Times New Roman" w:hAnsi="Times New Roman" w:cs="Times New Roman"/>
                <w:caps w:val="0"/>
                <w:smallCaps w:val="0"/>
              </w:rPr>
              <w:t>；</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编制可行性研究报告</w:t>
            </w:r>
            <w:r>
              <w:rPr>
                <w:rFonts w:hint="eastAsia" w:ascii="Times New Roman" w:hAnsi="Times New Roman" w:cs="Times New Roman"/>
                <w:caps w:val="0"/>
                <w:smallCaps w:val="0"/>
              </w:rPr>
              <w:t>；</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⑶</w:t>
            </w:r>
            <w:r>
              <w:rPr>
                <w:rFonts w:ascii="Times New Roman" w:hAnsi="Times New Roman" w:cs="Times New Roman"/>
                <w:caps w:val="0"/>
                <w:smallCaps w:val="0"/>
              </w:rPr>
              <w:t>编制设计任务书</w:t>
            </w:r>
            <w:r>
              <w:rPr>
                <w:rFonts w:hint="eastAsia" w:ascii="Times New Roman" w:hAnsi="Times New Roman" w:cs="Times New Roman"/>
                <w:caps w:val="0"/>
                <w:smallCaps w:val="0"/>
              </w:rPr>
              <w:t>；</w:t>
            </w:r>
          </w:p>
        </w:tc>
        <w:tc>
          <w:tcPr>
            <w:tcW w:w="4377"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填写《建设项目环境影响申报（登记）表》</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委托环评单位编制环境影响报告书</w:t>
            </w:r>
            <w:r>
              <w:rPr>
                <w:rFonts w:hint="eastAsia" w:ascii="Times New Roman" w:hAnsi="Times New Roman" w:cs="Times New Roman"/>
                <w:caps w:val="0"/>
                <w:smallCaps w:val="0"/>
              </w:rPr>
              <w:t>；</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⑶</w:t>
            </w:r>
            <w:r>
              <w:rPr>
                <w:rFonts w:ascii="Times New Roman" w:hAnsi="Times New Roman" w:cs="Times New Roman"/>
                <w:caps w:val="0"/>
                <w:smallCaps w:val="0"/>
              </w:rPr>
              <w:t>报告书送审、报批</w:t>
            </w:r>
            <w:r>
              <w:rPr>
                <w:rFonts w:hint="eastAsia"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2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设计阶段</w:t>
            </w:r>
          </w:p>
        </w:tc>
        <w:tc>
          <w:tcPr>
            <w:tcW w:w="2835"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工程初步设计</w:t>
            </w:r>
            <w:r>
              <w:rPr>
                <w:rFonts w:hint="eastAsia" w:ascii="Times New Roman" w:hAnsi="Times New Roman" w:cs="Times New Roman"/>
                <w:caps w:val="0"/>
                <w:smallCaps w:val="0"/>
              </w:rPr>
              <w:t>；</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工程施工图设计</w:t>
            </w:r>
            <w:r>
              <w:rPr>
                <w:rFonts w:hint="eastAsia" w:ascii="Times New Roman" w:hAnsi="Times New Roman" w:cs="Times New Roman"/>
                <w:caps w:val="0"/>
                <w:smallCaps w:val="0"/>
              </w:rPr>
              <w:t>；</w:t>
            </w:r>
          </w:p>
        </w:tc>
        <w:tc>
          <w:tcPr>
            <w:tcW w:w="4377"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协助设计单位落实环评报告书中提出的各项环境保护措施</w:t>
            </w:r>
            <w:r>
              <w:rPr>
                <w:rFonts w:hint="eastAsia"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2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施工阶段</w:t>
            </w:r>
          </w:p>
        </w:tc>
        <w:tc>
          <w:tcPr>
            <w:tcW w:w="2835"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编制施工文件及施工报告</w:t>
            </w:r>
            <w:r>
              <w:rPr>
                <w:rFonts w:hint="eastAsia" w:ascii="Times New Roman" w:hAnsi="Times New Roman" w:cs="Times New Roman"/>
                <w:caps w:val="0"/>
                <w:smallCaps w:val="0"/>
              </w:rPr>
              <w:t>；</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施工安装、提出竣工报告</w:t>
            </w:r>
          </w:p>
        </w:tc>
        <w:tc>
          <w:tcPr>
            <w:tcW w:w="4377"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监督施工单位落实环境保护措施</w:t>
            </w:r>
            <w:r>
              <w:rPr>
                <w:rFonts w:hint="eastAsia" w:ascii="Times New Roman" w:hAnsi="Times New Roman" w:cs="Times New Roman"/>
                <w:caps w:val="0"/>
                <w:smallCaps w:val="0"/>
              </w:rPr>
              <w:t>；</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环保设备施工及竣工验收</w:t>
            </w:r>
            <w:r>
              <w:rPr>
                <w:rFonts w:hint="eastAsia" w:ascii="Times New Roman" w:hAnsi="Times New Roman" w:cs="Times New Roman"/>
                <w:caps w:val="0"/>
                <w:smallCaps w:val="0"/>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82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运营阶段</w:t>
            </w:r>
          </w:p>
        </w:tc>
        <w:tc>
          <w:tcPr>
            <w:tcW w:w="2835"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生产装卸作业</w:t>
            </w:r>
            <w:r>
              <w:rPr>
                <w:rFonts w:hint="eastAsia" w:ascii="Times New Roman" w:hAnsi="Times New Roman" w:cs="Times New Roman"/>
                <w:caps w:val="0"/>
                <w:smallCaps w:val="0"/>
              </w:rPr>
              <w:t>；</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管线输送</w:t>
            </w:r>
            <w:r>
              <w:rPr>
                <w:rFonts w:hint="eastAsia" w:ascii="Times New Roman" w:hAnsi="Times New Roman" w:cs="Times New Roman"/>
                <w:caps w:val="0"/>
                <w:smallCaps w:val="0"/>
              </w:rPr>
              <w:t>；</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⑶</w:t>
            </w:r>
            <w:r>
              <w:rPr>
                <w:rFonts w:ascii="Times New Roman" w:hAnsi="Times New Roman" w:cs="Times New Roman"/>
                <w:caps w:val="0"/>
                <w:smallCaps w:val="0"/>
              </w:rPr>
              <w:t>环保设施运行</w:t>
            </w:r>
            <w:r>
              <w:rPr>
                <w:rFonts w:hint="eastAsia" w:ascii="Times New Roman" w:hAnsi="Times New Roman" w:cs="Times New Roman"/>
                <w:caps w:val="0"/>
                <w:smallCaps w:val="0"/>
              </w:rPr>
              <w:t>；</w:t>
            </w:r>
          </w:p>
        </w:tc>
        <w:tc>
          <w:tcPr>
            <w:tcW w:w="4377"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检查环保设施运行情况</w:t>
            </w:r>
            <w:r>
              <w:rPr>
                <w:rFonts w:hint="eastAsia" w:ascii="Times New Roman" w:hAnsi="Times New Roman" w:cs="Times New Roman"/>
                <w:caps w:val="0"/>
                <w:smallCaps w:val="0"/>
              </w:rPr>
              <w:t>；</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做好内部环境监测和管理工作，并定期与当地</w:t>
            </w:r>
            <w:r>
              <w:rPr>
                <w:rFonts w:hint="eastAsia" w:ascii="Times New Roman" w:hAnsi="Times New Roman" w:cs="Times New Roman"/>
                <w:caps w:val="0"/>
                <w:smallCaps w:val="0"/>
                <w:lang w:eastAsia="zh-CN"/>
              </w:rPr>
              <w:t>生态环境</w:t>
            </w:r>
            <w:r>
              <w:rPr>
                <w:rFonts w:ascii="Times New Roman" w:hAnsi="Times New Roman" w:cs="Times New Roman"/>
                <w:caps w:val="0"/>
                <w:smallCaps w:val="0"/>
              </w:rPr>
              <w:t>部门汇报</w:t>
            </w:r>
          </w:p>
        </w:tc>
      </w:tr>
    </w:tbl>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生态环境局负责对项目保护工作实施监督管理，组织协调有关机构为项目环境保护工作服务，监督项目环境管理计划的实施，项目环保设施的竣工验收、运行情况的检查和监督管理。工程施工实行监理制度，按工程质量和环保要求对项目进行全面质量管理。</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施工前环境管理</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在施工前，施工单位应详细编制施工组织计划并建立环境管理制度，要有专人负责施工期间的环境保护工作，对施工中产生的“三废”应作出相应的防治措施及处置方法。环境管理要做到贯彻国家的环保法规标准，建立各项环保管理制度，做到有章可循，科学管理。工程建设时应保证环保投资落实到位，使各项环保设施达到设计规定的效率和要求。</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施工期环境管理</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为预防和治理施工中的环境污染问题，除采取必要的污染治理措施外，还必须加强</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施工期的环境监测和管理。对此，提出以下建议：</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⑴</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建设单位在签订施工承包合同时，应将有关环境保护的条款列入合同，其中应包括施工中在环境污染预防和治理方面对承包方的具体要求，如施工噪声污染、废水、扬尘和废气等排放治理，施工垃圾处理处置等内容，见表</w:t>
      </w:r>
      <w:r>
        <w:rPr>
          <w:rFonts w:hint="eastAsia" w:ascii="Times New Roman" w:hAnsi="Times New Roman" w:cs="Times New Roman" w:eastAsiaTheme="minorEastAsia"/>
          <w:caps w:val="0"/>
          <w:smallCaps w:val="0"/>
          <w:color w:val="000000" w:themeColor="text1"/>
          <w:kern w:val="0"/>
          <w:sz w:val="24"/>
          <w:szCs w:val="24"/>
          <w:lang w:val="en-US" w:eastAsia="zh-CN"/>
          <w14:textFill>
            <w14:solidFill>
              <w14:schemeClr w14:val="tx1"/>
            </w14:solidFill>
          </w14:textFill>
        </w:rPr>
        <w:t>9</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.1-2。</w:t>
      </w:r>
    </w:p>
    <w:p>
      <w:pPr>
        <w:autoSpaceDE w:val="0"/>
        <w:autoSpaceDN w:val="0"/>
        <w:adjustRightInd w:val="0"/>
        <w:snapToGrid w:val="0"/>
        <w:spacing w:line="276" w:lineRule="auto"/>
        <w:ind w:firstLine="482" w:firstLineChars="200"/>
        <w:jc w:val="cente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表</w:t>
      </w:r>
      <w:r>
        <w:rPr>
          <w:rFonts w:hint="eastAsia" w:ascii="Times New Roman" w:hAnsi="Times New Roman" w:cs="Times New Roman" w:eastAsiaTheme="minorEastAsia"/>
          <w:b/>
          <w:caps w:val="0"/>
          <w:smallCaps w:val="0"/>
          <w:color w:val="000000" w:themeColor="text1"/>
          <w:kern w:val="0"/>
          <w:sz w:val="24"/>
          <w:szCs w:val="24"/>
          <w:lang w:val="en-US" w:eastAsia="zh-CN"/>
          <w14:textFill>
            <w14:solidFill>
              <w14:schemeClr w14:val="tx1"/>
            </w14:solidFill>
          </w14:textFill>
        </w:rPr>
        <w:t>9</w:t>
      </w: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.1-2施工期环境影响监督表</w:t>
      </w:r>
    </w:p>
    <w:tbl>
      <w:tblPr>
        <w:tblStyle w:val="72"/>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49"/>
        <w:gridCol w:w="1316"/>
        <w:gridCol w:w="4436"/>
        <w:gridCol w:w="212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141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项目</w:t>
            </w:r>
          </w:p>
        </w:tc>
        <w:tc>
          <w:tcPr>
            <w:tcW w:w="4871"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监督内容</w:t>
            </w:r>
          </w:p>
        </w:tc>
        <w:tc>
          <w:tcPr>
            <w:tcW w:w="23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监督单位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141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施工废水</w:t>
            </w:r>
          </w:p>
        </w:tc>
        <w:tc>
          <w:tcPr>
            <w:tcW w:w="4871"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临时处理措施，含油污水和生活污水是否落实处理</w:t>
            </w:r>
            <w:r>
              <w:rPr>
                <w:rFonts w:hint="eastAsia" w:ascii="Times New Roman" w:hAnsi="Times New Roman" w:cs="Times New Roman"/>
                <w:caps w:val="0"/>
                <w:smallCaps w:val="0"/>
                <w:lang w:eastAsia="zh-CN"/>
              </w:rPr>
              <w:t>，生产生活废水不得排入湘江</w:t>
            </w:r>
            <w:r>
              <w:rPr>
                <w:rFonts w:ascii="Times New Roman" w:hAnsi="Times New Roman" w:cs="Times New Roman"/>
                <w:caps w:val="0"/>
                <w:smallCaps w:val="0"/>
              </w:rPr>
              <w:t>；码头水域施工是否在枯水季节</w:t>
            </w:r>
          </w:p>
        </w:tc>
        <w:tc>
          <w:tcPr>
            <w:tcW w:w="23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地方生态环境主管部门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w:t>
            </w:r>
          </w:p>
        </w:tc>
        <w:tc>
          <w:tcPr>
            <w:tcW w:w="141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扬尘等废气</w:t>
            </w:r>
          </w:p>
        </w:tc>
        <w:tc>
          <w:tcPr>
            <w:tcW w:w="4871"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扬尘抑制措施，是否修筑厂界围墙或简约围屏，是否对散料堆场采取水喷淋防尘措施，是否对陆域施工现场及运输道路定期洒水清扫，保持车辆出入口路面清洁和湿润</w:t>
            </w:r>
          </w:p>
        </w:tc>
        <w:tc>
          <w:tcPr>
            <w:tcW w:w="23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地方生态环境主管部门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w:t>
            </w:r>
          </w:p>
        </w:tc>
        <w:tc>
          <w:tcPr>
            <w:tcW w:w="141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w:t>
            </w:r>
          </w:p>
        </w:tc>
        <w:tc>
          <w:tcPr>
            <w:tcW w:w="4871"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夜间施工和场界噪声，高噪声设备附近是否加设可移动简易声屏障，是否夜间不进行打桩、开挖等高噪声施工作业，在夜间超标施工是否向环境主管部门提出申请，获准后在指定日期内进行施工</w:t>
            </w:r>
          </w:p>
        </w:tc>
        <w:tc>
          <w:tcPr>
            <w:tcW w:w="23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地方生态环境主管部门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675"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w:t>
            </w:r>
          </w:p>
        </w:tc>
        <w:tc>
          <w:tcPr>
            <w:tcW w:w="1418"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临时设施</w:t>
            </w:r>
          </w:p>
        </w:tc>
        <w:tc>
          <w:tcPr>
            <w:tcW w:w="4871"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拆除</w:t>
            </w:r>
          </w:p>
        </w:tc>
        <w:tc>
          <w:tcPr>
            <w:tcW w:w="2322"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地方政府</w:t>
            </w:r>
          </w:p>
        </w:tc>
      </w:tr>
    </w:tbl>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⑵</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建设期间业主单位应指派一名环保专职或兼职人员，负责施工的环境管理工作，并参与制定和落实施工中的污染防治措施和应急计划，向施工人员讲明施工应采取的环保措施及注意事项。</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⑶</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环保奖惩制度。对在施工中遵守环保措施的施工人员给予表扬和奖励，对违反环保条款，造成重大污染事故，按照有关法律、法规，追究其应当承担的法律责任。</w:t>
      </w:r>
    </w:p>
    <w:p>
      <w:pPr>
        <w:pStyle w:val="6"/>
        <w:rPr>
          <w:rFonts w:ascii="Times New Roman" w:hAnsi="Times New Roman" w:cs="Times New Roman" w:eastAsiaTheme="minorEastAsia"/>
          <w:caps w:val="0"/>
          <w:smallCaps w:val="0"/>
        </w:rPr>
      </w:pPr>
      <w:r>
        <w:rPr>
          <w:rFonts w:ascii="Times New Roman" w:hAnsi="Times New Roman" w:cs="Times New Roman" w:eastAsiaTheme="minorEastAsia"/>
          <w:caps w:val="0"/>
          <w:smallCaps w:val="0"/>
        </w:rPr>
        <w:t>运营期环境管理</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1、环境管理机构设置</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企业应配置专职环保管理部门，负责全厂的环境保护管理工作。配备环境监测人员1~2人，在接受市级环保监测站以上机构培训后上岗，实施或配合当地环保部门完成本项目的环境管理和监测计划。负责企业的环境管理、环境监测和事故应急处理，具体的职责有：</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⑴</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依据环境保护、安全生产等方面的法律、法规、标准以及其他要求，制定企业环境管理、安全生产的规章制度，如污染源核实、环境监测、污染治理设施使用维护等有关管理制度和规定。</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⑵</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开展日常环境监测工作，负责整理和统计企业污染源资料、日常监测资料，并及时上报地方</w:t>
      </w:r>
      <w:r>
        <w:rPr>
          <w:rFonts w:hint="eastAsia" w:ascii="Times New Roman" w:hAnsi="Times New Roman" w:cs="Times New Roman" w:eastAsiaTheme="minorEastAsia"/>
          <w:caps w:val="0"/>
          <w:smallCaps w:val="0"/>
          <w:color w:val="000000" w:themeColor="text1"/>
          <w:kern w:val="0"/>
          <w:sz w:val="24"/>
          <w:szCs w:val="24"/>
          <w:lang w:eastAsia="zh-CN"/>
          <w14:textFill>
            <w14:solidFill>
              <w14:schemeClr w14:val="tx1"/>
            </w14:solidFill>
          </w14:textFill>
        </w:rPr>
        <w:t>生态环境</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部门。</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⑶</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落实企业污染物排放许可。加强对污染治理设施、治理效果以及治理后的污染物排放状况的监督检查。</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⑷</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检查监督环保设备、污染治理装置、安全消防措施的运行管理情况，负责处理各类污染事故以及相应的应急方案。</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⑸</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负责企业环保安全管理教育和培训。</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2、环境管理计划</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环境管理计划要从项目建设全过程进行，从设计阶段污染防范、施工阶段污染防治、运营后环保设施环境管理、信息反馈和群众监督各方面形成网络管理，使环境管理工作贯穿于生产的全过程中。</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本项目环境管理工作计划见表10.1-3。在表10.1-3所列环境管理大方案下，本项目环境管理工作重点应从减少污染物排放，降低对环境影响等方面进行分项控制。</w:t>
      </w:r>
    </w:p>
    <w:p>
      <w:pPr>
        <w:autoSpaceDE w:val="0"/>
        <w:autoSpaceDN w:val="0"/>
        <w:adjustRightInd w:val="0"/>
        <w:snapToGrid w:val="0"/>
        <w:spacing w:line="276" w:lineRule="auto"/>
        <w:ind w:firstLine="482" w:firstLineChars="200"/>
        <w:jc w:val="cente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表10.1-3</w:t>
      </w:r>
      <w:r>
        <w:rPr>
          <w:rFonts w:hint="eastAsia" w:ascii="Times New Roman" w:hAnsi="Times New Roman" w:cs="Times New Roman" w:eastAsiaTheme="minorEastAsia"/>
          <w:b/>
          <w:caps w:val="0"/>
          <w:smallCaps w:val="0"/>
          <w:color w:val="000000" w:themeColor="text1"/>
          <w:kern w:val="0"/>
          <w:sz w:val="24"/>
          <w:szCs w:val="24"/>
          <w:lang w:val="en-US" w:eastAsia="zh-CN"/>
          <w14:textFill>
            <w14:solidFill>
              <w14:schemeClr w14:val="tx1"/>
            </w14:solidFill>
          </w14:textFill>
        </w:rPr>
        <w:t xml:space="preserve">   </w:t>
      </w: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环境管理工作计划表</w:t>
      </w:r>
    </w:p>
    <w:tbl>
      <w:tblPr>
        <w:tblStyle w:val="72"/>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40"/>
        <w:gridCol w:w="718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1403"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情况</w:t>
            </w:r>
          </w:p>
        </w:tc>
        <w:tc>
          <w:tcPr>
            <w:tcW w:w="7637"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环境管理工作内容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03"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企业环境管理总要求</w:t>
            </w:r>
          </w:p>
        </w:tc>
        <w:tc>
          <w:tcPr>
            <w:tcW w:w="7637"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根据国家建设项目环境保护管理规定，认真落实各项环保手续</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可研阶段，委托评价单位进行环境影响评价工作。</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开工前，履行”三同时”手续。</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⑶</w:t>
            </w:r>
            <w:r>
              <w:rPr>
                <w:rFonts w:ascii="Times New Roman" w:hAnsi="Times New Roman" w:cs="Times New Roman"/>
                <w:caps w:val="0"/>
                <w:smallCaps w:val="0"/>
              </w:rPr>
              <w:t>生产装置投产后试生产三个月内，进行环保设施竣工验收。</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⑷</w:t>
            </w:r>
            <w:r>
              <w:rPr>
                <w:rFonts w:ascii="Times New Roman" w:hAnsi="Times New Roman" w:cs="Times New Roman"/>
                <w:caps w:val="0"/>
                <w:smallCaps w:val="0"/>
              </w:rPr>
              <w:t>生产中，定期请当地环保部门监督、检查，协助主管部门做好环境管理工作，对不达标装置及时整改。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03"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设计阶段</w:t>
            </w:r>
          </w:p>
        </w:tc>
        <w:tc>
          <w:tcPr>
            <w:tcW w:w="7637"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设计中充分考虑批复后环评报告书中提出的环保设施和措施</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设计委托合同中标明环保设施设计。</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设计部门充分调研，比较提出先进、合理的环保设备和设施。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03"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施工阶段</w:t>
            </w:r>
          </w:p>
        </w:tc>
        <w:tc>
          <w:tcPr>
            <w:tcW w:w="7637" w:type="dxa"/>
            <w:vAlign w:val="center"/>
          </w:tcPr>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工程合同中明确要求及时清理施工垃圾、废水。</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保证施工期噪声不扰民。</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⑶</w:t>
            </w:r>
            <w:r>
              <w:rPr>
                <w:rFonts w:ascii="Times New Roman" w:hAnsi="Times New Roman" w:cs="Times New Roman"/>
                <w:caps w:val="0"/>
                <w:smallCaps w:val="0"/>
              </w:rPr>
              <w:t>施工期运输车辆需加盖蓬布。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03"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生产运营阶段</w:t>
            </w:r>
          </w:p>
        </w:tc>
        <w:tc>
          <w:tcPr>
            <w:tcW w:w="7637"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保证环保设施正常运行，主动接受环保部门监督，备有事故应急措施</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主管副经理全面负责环保工作。</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环保科负责厂内环保设施的管理和维护。</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⑶</w:t>
            </w:r>
            <w:r>
              <w:rPr>
                <w:rFonts w:ascii="Times New Roman" w:hAnsi="Times New Roman" w:cs="Times New Roman"/>
                <w:caps w:val="0"/>
                <w:smallCaps w:val="0"/>
              </w:rPr>
              <w:t>对废气的治理、废水的治理及减振降噪设施，建立环保设施档案。</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⑷</w:t>
            </w:r>
            <w:r>
              <w:rPr>
                <w:rFonts w:ascii="Times New Roman" w:hAnsi="Times New Roman" w:cs="Times New Roman"/>
                <w:caps w:val="0"/>
                <w:smallCaps w:val="0"/>
              </w:rPr>
              <w:t>定期组织污染源和厂区环境监测。</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⑸</w:t>
            </w:r>
            <w:r>
              <w:rPr>
                <w:rFonts w:ascii="Times New Roman" w:hAnsi="Times New Roman" w:cs="Times New Roman"/>
                <w:caps w:val="0"/>
                <w:smallCaps w:val="0"/>
              </w:rPr>
              <w:t>事故应急方案合理，应急设备设施齐备、完好。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403"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信息反馈和群众监督</w:t>
            </w:r>
          </w:p>
        </w:tc>
        <w:tc>
          <w:tcPr>
            <w:tcW w:w="7637" w:type="dxa"/>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反馈监测数据，加强群众监督，改进污染治理工作。</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⑴</w:t>
            </w:r>
            <w:r>
              <w:rPr>
                <w:rFonts w:ascii="Times New Roman" w:hAnsi="Times New Roman" w:cs="Times New Roman"/>
                <w:caps w:val="0"/>
                <w:smallCaps w:val="0"/>
              </w:rPr>
              <w:t>建立奖惩制度，保证环保设施正常运转。</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⑵</w:t>
            </w:r>
            <w:r>
              <w:rPr>
                <w:rFonts w:ascii="Times New Roman" w:hAnsi="Times New Roman" w:cs="Times New Roman"/>
                <w:caps w:val="0"/>
                <w:smallCaps w:val="0"/>
              </w:rPr>
              <w:t>归纳整理监测数据，技术部门配合进行工艺改进。</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⑶</w:t>
            </w:r>
            <w:r>
              <w:rPr>
                <w:rFonts w:ascii="Times New Roman" w:hAnsi="Times New Roman" w:cs="Times New Roman"/>
                <w:caps w:val="0"/>
                <w:smallCaps w:val="0"/>
              </w:rPr>
              <w:t>聘请附近村民为监督员，收集附近村民意见。</w:t>
            </w:r>
          </w:p>
          <w:p>
            <w:pPr>
              <w:pStyle w:val="117"/>
              <w:bidi w:val="0"/>
              <w:rPr>
                <w:rFonts w:ascii="Times New Roman" w:hAnsi="Times New Roman" w:cs="Times New Roman"/>
                <w:caps w:val="0"/>
                <w:smallCaps w:val="0"/>
              </w:rPr>
            </w:pPr>
            <w:r>
              <w:rPr>
                <w:rFonts w:hint="eastAsia" w:ascii="Times New Roman" w:hAnsi="Times New Roman" w:cs="Times New Roman"/>
                <w:caps w:val="0"/>
                <w:smallCaps w:val="0"/>
              </w:rPr>
              <w:t>⑷</w:t>
            </w:r>
            <w:r>
              <w:rPr>
                <w:rFonts w:ascii="Times New Roman" w:hAnsi="Times New Roman" w:cs="Times New Roman"/>
                <w:caps w:val="0"/>
                <w:smallCaps w:val="0"/>
              </w:rPr>
              <w:t>配合环保部门的检查验收。</w:t>
            </w:r>
          </w:p>
        </w:tc>
      </w:tr>
    </w:tbl>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3、环保奖惩制度</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各级管理人员都应树立保护环境的思想，企业也应设置环境保护奖惩条例。对爱护环保治理设施、节省原料、改善工作环境者实行奖励；对于环保观念淡薄，不按环保要求管理，造成环保设施损坏、环境污染及原材料浪费者一律予以重罚。</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4、建立ISO14000体系</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建议将ISO14000标准纳入公司日常管理工作中，争取早日通过ISO14000认证。</w:t>
      </w:r>
    </w:p>
    <w:p>
      <w:pPr>
        <w:autoSpaceDE w:val="0"/>
        <w:autoSpaceDN w:val="0"/>
        <w:adjustRightInd w:val="0"/>
        <w:snapToGrid w:val="0"/>
        <w:spacing w:line="360" w:lineRule="auto"/>
        <w:ind w:firstLine="482" w:firstLineChars="200"/>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kern w:val="0"/>
          <w:sz w:val="24"/>
          <w:szCs w:val="24"/>
          <w14:textFill>
            <w14:solidFill>
              <w14:schemeClr w14:val="tx1"/>
            </w14:solidFill>
          </w14:textFill>
        </w:rPr>
        <w:t>5、定期向社会公开本项目以下信息内容</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⑴</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基础信息，包括单位名称、组织机构代码、法定代表人、生产地址、联系方式，以及生产经营和管理服务的主要内容、产品及规模；</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⑵</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排污信息，包括主要污染物及特征污染物的名称、排放方式、排放口数量和分布情况、排放浓度和总量、执行的污染物排放标准、核定的排放总量；</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⑶</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防治污染设施的建设和运行情况；</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⑷</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建设项目环境影响评价及其他环境保护行政许可情况；</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⑸</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突发环境事件应急预案；</w:t>
      </w:r>
    </w:p>
    <w:p>
      <w:pPr>
        <w:autoSpaceDE w:val="0"/>
        <w:autoSpaceDN w:val="0"/>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hint="eastAsia" w:ascii="Times New Roman" w:hAnsi="Times New Roman" w:cs="Times New Roman"/>
          <w:caps w:val="0"/>
          <w:smallCaps w:val="0"/>
          <w:color w:val="000000" w:themeColor="text1"/>
          <w:kern w:val="0"/>
          <w:sz w:val="24"/>
          <w:szCs w:val="24"/>
          <w14:textFill>
            <w14:solidFill>
              <w14:schemeClr w14:val="tx1"/>
            </w14:solidFill>
          </w14:textFill>
        </w:rPr>
        <w:t>⑹</w:t>
      </w:r>
      <w:r>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t>其他应当公开的环境信息。</w:t>
      </w:r>
    </w:p>
    <w:p>
      <w:pPr>
        <w:pStyle w:val="5"/>
        <w:rPr>
          <w:rFonts w:ascii="Times New Roman" w:hAnsi="Times New Roman" w:cs="Times New Roman" w:eastAsiaTheme="minorEastAsia"/>
          <w:b/>
          <w:caps w:val="0"/>
          <w:smallCaps w:val="0"/>
          <w:color w:val="000000" w:themeColor="text1"/>
          <w14:textFill>
            <w14:solidFill>
              <w14:schemeClr w14:val="tx1"/>
            </w14:solidFill>
          </w14:textFill>
        </w:rPr>
      </w:pPr>
      <w:bookmarkStart w:id="245" w:name="_Toc3419"/>
      <w:r>
        <w:rPr>
          <w:rFonts w:ascii="Times New Roman" w:hAnsi="Times New Roman" w:cs="Times New Roman" w:eastAsiaTheme="minorEastAsia"/>
          <w:b/>
          <w:caps w:val="0"/>
          <w:smallCaps w:val="0"/>
          <w:color w:val="000000" w:themeColor="text1"/>
          <w14:textFill>
            <w14:solidFill>
              <w14:schemeClr w14:val="tx1"/>
            </w14:solidFill>
          </w14:textFill>
        </w:rPr>
        <w:t>环境监测</w:t>
      </w:r>
      <w:bookmarkEnd w:id="245"/>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环境监测除依赖于陆域码头的配备外，不能监测的应依靠地方环境监测部门进行监测，监测数据应报地方环境监测部门审核和备案。</w:t>
      </w:r>
    </w:p>
    <w:p>
      <w:pPr>
        <w:pStyle w:val="6"/>
        <w:rPr>
          <w:rFonts w:ascii="Times New Roman" w:hAnsi="Times New Roman" w:cs="Times New Roman" w:eastAsiaTheme="minorEastAsia"/>
          <w:caps w:val="0"/>
          <w:smallCaps w:val="0"/>
          <w:color w:val="000000" w:themeColor="text1"/>
          <w:u w:val="single"/>
          <w14:textFill>
            <w14:solidFill>
              <w14:schemeClr w14:val="tx1"/>
            </w14:solidFill>
          </w14:textFill>
        </w:rPr>
      </w:pPr>
      <w:r>
        <w:rPr>
          <w:rFonts w:ascii="Times New Roman" w:hAnsi="Times New Roman" w:cs="Times New Roman" w:eastAsiaTheme="minorEastAsia"/>
          <w:caps w:val="0"/>
          <w:smallCaps w:val="0"/>
          <w:color w:val="000000" w:themeColor="text1"/>
          <w:u w:val="single"/>
          <w14:textFill>
            <w14:solidFill>
              <w14:schemeClr w14:val="tx1"/>
            </w14:solidFill>
          </w14:textFill>
        </w:rPr>
        <w:t>施工期环境监测</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⑴</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噪声：在码头施工场界及管线沿线布设2~3个监测点，每月监测一天，昼夜各监测一次，监测因子为等效A声级。</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⑵</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大气：在施工区及其周围布设1个大气监测点，每季度监测一次，每次连续三天，监测因子为TSP。</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u w:val="single"/>
          <w14:textFill>
            <w14:solidFill>
              <w14:schemeClr w14:val="tx1"/>
            </w14:solidFill>
          </w14:textFill>
        </w:rPr>
        <w:t>⑶</w:t>
      </w:r>
      <w:r>
        <w:rPr>
          <w:rFonts w:ascii="Times New Roman" w:hAnsi="Times New Roman" w:cs="Times New Roman" w:eastAsiaTheme="minorEastAsia"/>
          <w:caps w:val="0"/>
          <w:smallCaps w:val="0"/>
          <w:color w:val="000000" w:themeColor="text1"/>
          <w:sz w:val="24"/>
          <w:szCs w:val="24"/>
          <w:u w:val="single"/>
          <w14:textFill>
            <w14:solidFill>
              <w14:schemeClr w14:val="tx1"/>
            </w14:solidFill>
          </w14:textFill>
        </w:rPr>
        <w:t>废水：在项目码头上下游两端0.5km处各布设1个水质监测点，每季度监测一次，每次连续两天，监测因子为COD、SS和石油类。</w:t>
      </w:r>
    </w:p>
    <w:p>
      <w:pPr>
        <w:pStyle w:val="6"/>
        <w:rPr>
          <w:rFonts w:ascii="Times New Roman" w:hAnsi="Times New Roman" w:cs="Times New Roman" w:eastAsiaTheme="minorEastAsia"/>
          <w:caps w:val="0"/>
          <w:smallCaps w:val="0"/>
          <w:color w:val="000000" w:themeColor="text1"/>
          <w:u w:val="single"/>
          <w14:textFill>
            <w14:solidFill>
              <w14:schemeClr w14:val="tx1"/>
            </w14:solidFill>
          </w14:textFill>
        </w:rPr>
      </w:pPr>
      <w:r>
        <w:rPr>
          <w:rFonts w:ascii="Times New Roman" w:hAnsi="Times New Roman" w:cs="Times New Roman" w:eastAsiaTheme="minorEastAsia"/>
          <w:caps w:val="0"/>
          <w:smallCaps w:val="0"/>
          <w:color w:val="000000" w:themeColor="text1"/>
          <w:u w:val="single"/>
          <w14:textFill>
            <w14:solidFill>
              <w14:schemeClr w14:val="tx1"/>
            </w14:solidFill>
          </w14:textFill>
        </w:rPr>
        <w:t>营运期环境监测</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u w:val="single"/>
          <w:lang w:val="en-US"/>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u w:val="single"/>
          <w:lang w:val="en-US"/>
          <w14:textFill>
            <w14:solidFill>
              <w14:schemeClr w14:val="tx1"/>
            </w14:solidFill>
          </w14:textFill>
        </w:rPr>
        <w:t>为了加强环境管理，贯彻实施污染物达标排放要求，地方</w:t>
      </w:r>
      <w:r>
        <w:rPr>
          <w:rFonts w:hint="eastAsia" w:ascii="Times New Roman" w:hAnsi="Times New Roman" w:cs="Times New Roman" w:eastAsiaTheme="minorEastAsia"/>
          <w:caps w:val="0"/>
          <w:smallCaps w:val="0"/>
          <w:color w:val="000000" w:themeColor="text1"/>
          <w:sz w:val="24"/>
          <w:szCs w:val="24"/>
          <w:u w:val="single"/>
          <w:lang w:val="en-US" w:eastAsia="zh-CN"/>
          <w14:textFill>
            <w14:solidFill>
              <w14:schemeClr w14:val="tx1"/>
            </w14:solidFill>
          </w14:textFill>
        </w:rPr>
        <w:t>生态环境</w:t>
      </w:r>
      <w:r>
        <w:rPr>
          <w:rFonts w:hint="eastAsia" w:ascii="Times New Roman" w:hAnsi="Times New Roman" w:cs="Times New Roman" w:eastAsiaTheme="minorEastAsia"/>
          <w:caps w:val="0"/>
          <w:smallCaps w:val="0"/>
          <w:color w:val="000000" w:themeColor="text1"/>
          <w:sz w:val="24"/>
          <w:szCs w:val="24"/>
          <w:u w:val="single"/>
          <w:lang w:val="en-US"/>
          <w14:textFill>
            <w14:solidFill>
              <w14:schemeClr w14:val="tx1"/>
            </w14:solidFill>
          </w14:textFill>
        </w:rPr>
        <w:t>部门和建设单位均须对项目周边环境质量和运行期的污染物排放情况进行监测。建设单位必要时也可委托第三方环境监测机构进行监测。</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u w:val="single"/>
          <w:lang w:val="en-US"/>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u w:val="single"/>
          <w:lang w:val="en-US" w:eastAsia="zh-CN"/>
          <w14:textFill>
            <w14:solidFill>
              <w14:schemeClr w14:val="tx1"/>
            </w14:solidFill>
          </w14:textFill>
        </w:rPr>
        <w:t>1、</w:t>
      </w:r>
      <w:r>
        <w:rPr>
          <w:rFonts w:hint="eastAsia" w:ascii="Times New Roman" w:hAnsi="Times New Roman" w:cs="Times New Roman" w:eastAsiaTheme="minorEastAsia"/>
          <w:caps w:val="0"/>
          <w:smallCaps w:val="0"/>
          <w:color w:val="000000" w:themeColor="text1"/>
          <w:sz w:val="24"/>
          <w:szCs w:val="24"/>
          <w:u w:val="single"/>
          <w:lang w:val="en-US"/>
          <w14:textFill>
            <w14:solidFill>
              <w14:schemeClr w14:val="tx1"/>
            </w14:solidFill>
          </w14:textFill>
        </w:rPr>
        <w:t>环境监测</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u w:val="single"/>
          <w:lang w:val="en-US"/>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u w:val="single"/>
          <w:lang w:val="en-US"/>
          <w14:textFill>
            <w14:solidFill>
              <w14:schemeClr w14:val="tx1"/>
            </w14:solidFill>
          </w14:textFill>
        </w:rPr>
        <w:t>本项目环境质量监测工作计划可参考以下方案进行，监测计划见下表。</w:t>
      </w:r>
    </w:p>
    <w:p>
      <w:pPr>
        <w:pStyle w:val="94"/>
        <w:rPr>
          <w:rFonts w:ascii="Times New Roman" w:hAnsi="Times New Roman" w:cs="Times New Roman"/>
          <w:caps w:val="0"/>
          <w:smallCaps w:val="0"/>
          <w:sz w:val="21"/>
          <w:szCs w:val="21"/>
          <w:u w:val="single"/>
        </w:rPr>
      </w:pPr>
      <w:r>
        <w:rPr>
          <w:rFonts w:ascii="Times New Roman" w:hAnsi="Times New Roman" w:cs="Times New Roman"/>
          <w:caps w:val="0"/>
          <w:smallCaps w:val="0"/>
          <w:sz w:val="21"/>
          <w:szCs w:val="21"/>
          <w:u w:val="single"/>
        </w:rPr>
        <w:t>表</w:t>
      </w:r>
      <w:r>
        <w:rPr>
          <w:rFonts w:hint="eastAsia" w:ascii="Times New Roman" w:hAnsi="Times New Roman" w:cs="Times New Roman"/>
          <w:caps w:val="0"/>
          <w:smallCaps w:val="0"/>
          <w:sz w:val="21"/>
          <w:szCs w:val="21"/>
          <w:u w:val="single"/>
          <w:lang w:val="en-US" w:eastAsia="zh-CN"/>
        </w:rPr>
        <w:t>9</w:t>
      </w:r>
      <w:r>
        <w:rPr>
          <w:rFonts w:ascii="Times New Roman" w:hAnsi="Times New Roman" w:cs="Times New Roman"/>
          <w:caps w:val="0"/>
          <w:smallCaps w:val="0"/>
          <w:sz w:val="21"/>
          <w:szCs w:val="21"/>
          <w:u w:val="single"/>
        </w:rPr>
        <w:t>.2-1</w:t>
      </w:r>
      <w:r>
        <w:rPr>
          <w:rFonts w:hint="eastAsia" w:ascii="Times New Roman" w:hAnsi="Times New Roman" w:cs="Times New Roman"/>
          <w:caps w:val="0"/>
          <w:smallCaps w:val="0"/>
          <w:sz w:val="21"/>
          <w:szCs w:val="21"/>
          <w:u w:val="single"/>
          <w:lang w:eastAsia="zh-CN"/>
        </w:rPr>
        <w:t>本项目</w:t>
      </w:r>
      <w:r>
        <w:rPr>
          <w:rFonts w:ascii="Times New Roman" w:hAnsi="Times New Roman" w:cs="Times New Roman"/>
          <w:caps w:val="0"/>
          <w:smallCaps w:val="0"/>
          <w:sz w:val="21"/>
          <w:szCs w:val="21"/>
          <w:u w:val="single"/>
        </w:rPr>
        <w:t>环境</w:t>
      </w:r>
      <w:r>
        <w:rPr>
          <w:rFonts w:hint="eastAsia" w:ascii="Times New Roman" w:hAnsi="Times New Roman" w:cs="Times New Roman"/>
          <w:caps w:val="0"/>
          <w:smallCaps w:val="0"/>
          <w:sz w:val="21"/>
          <w:szCs w:val="21"/>
          <w:u w:val="single"/>
        </w:rPr>
        <w:t>监测</w:t>
      </w:r>
      <w:r>
        <w:rPr>
          <w:rFonts w:hint="eastAsia" w:ascii="Times New Roman" w:hAnsi="Times New Roman" w:cs="Times New Roman"/>
          <w:caps w:val="0"/>
          <w:smallCaps w:val="0"/>
          <w:sz w:val="21"/>
          <w:szCs w:val="21"/>
          <w:u w:val="single"/>
          <w:lang w:eastAsia="zh-CN"/>
        </w:rPr>
        <w:t>内容</w:t>
      </w:r>
      <w:r>
        <w:rPr>
          <w:rFonts w:hint="eastAsia" w:ascii="Times New Roman" w:hAnsi="Times New Roman" w:cs="Times New Roman"/>
          <w:caps w:val="0"/>
          <w:smallCaps w:val="0"/>
          <w:sz w:val="21"/>
          <w:szCs w:val="21"/>
          <w:u w:val="single"/>
        </w:rPr>
        <w:t>一览表</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906"/>
        <w:gridCol w:w="1070"/>
        <w:gridCol w:w="2242"/>
        <w:gridCol w:w="1710"/>
        <w:gridCol w:w="1555"/>
        <w:gridCol w:w="1045"/>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9" w:hRule="atLeast"/>
          <w:jc w:val="center"/>
        </w:trPr>
        <w:tc>
          <w:tcPr>
            <w:tcW w:w="1158" w:type="pct"/>
            <w:gridSpan w:val="2"/>
            <w:noWrap w:val="0"/>
            <w:vAlign w:val="center"/>
          </w:tcPr>
          <w:p>
            <w:pPr>
              <w:pStyle w:val="117"/>
              <w:bidi w:val="0"/>
              <w:rPr>
                <w:rFonts w:hint="eastAsia" w:ascii="Times New Roman" w:hAnsi="Times New Roman" w:cs="Times New Roman"/>
                <w:caps w:val="0"/>
                <w:smallCaps w:val="0"/>
                <w:u w:val="single"/>
              </w:rPr>
            </w:pPr>
            <w:r>
              <w:rPr>
                <w:rFonts w:hint="eastAsia" w:ascii="Times New Roman" w:hAnsi="Times New Roman" w:cs="Times New Roman"/>
                <w:caps w:val="0"/>
                <w:smallCaps w:val="0"/>
                <w:u w:val="single"/>
              </w:rPr>
              <w:t>项目</w:t>
            </w:r>
          </w:p>
        </w:tc>
        <w:tc>
          <w:tcPr>
            <w:tcW w:w="1314"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监测点位</w:t>
            </w:r>
          </w:p>
        </w:tc>
        <w:tc>
          <w:tcPr>
            <w:tcW w:w="1002" w:type="pct"/>
            <w:noWrap w:val="0"/>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监测项目</w:t>
            </w:r>
          </w:p>
        </w:tc>
        <w:tc>
          <w:tcPr>
            <w:tcW w:w="911"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监测计划</w:t>
            </w:r>
          </w:p>
        </w:tc>
        <w:tc>
          <w:tcPr>
            <w:tcW w:w="612" w:type="pct"/>
            <w:noWrap w:val="0"/>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备注</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83" w:hRule="atLeast"/>
          <w:jc w:val="center"/>
        </w:trPr>
        <w:tc>
          <w:tcPr>
            <w:tcW w:w="531" w:type="pct"/>
            <w:vMerge w:val="restar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环境质量监测</w:t>
            </w:r>
          </w:p>
        </w:tc>
        <w:tc>
          <w:tcPr>
            <w:tcW w:w="627" w:type="pct"/>
            <w:noWrap w:val="0"/>
            <w:vAlign w:val="center"/>
          </w:tcPr>
          <w:p>
            <w:pPr>
              <w:pStyle w:val="117"/>
              <w:bidi w:val="0"/>
              <w:rPr>
                <w:rFonts w:hint="eastAsia" w:ascii="Times New Roman" w:hAnsi="Times New Roman" w:cs="Times New Roman"/>
                <w:caps w:val="0"/>
                <w:smallCaps w:val="0"/>
                <w:u w:val="single"/>
              </w:rPr>
            </w:pPr>
            <w:r>
              <w:rPr>
                <w:rFonts w:hint="eastAsia" w:ascii="Times New Roman" w:hAnsi="Times New Roman" w:cs="Times New Roman"/>
                <w:caps w:val="0"/>
                <w:smallCaps w:val="0"/>
                <w:u w:val="single"/>
              </w:rPr>
              <w:t>环境空气</w:t>
            </w:r>
          </w:p>
        </w:tc>
        <w:tc>
          <w:tcPr>
            <w:tcW w:w="1314"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码头上风向及下风向各布</w:t>
            </w:r>
            <w:r>
              <w:rPr>
                <w:rFonts w:hint="eastAsia" w:ascii="Times New Roman" w:hAnsi="Times New Roman" w:cs="Times New Roman"/>
                <w:caps w:val="0"/>
                <w:smallCaps w:val="0"/>
                <w:u w:val="single"/>
              </w:rPr>
              <w:t>1个监测点</w:t>
            </w:r>
          </w:p>
        </w:tc>
        <w:tc>
          <w:tcPr>
            <w:tcW w:w="1002" w:type="pct"/>
            <w:noWrap w:val="0"/>
            <w:vAlign w:val="center"/>
          </w:tcPr>
          <w:p>
            <w:pPr>
              <w:pStyle w:val="117"/>
              <w:bidi w:val="0"/>
              <w:rPr>
                <w:rFonts w:hint="default"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TSP、TVOC、苯并芘</w:t>
            </w:r>
          </w:p>
        </w:tc>
        <w:tc>
          <w:tcPr>
            <w:tcW w:w="911"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每季度</w:t>
            </w:r>
            <w:r>
              <w:rPr>
                <w:rFonts w:hint="eastAsia" w:ascii="Times New Roman" w:hAnsi="Times New Roman" w:cs="Times New Roman"/>
                <w:caps w:val="0"/>
                <w:smallCaps w:val="0"/>
                <w:u w:val="single"/>
              </w:rPr>
              <w:t>1</w:t>
            </w:r>
            <w:r>
              <w:rPr>
                <w:rFonts w:ascii="Times New Roman" w:hAnsi="Times New Roman" w:cs="Times New Roman"/>
                <w:caps w:val="0"/>
                <w:smallCaps w:val="0"/>
                <w:u w:val="single"/>
              </w:rPr>
              <w:t>次</w:t>
            </w:r>
          </w:p>
        </w:tc>
        <w:tc>
          <w:tcPr>
            <w:tcW w:w="612" w:type="pct"/>
            <w:vMerge w:val="restar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事故时要补充监测</w:t>
            </w:r>
            <w:r>
              <w:rPr>
                <w:rFonts w:hint="eastAsia" w:ascii="Times New Roman" w:hAnsi="Times New Roman" w:cs="Times New Roman"/>
                <w:caps w:val="0"/>
                <w:smallCaps w:val="0"/>
                <w:u w:val="single"/>
              </w:rPr>
              <w:t>，</w:t>
            </w:r>
            <w:r>
              <w:rPr>
                <w:rFonts w:ascii="Times New Roman" w:hAnsi="Times New Roman" w:cs="Times New Roman"/>
                <w:caps w:val="0"/>
                <w:smallCaps w:val="0"/>
                <w:u w:val="single"/>
              </w:rPr>
              <w:t>并增加监测频次</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499" w:hRule="atLeast"/>
          <w:jc w:val="center"/>
        </w:trPr>
        <w:tc>
          <w:tcPr>
            <w:tcW w:w="531" w:type="pct"/>
            <w:vMerge w:val="continue"/>
            <w:noWrap w:val="0"/>
            <w:vAlign w:val="center"/>
          </w:tcPr>
          <w:p>
            <w:pPr>
              <w:pStyle w:val="117"/>
              <w:bidi w:val="0"/>
              <w:rPr>
                <w:rFonts w:ascii="Times New Roman" w:hAnsi="Times New Roman" w:cs="Times New Roman"/>
                <w:caps w:val="0"/>
                <w:smallCaps w:val="0"/>
                <w:u w:val="single"/>
              </w:rPr>
            </w:pPr>
          </w:p>
        </w:tc>
        <w:tc>
          <w:tcPr>
            <w:tcW w:w="627" w:type="pct"/>
            <w:noWrap w:val="0"/>
            <w:vAlign w:val="center"/>
          </w:tcPr>
          <w:p>
            <w:pPr>
              <w:pStyle w:val="117"/>
              <w:bidi w:val="0"/>
              <w:rPr>
                <w:rFonts w:hint="eastAsia" w:ascii="Times New Roman" w:hAnsi="Times New Roman" w:cs="Times New Roman"/>
                <w:caps w:val="0"/>
                <w:smallCaps w:val="0"/>
                <w:u w:val="single"/>
              </w:rPr>
            </w:pPr>
            <w:r>
              <w:rPr>
                <w:rFonts w:hint="eastAsia" w:ascii="Times New Roman" w:hAnsi="Times New Roman" w:cs="Times New Roman"/>
                <w:caps w:val="0"/>
                <w:smallCaps w:val="0"/>
                <w:u w:val="single"/>
              </w:rPr>
              <w:t>地表水</w:t>
            </w:r>
          </w:p>
        </w:tc>
        <w:tc>
          <w:tcPr>
            <w:tcW w:w="1314"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湘江</w:t>
            </w:r>
            <w:r>
              <w:rPr>
                <w:rFonts w:hint="eastAsia" w:ascii="Times New Roman" w:hAnsi="Times New Roman" w:cs="Times New Roman"/>
                <w:caps w:val="0"/>
                <w:smallCaps w:val="0"/>
                <w:u w:val="single"/>
              </w:rPr>
              <w:t>：</w:t>
            </w:r>
            <w:r>
              <w:rPr>
                <w:rFonts w:ascii="Times New Roman" w:hAnsi="Times New Roman" w:cs="Times New Roman"/>
                <w:caps w:val="0"/>
                <w:smallCaps w:val="0"/>
                <w:u w:val="single"/>
              </w:rPr>
              <w:t>本项目上游</w:t>
            </w:r>
            <w:r>
              <w:rPr>
                <w:rFonts w:hint="eastAsia" w:ascii="Times New Roman" w:hAnsi="Times New Roman" w:cs="Times New Roman"/>
                <w:caps w:val="0"/>
                <w:smallCaps w:val="0"/>
                <w:u w:val="single"/>
              </w:rPr>
              <w:t>500m及下游1000m</w:t>
            </w:r>
          </w:p>
        </w:tc>
        <w:tc>
          <w:tcPr>
            <w:tcW w:w="1002"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p</w:t>
            </w:r>
            <w:r>
              <w:rPr>
                <w:rFonts w:hint="eastAsia" w:ascii="Times New Roman" w:hAnsi="Times New Roman" w:cs="Times New Roman"/>
                <w:caps w:val="0"/>
                <w:smallCaps w:val="0"/>
                <w:u w:val="single"/>
              </w:rPr>
              <w:t>H、SS、COD</w:t>
            </w:r>
            <w:r>
              <w:rPr>
                <w:rFonts w:hint="eastAsia" w:ascii="Times New Roman" w:hAnsi="Times New Roman" w:cs="Times New Roman"/>
                <w:caps w:val="0"/>
                <w:smallCaps w:val="0"/>
                <w:u w:val="single"/>
                <w:vertAlign w:val="subscript"/>
              </w:rPr>
              <w:t>Cr</w:t>
            </w:r>
            <w:r>
              <w:rPr>
                <w:rFonts w:hint="eastAsia" w:ascii="Times New Roman" w:hAnsi="Times New Roman" w:cs="Times New Roman"/>
                <w:caps w:val="0"/>
                <w:smallCaps w:val="0"/>
                <w:u w:val="single"/>
              </w:rPr>
              <w:t>、BOD</w:t>
            </w:r>
            <w:r>
              <w:rPr>
                <w:rFonts w:hint="eastAsia" w:ascii="Times New Roman" w:hAnsi="Times New Roman" w:cs="Times New Roman"/>
                <w:caps w:val="0"/>
                <w:smallCaps w:val="0"/>
                <w:u w:val="single"/>
                <w:vertAlign w:val="subscript"/>
              </w:rPr>
              <w:t>5</w:t>
            </w:r>
            <w:r>
              <w:rPr>
                <w:rFonts w:hint="eastAsia" w:ascii="Times New Roman" w:hAnsi="Times New Roman" w:cs="Times New Roman"/>
                <w:caps w:val="0"/>
                <w:smallCaps w:val="0"/>
                <w:u w:val="single"/>
              </w:rPr>
              <w:t>、NH</w:t>
            </w:r>
            <w:r>
              <w:rPr>
                <w:rFonts w:hint="eastAsia" w:ascii="Times New Roman" w:hAnsi="Times New Roman" w:cs="Times New Roman"/>
                <w:caps w:val="0"/>
                <w:smallCaps w:val="0"/>
                <w:u w:val="single"/>
                <w:vertAlign w:val="subscript"/>
              </w:rPr>
              <w:t>3</w:t>
            </w:r>
            <w:r>
              <w:rPr>
                <w:rFonts w:hint="eastAsia" w:ascii="Times New Roman" w:hAnsi="Times New Roman" w:cs="Times New Roman"/>
                <w:caps w:val="0"/>
                <w:smallCaps w:val="0"/>
                <w:u w:val="single"/>
              </w:rPr>
              <w:t>-N、石油类</w:t>
            </w:r>
          </w:p>
        </w:tc>
        <w:tc>
          <w:tcPr>
            <w:tcW w:w="911"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每年平</w:t>
            </w:r>
            <w:r>
              <w:rPr>
                <w:rFonts w:hint="eastAsia" w:ascii="Times New Roman" w:hAnsi="Times New Roman" w:cs="Times New Roman"/>
                <w:caps w:val="0"/>
                <w:smallCaps w:val="0"/>
                <w:u w:val="single"/>
              </w:rPr>
              <w:t>、</w:t>
            </w:r>
            <w:r>
              <w:rPr>
                <w:rFonts w:ascii="Times New Roman" w:hAnsi="Times New Roman" w:cs="Times New Roman"/>
                <w:caps w:val="0"/>
                <w:smallCaps w:val="0"/>
                <w:u w:val="single"/>
              </w:rPr>
              <w:t>枯水期各</w:t>
            </w:r>
            <w:r>
              <w:rPr>
                <w:rFonts w:hint="eastAsia" w:ascii="Times New Roman" w:hAnsi="Times New Roman" w:cs="Times New Roman"/>
                <w:caps w:val="0"/>
                <w:smallCaps w:val="0"/>
                <w:u w:val="single"/>
              </w:rPr>
              <w:t>1次</w:t>
            </w:r>
          </w:p>
        </w:tc>
        <w:tc>
          <w:tcPr>
            <w:tcW w:w="612" w:type="pct"/>
            <w:vMerge w:val="continue"/>
            <w:noWrap w:val="0"/>
            <w:vAlign w:val="center"/>
          </w:tcPr>
          <w:p>
            <w:pPr>
              <w:pStyle w:val="117"/>
              <w:bidi w:val="0"/>
              <w:rPr>
                <w:rFonts w:ascii="Times New Roman" w:hAnsi="Times New Roman" w:cs="Times New Roman"/>
                <w:caps w:val="0"/>
                <w:smallCaps w:val="0"/>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00" w:hRule="atLeast"/>
          <w:jc w:val="center"/>
        </w:trPr>
        <w:tc>
          <w:tcPr>
            <w:tcW w:w="531" w:type="pct"/>
            <w:vMerge w:val="restar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污染源监测</w:t>
            </w:r>
          </w:p>
        </w:tc>
        <w:tc>
          <w:tcPr>
            <w:tcW w:w="627" w:type="pct"/>
            <w:noWrap w:val="0"/>
            <w:vAlign w:val="center"/>
          </w:tcPr>
          <w:p>
            <w:pPr>
              <w:pStyle w:val="117"/>
              <w:bidi w:val="0"/>
              <w:rPr>
                <w:rFonts w:hint="eastAsia" w:ascii="Times New Roman" w:hAnsi="Times New Roman" w:cs="Times New Roman"/>
                <w:caps w:val="0"/>
                <w:smallCaps w:val="0"/>
                <w:u w:val="single"/>
              </w:rPr>
            </w:pPr>
            <w:r>
              <w:rPr>
                <w:rFonts w:hint="eastAsia" w:ascii="Times New Roman" w:hAnsi="Times New Roman" w:cs="Times New Roman"/>
                <w:caps w:val="0"/>
                <w:smallCaps w:val="0"/>
                <w:u w:val="single"/>
              </w:rPr>
              <w:t>废气</w:t>
            </w:r>
          </w:p>
        </w:tc>
        <w:tc>
          <w:tcPr>
            <w:tcW w:w="1314" w:type="pct"/>
            <w:noWrap w:val="0"/>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eastAsia="zh-CN"/>
              </w:rPr>
              <w:t>上、下风向</w:t>
            </w:r>
            <w:r>
              <w:rPr>
                <w:rFonts w:ascii="Times New Roman" w:hAnsi="Times New Roman" w:cs="Times New Roman"/>
                <w:caps w:val="0"/>
                <w:smallCaps w:val="0"/>
                <w:u w:val="single"/>
              </w:rPr>
              <w:t>场界</w:t>
            </w:r>
          </w:p>
        </w:tc>
        <w:tc>
          <w:tcPr>
            <w:tcW w:w="1002" w:type="pct"/>
            <w:noWrap w:val="0"/>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lang w:val="en-US" w:eastAsia="zh-CN"/>
              </w:rPr>
              <w:t>VOCs、苯并芘</w:t>
            </w:r>
          </w:p>
        </w:tc>
        <w:tc>
          <w:tcPr>
            <w:tcW w:w="911"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半年</w:t>
            </w:r>
            <w:r>
              <w:rPr>
                <w:rFonts w:hint="eastAsia" w:ascii="Times New Roman" w:hAnsi="Times New Roman" w:cs="Times New Roman"/>
                <w:caps w:val="0"/>
                <w:smallCaps w:val="0"/>
                <w:u w:val="single"/>
              </w:rPr>
              <w:t>1</w:t>
            </w:r>
            <w:r>
              <w:rPr>
                <w:rFonts w:ascii="Times New Roman" w:hAnsi="Times New Roman" w:cs="Times New Roman"/>
                <w:caps w:val="0"/>
                <w:smallCaps w:val="0"/>
                <w:u w:val="single"/>
              </w:rPr>
              <w:t>次</w:t>
            </w:r>
          </w:p>
        </w:tc>
        <w:tc>
          <w:tcPr>
            <w:tcW w:w="612" w:type="pct"/>
            <w:noWrap w:val="0"/>
            <w:vAlign w:val="center"/>
          </w:tcPr>
          <w:p>
            <w:pPr>
              <w:pStyle w:val="117"/>
              <w:bidi w:val="0"/>
              <w:rPr>
                <w:rFonts w:ascii="Times New Roman" w:hAnsi="Times New Roman" w:cs="Times New Roman"/>
                <w:caps w:val="0"/>
                <w:smallCaps w:val="0"/>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619" w:hRule="atLeast"/>
          <w:jc w:val="center"/>
        </w:trPr>
        <w:tc>
          <w:tcPr>
            <w:tcW w:w="531" w:type="pct"/>
            <w:vMerge w:val="continue"/>
            <w:noWrap w:val="0"/>
            <w:vAlign w:val="center"/>
          </w:tcPr>
          <w:p>
            <w:pPr>
              <w:pStyle w:val="117"/>
              <w:bidi w:val="0"/>
              <w:rPr>
                <w:rFonts w:ascii="Times New Roman" w:hAnsi="Times New Roman" w:cs="Times New Roman"/>
                <w:caps w:val="0"/>
                <w:smallCaps w:val="0"/>
                <w:u w:val="single"/>
              </w:rPr>
            </w:pPr>
          </w:p>
        </w:tc>
        <w:tc>
          <w:tcPr>
            <w:tcW w:w="627" w:type="pct"/>
            <w:noWrap w:val="0"/>
            <w:vAlign w:val="center"/>
          </w:tcPr>
          <w:p>
            <w:pPr>
              <w:pStyle w:val="117"/>
              <w:bidi w:val="0"/>
              <w:rPr>
                <w:rFonts w:hint="eastAsia" w:ascii="Times New Roman" w:hAnsi="Times New Roman" w:eastAsia="宋体" w:cs="Times New Roman"/>
                <w:caps w:val="0"/>
                <w:smallCaps w:val="0"/>
                <w:u w:val="single"/>
                <w:lang w:eastAsia="zh-CN"/>
              </w:rPr>
            </w:pPr>
            <w:r>
              <w:rPr>
                <w:rFonts w:hint="eastAsia" w:ascii="Times New Roman" w:hAnsi="Times New Roman" w:cs="Times New Roman"/>
                <w:caps w:val="0"/>
                <w:smallCaps w:val="0"/>
                <w:u w:val="single"/>
                <w:lang w:eastAsia="zh-CN"/>
              </w:rPr>
              <w:t>废水</w:t>
            </w:r>
          </w:p>
        </w:tc>
        <w:tc>
          <w:tcPr>
            <w:tcW w:w="1314" w:type="pct"/>
            <w:noWrap w:val="0"/>
            <w:vAlign w:val="center"/>
          </w:tcPr>
          <w:p>
            <w:pPr>
              <w:pStyle w:val="117"/>
              <w:bidi w:val="0"/>
              <w:rPr>
                <w:rFonts w:hint="eastAsia" w:ascii="Times New Roman" w:hAnsi="Times New Roman" w:cs="Times New Roman"/>
                <w:caps w:val="0"/>
                <w:smallCaps w:val="0"/>
                <w:u w:val="single"/>
                <w:lang w:eastAsia="zh-CN"/>
              </w:rPr>
            </w:pPr>
            <w:r>
              <w:rPr>
                <w:rFonts w:hint="eastAsia" w:ascii="Times New Roman" w:hAnsi="Times New Roman" w:cs="Times New Roman"/>
                <w:caps w:val="0"/>
                <w:smallCaps w:val="0"/>
                <w:u w:val="single"/>
                <w:lang w:eastAsia="zh-CN"/>
              </w:rPr>
              <w:t>生活排污口</w:t>
            </w:r>
          </w:p>
        </w:tc>
        <w:tc>
          <w:tcPr>
            <w:tcW w:w="1002"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rPr>
              <w:t>SS、CODCr、BOD</w:t>
            </w:r>
            <w:r>
              <w:rPr>
                <w:rFonts w:hint="eastAsia" w:ascii="Times New Roman" w:hAnsi="Times New Roman" w:cs="Times New Roman"/>
                <w:caps w:val="0"/>
                <w:smallCaps w:val="0"/>
                <w:u w:val="single"/>
                <w:vertAlign w:val="subscript"/>
              </w:rPr>
              <w:t>5</w:t>
            </w:r>
            <w:r>
              <w:rPr>
                <w:rFonts w:hint="eastAsia" w:ascii="Times New Roman" w:hAnsi="Times New Roman" w:cs="Times New Roman"/>
                <w:caps w:val="0"/>
                <w:smallCaps w:val="0"/>
                <w:u w:val="single"/>
              </w:rPr>
              <w:t>、NH</w:t>
            </w:r>
            <w:r>
              <w:rPr>
                <w:rFonts w:hint="eastAsia" w:ascii="Times New Roman" w:hAnsi="Times New Roman" w:cs="Times New Roman"/>
                <w:caps w:val="0"/>
                <w:smallCaps w:val="0"/>
                <w:u w:val="single"/>
                <w:vertAlign w:val="subscript"/>
              </w:rPr>
              <w:t>3</w:t>
            </w:r>
            <w:r>
              <w:rPr>
                <w:rFonts w:hint="eastAsia" w:ascii="Times New Roman" w:hAnsi="Times New Roman" w:cs="Times New Roman"/>
                <w:caps w:val="0"/>
                <w:smallCaps w:val="0"/>
                <w:u w:val="single"/>
              </w:rPr>
              <w:t>-N、石油类</w:t>
            </w:r>
          </w:p>
        </w:tc>
        <w:tc>
          <w:tcPr>
            <w:tcW w:w="911"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半年</w:t>
            </w:r>
            <w:r>
              <w:rPr>
                <w:rFonts w:hint="eastAsia" w:ascii="Times New Roman" w:hAnsi="Times New Roman" w:cs="Times New Roman"/>
                <w:caps w:val="0"/>
                <w:smallCaps w:val="0"/>
                <w:u w:val="single"/>
              </w:rPr>
              <w:t>1</w:t>
            </w:r>
            <w:r>
              <w:rPr>
                <w:rFonts w:ascii="Times New Roman" w:hAnsi="Times New Roman" w:cs="Times New Roman"/>
                <w:caps w:val="0"/>
                <w:smallCaps w:val="0"/>
                <w:u w:val="single"/>
              </w:rPr>
              <w:t>次</w:t>
            </w:r>
          </w:p>
        </w:tc>
        <w:tc>
          <w:tcPr>
            <w:tcW w:w="612" w:type="pct"/>
            <w:noWrap w:val="0"/>
            <w:vAlign w:val="center"/>
          </w:tcPr>
          <w:p>
            <w:pPr>
              <w:pStyle w:val="117"/>
              <w:bidi w:val="0"/>
              <w:rPr>
                <w:rFonts w:ascii="Times New Roman" w:hAnsi="Times New Roman" w:cs="Times New Roman"/>
                <w:caps w:val="0"/>
                <w:smallCaps w:val="0"/>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00" w:hRule="atLeast"/>
          <w:jc w:val="center"/>
        </w:trPr>
        <w:tc>
          <w:tcPr>
            <w:tcW w:w="531" w:type="pct"/>
            <w:vMerge w:val="continue"/>
            <w:noWrap w:val="0"/>
            <w:vAlign w:val="center"/>
          </w:tcPr>
          <w:p>
            <w:pPr>
              <w:pStyle w:val="117"/>
              <w:bidi w:val="0"/>
              <w:rPr>
                <w:rFonts w:ascii="Times New Roman" w:hAnsi="Times New Roman" w:cs="Times New Roman"/>
                <w:caps w:val="0"/>
                <w:smallCaps w:val="0"/>
                <w:u w:val="single"/>
              </w:rPr>
            </w:pPr>
          </w:p>
        </w:tc>
        <w:tc>
          <w:tcPr>
            <w:tcW w:w="627" w:type="pct"/>
            <w:noWrap w:val="0"/>
            <w:vAlign w:val="center"/>
          </w:tcPr>
          <w:p>
            <w:pPr>
              <w:pStyle w:val="117"/>
              <w:bidi w:val="0"/>
              <w:rPr>
                <w:rFonts w:hint="eastAsia" w:ascii="Times New Roman" w:hAnsi="Times New Roman" w:cs="Times New Roman"/>
                <w:caps w:val="0"/>
                <w:smallCaps w:val="0"/>
                <w:u w:val="single"/>
              </w:rPr>
            </w:pPr>
            <w:r>
              <w:rPr>
                <w:rFonts w:hint="eastAsia" w:ascii="Times New Roman" w:hAnsi="Times New Roman" w:cs="Times New Roman"/>
                <w:caps w:val="0"/>
                <w:smallCaps w:val="0"/>
                <w:u w:val="single"/>
              </w:rPr>
              <w:t>噪声</w:t>
            </w:r>
          </w:p>
        </w:tc>
        <w:tc>
          <w:tcPr>
            <w:tcW w:w="1314"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场界</w:t>
            </w:r>
          </w:p>
        </w:tc>
        <w:tc>
          <w:tcPr>
            <w:tcW w:w="1002" w:type="pct"/>
            <w:noWrap w:val="0"/>
            <w:vAlign w:val="center"/>
          </w:tcPr>
          <w:p>
            <w:pPr>
              <w:pStyle w:val="117"/>
              <w:bidi w:val="0"/>
              <w:rPr>
                <w:rFonts w:ascii="Times New Roman" w:hAnsi="Times New Roman" w:cs="Times New Roman"/>
                <w:caps w:val="0"/>
                <w:smallCaps w:val="0"/>
                <w:u w:val="single"/>
              </w:rPr>
            </w:pPr>
            <w:r>
              <w:rPr>
                <w:rFonts w:hint="eastAsia" w:ascii="Times New Roman" w:hAnsi="Times New Roman" w:cs="Times New Roman"/>
                <w:caps w:val="0"/>
                <w:smallCaps w:val="0"/>
                <w:u w:val="single"/>
              </w:rPr>
              <w:t>Leq(A)</w:t>
            </w:r>
          </w:p>
        </w:tc>
        <w:tc>
          <w:tcPr>
            <w:tcW w:w="911"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每季度</w:t>
            </w:r>
            <w:r>
              <w:rPr>
                <w:rFonts w:hint="eastAsia" w:ascii="Times New Roman" w:hAnsi="Times New Roman" w:cs="Times New Roman"/>
                <w:caps w:val="0"/>
                <w:smallCaps w:val="0"/>
                <w:u w:val="single"/>
              </w:rPr>
              <w:t>1次，每次2天，分昼夜2个时段</w:t>
            </w:r>
          </w:p>
        </w:tc>
        <w:tc>
          <w:tcPr>
            <w:tcW w:w="612" w:type="pct"/>
            <w:noWrap w:val="0"/>
            <w:vAlign w:val="center"/>
          </w:tcPr>
          <w:p>
            <w:pPr>
              <w:pStyle w:val="117"/>
              <w:bidi w:val="0"/>
              <w:rPr>
                <w:rFonts w:ascii="Times New Roman" w:hAnsi="Times New Roman" w:cs="Times New Roman"/>
                <w:caps w:val="0"/>
                <w:smallCaps w:val="0"/>
                <w:u w:val="single"/>
              </w:rPr>
            </w:pP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00" w:hRule="atLeast"/>
          <w:jc w:val="center"/>
        </w:trPr>
        <w:tc>
          <w:tcPr>
            <w:tcW w:w="531" w:type="pct"/>
            <w:vMerge w:val="continue"/>
            <w:noWrap w:val="0"/>
            <w:vAlign w:val="center"/>
          </w:tcPr>
          <w:p>
            <w:pPr>
              <w:pStyle w:val="117"/>
              <w:bidi w:val="0"/>
              <w:rPr>
                <w:rFonts w:ascii="Times New Roman" w:hAnsi="Times New Roman" w:cs="Times New Roman"/>
                <w:caps w:val="0"/>
                <w:smallCaps w:val="0"/>
                <w:u w:val="single"/>
              </w:rPr>
            </w:pPr>
          </w:p>
        </w:tc>
        <w:tc>
          <w:tcPr>
            <w:tcW w:w="1941" w:type="pct"/>
            <w:gridSpan w:val="2"/>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固废</w:t>
            </w:r>
          </w:p>
        </w:tc>
        <w:tc>
          <w:tcPr>
            <w:tcW w:w="1002"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统计固废产生量及去向</w:t>
            </w:r>
          </w:p>
        </w:tc>
        <w:tc>
          <w:tcPr>
            <w:tcW w:w="911" w:type="pct"/>
            <w:noWrap w:val="0"/>
            <w:vAlign w:val="center"/>
          </w:tcPr>
          <w:p>
            <w:pPr>
              <w:pStyle w:val="117"/>
              <w:bidi w:val="0"/>
              <w:rPr>
                <w:rFonts w:ascii="Times New Roman" w:hAnsi="Times New Roman" w:cs="Times New Roman"/>
                <w:caps w:val="0"/>
                <w:smallCaps w:val="0"/>
                <w:u w:val="single"/>
              </w:rPr>
            </w:pPr>
            <w:r>
              <w:rPr>
                <w:rFonts w:ascii="Times New Roman" w:hAnsi="Times New Roman" w:cs="Times New Roman"/>
                <w:caps w:val="0"/>
                <w:smallCaps w:val="0"/>
                <w:u w:val="single"/>
              </w:rPr>
              <w:t>台账统计</w:t>
            </w:r>
            <w:r>
              <w:rPr>
                <w:rFonts w:hint="eastAsia" w:ascii="Times New Roman" w:hAnsi="Times New Roman" w:cs="Times New Roman"/>
                <w:caps w:val="0"/>
                <w:smallCaps w:val="0"/>
                <w:u w:val="single"/>
              </w:rPr>
              <w:t>、</w:t>
            </w:r>
            <w:r>
              <w:rPr>
                <w:rFonts w:ascii="Times New Roman" w:hAnsi="Times New Roman" w:cs="Times New Roman"/>
                <w:caps w:val="0"/>
                <w:smallCaps w:val="0"/>
                <w:u w:val="single"/>
              </w:rPr>
              <w:t>年报一次</w:t>
            </w:r>
          </w:p>
        </w:tc>
        <w:tc>
          <w:tcPr>
            <w:tcW w:w="612" w:type="pct"/>
            <w:noWrap w:val="0"/>
            <w:vAlign w:val="center"/>
          </w:tcPr>
          <w:p>
            <w:pPr>
              <w:pStyle w:val="117"/>
              <w:bidi w:val="0"/>
              <w:rPr>
                <w:rFonts w:ascii="Times New Roman" w:hAnsi="Times New Roman" w:cs="Times New Roman"/>
                <w:caps w:val="0"/>
                <w:smallCaps w:val="0"/>
                <w:u w:val="single"/>
              </w:rPr>
            </w:pPr>
          </w:p>
        </w:tc>
      </w:tr>
    </w:tbl>
    <w:p>
      <w:pPr>
        <w:bidi w:val="0"/>
        <w:rPr>
          <w:rFonts w:hint="eastAsia"/>
          <w:lang w:val="en-US" w:eastAsia="zh-CN"/>
        </w:rPr>
      </w:pPr>
      <w:r>
        <w:rPr>
          <w:rFonts w:hint="eastAsia"/>
          <w:lang w:val="en-US" w:eastAsia="zh-CN"/>
        </w:rPr>
        <w:t>2、竣工环保验收</w:t>
      </w:r>
    </w:p>
    <w:p>
      <w:pPr>
        <w:pStyle w:val="2"/>
        <w:rPr>
          <w:rFonts w:hint="eastAsia"/>
          <w:lang w:val="en-US" w:eastAsia="zh-CN"/>
        </w:rPr>
      </w:pPr>
      <w:r>
        <w:rPr>
          <w:rFonts w:hint="eastAsia"/>
          <w:lang w:val="en-US" w:eastAsia="zh-CN"/>
        </w:rPr>
        <w:t>本项目环境保护设施竣工验收项目见下表。</w:t>
      </w:r>
    </w:p>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表9.2-2项目“环保竣工验收监测一览表</w:t>
      </w:r>
    </w:p>
    <w:tbl>
      <w:tblPr>
        <w:tblStyle w:val="71"/>
        <w:tblW w:w="5036" w:type="pct"/>
        <w:tblInd w:w="-15"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autofit"/>
        <w:tblCellMar>
          <w:top w:w="0" w:type="dxa"/>
          <w:left w:w="0" w:type="dxa"/>
          <w:bottom w:w="0" w:type="dxa"/>
          <w:right w:w="0" w:type="dxa"/>
        </w:tblCellMar>
      </w:tblPr>
      <w:tblGrid>
        <w:gridCol w:w="684"/>
        <w:gridCol w:w="1182"/>
        <w:gridCol w:w="3393"/>
        <w:gridCol w:w="3143"/>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9" w:hRule="atLeast"/>
        </w:trPr>
        <w:tc>
          <w:tcPr>
            <w:tcW w:w="407"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类别</w:t>
            </w: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项目</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治理措施</w:t>
            </w:r>
          </w:p>
        </w:tc>
        <w:tc>
          <w:tcPr>
            <w:tcW w:w="1869"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验收标准和要求</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9" w:hRule="atLeast"/>
        </w:trPr>
        <w:tc>
          <w:tcPr>
            <w:tcW w:w="407" w:type="pct"/>
            <w:vMerge w:val="restar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废气</w:t>
            </w: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船舶、汽车燃油废气</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已年检的船舶或车辆，加强进出场区交通管理</w:t>
            </w:r>
          </w:p>
        </w:tc>
        <w:tc>
          <w:tcPr>
            <w:tcW w:w="1869"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9" w:hRule="atLeast"/>
        </w:trPr>
        <w:tc>
          <w:tcPr>
            <w:tcW w:w="407" w:type="pct"/>
            <w:vMerge w:val="continue"/>
            <w:noWrap w:val="0"/>
            <w:vAlign w:val="center"/>
          </w:tcPr>
          <w:p>
            <w:pPr>
              <w:pStyle w:val="117"/>
              <w:bidi w:val="0"/>
              <w:rPr>
                <w:rFonts w:hint="eastAsia" w:ascii="Times New Roman" w:hAnsi="Times New Roman" w:cs="Times New Roman"/>
                <w:caps w:val="0"/>
                <w:smallCaps w:val="0"/>
                <w:u w:val="single"/>
                <w:lang w:val="en-US" w:eastAsia="zh-CN"/>
              </w:rPr>
            </w:pPr>
          </w:p>
        </w:tc>
        <w:tc>
          <w:tcPr>
            <w:tcW w:w="703"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运输扬尘</w:t>
            </w:r>
          </w:p>
        </w:tc>
        <w:tc>
          <w:tcPr>
            <w:tcW w:w="2018"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加强进出场区交通管理</w:t>
            </w:r>
          </w:p>
        </w:tc>
        <w:tc>
          <w:tcPr>
            <w:tcW w:w="1869" w:type="pct"/>
            <w:noWrap w:val="0"/>
            <w:vAlign w:val="center"/>
          </w:tcPr>
          <w:p>
            <w:pPr>
              <w:pStyle w:val="117"/>
              <w:bidi w:val="0"/>
              <w:ind w:firstLine="0" w:firstLineChars="0"/>
              <w:rPr>
                <w:rFonts w:hint="eastAsia" w:ascii="Times New Roman" w:hAnsi="Times New Roman" w:eastAsia="宋体" w:cs="Times New Roman"/>
                <w:caps w:val="0"/>
                <w:smallCaps w:val="0"/>
                <w:kern w:val="0"/>
                <w:sz w:val="21"/>
                <w:szCs w:val="24"/>
                <w:u w:val="single"/>
                <w:lang w:val="en-US" w:eastAsia="zh-CN" w:bidi="ar-SA"/>
              </w:rPr>
            </w:pPr>
            <w:r>
              <w:rPr>
                <w:rFonts w:hint="eastAsia" w:ascii="Times New Roman" w:hAnsi="Times New Roman" w:cs="Times New Roman"/>
                <w:caps w:val="0"/>
                <w:smallCaps w:val="0"/>
                <w:u w:val="single"/>
                <w:lang w:val="en-US" w:eastAsia="zh-CN"/>
              </w:rPr>
              <w:t>《大气污染物综合排放标准》（GB16297-1996）中无组织排放标准</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409" w:hRule="atLeast"/>
        </w:trPr>
        <w:tc>
          <w:tcPr>
            <w:tcW w:w="407" w:type="pct"/>
            <w:vMerge w:val="continue"/>
            <w:noWrap w:val="0"/>
            <w:vAlign w:val="center"/>
          </w:tcPr>
          <w:p>
            <w:pPr>
              <w:pStyle w:val="117"/>
              <w:bidi w:val="0"/>
              <w:rPr>
                <w:rFonts w:hint="eastAsia" w:ascii="Times New Roman" w:hAnsi="Times New Roman" w:cs="Times New Roman"/>
                <w:caps w:val="0"/>
                <w:smallCaps w:val="0"/>
                <w:u w:val="single"/>
                <w:lang w:val="en-US" w:eastAsia="zh-CN"/>
              </w:rPr>
            </w:pP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装卸废气</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依托库区现有废气处理装置处理</w:t>
            </w:r>
          </w:p>
        </w:tc>
        <w:tc>
          <w:tcPr>
            <w:tcW w:w="1869" w:type="pct"/>
            <w:noWrap w:val="0"/>
            <w:vAlign w:val="center"/>
          </w:tcPr>
          <w:p>
            <w:pPr>
              <w:pStyle w:val="117"/>
              <w:bidi w:val="0"/>
              <w:rPr>
                <w:rFonts w:hint="eastAsia" w:ascii="Times New Roman" w:hAnsi="Times New Roman" w:cs="Times New Roman"/>
                <w:caps w:val="0"/>
                <w:smallCaps w:val="0"/>
                <w:u w:val="single"/>
                <w:lang w:val="en-US" w:eastAsia="zh-CN"/>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49" w:hRule="atLeast"/>
        </w:trPr>
        <w:tc>
          <w:tcPr>
            <w:tcW w:w="407" w:type="pct"/>
            <w:vMerge w:val="restar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废水</w:t>
            </w: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码头员工生活污水</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依托库区设施，产生的生活废水经库区化粪池处理后排入市政污水管网</w:t>
            </w:r>
          </w:p>
        </w:tc>
        <w:tc>
          <w:tcPr>
            <w:tcW w:w="1869"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《污水综合排放标准》（GB8978-1996）表4三级标准</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34" w:hRule="atLeast"/>
        </w:trPr>
        <w:tc>
          <w:tcPr>
            <w:tcW w:w="407" w:type="pct"/>
            <w:vMerge w:val="continue"/>
            <w:noWrap w:val="0"/>
            <w:vAlign w:val="center"/>
          </w:tcPr>
          <w:p>
            <w:pPr>
              <w:pStyle w:val="117"/>
              <w:bidi w:val="0"/>
              <w:rPr>
                <w:rFonts w:hint="eastAsia" w:ascii="Times New Roman" w:hAnsi="Times New Roman" w:cs="Times New Roman"/>
                <w:caps w:val="0"/>
                <w:smallCaps w:val="0"/>
                <w:u w:val="single"/>
                <w:lang w:val="en-US" w:eastAsia="zh-CN"/>
              </w:rPr>
            </w:pP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船舶含油污水、船舶员工生活污水、初期雨水、趸船冲洗废水</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接驳管网+25m</w:t>
            </w:r>
            <w:r>
              <w:rPr>
                <w:rFonts w:hint="eastAsia" w:ascii="Times New Roman" w:hAnsi="Times New Roman" w:cs="Times New Roman"/>
                <w:caps w:val="0"/>
                <w:smallCaps w:val="0"/>
                <w:u w:val="single"/>
                <w:vertAlign w:val="superscript"/>
                <w:lang w:val="en-US" w:eastAsia="zh-CN"/>
              </w:rPr>
              <w:t>3</w:t>
            </w:r>
            <w:r>
              <w:rPr>
                <w:rFonts w:hint="eastAsia" w:ascii="Times New Roman" w:hAnsi="Times New Roman" w:cs="Times New Roman"/>
                <w:caps w:val="0"/>
                <w:smallCaps w:val="0"/>
                <w:u w:val="single"/>
                <w:lang w:val="en-US" w:eastAsia="zh-CN"/>
              </w:rPr>
              <w:t>污水收集箱</w:t>
            </w:r>
          </w:p>
        </w:tc>
        <w:tc>
          <w:tcPr>
            <w:tcW w:w="1869"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由海事部门环保船回收，交由海事部门指定单位进行处理</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c>
          <w:tcPr>
            <w:tcW w:w="407" w:type="pct"/>
            <w:vMerge w:val="restar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固体 废物</w:t>
            </w: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危险废物</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废矿物油，交由有资质单位处理</w:t>
            </w:r>
          </w:p>
        </w:tc>
        <w:tc>
          <w:tcPr>
            <w:tcW w:w="1869" w:type="pct"/>
            <w:vMerge w:val="restar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固废管理台账，不对环境产生直接影响</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90" w:hRule="atLeast"/>
        </w:trPr>
        <w:tc>
          <w:tcPr>
            <w:tcW w:w="407" w:type="pct"/>
            <w:vMerge w:val="continue"/>
            <w:noWrap w:val="0"/>
            <w:vAlign w:val="center"/>
          </w:tcPr>
          <w:p>
            <w:pPr>
              <w:pStyle w:val="117"/>
              <w:bidi w:val="0"/>
              <w:rPr>
                <w:rFonts w:hint="eastAsia" w:ascii="Times New Roman" w:hAnsi="Times New Roman" w:cs="Times New Roman"/>
                <w:caps w:val="0"/>
                <w:smallCaps w:val="0"/>
                <w:u w:val="single"/>
                <w:lang w:val="en-US" w:eastAsia="zh-CN"/>
              </w:rPr>
            </w:pP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船舶员工生活垃圾</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码头生活垃圾收集系统收集后交环卫部门清运</w:t>
            </w:r>
          </w:p>
        </w:tc>
        <w:tc>
          <w:tcPr>
            <w:tcW w:w="1869" w:type="pct"/>
            <w:vMerge w:val="continue"/>
            <w:noWrap w:val="0"/>
            <w:vAlign w:val="center"/>
          </w:tcPr>
          <w:p>
            <w:pPr>
              <w:pStyle w:val="117"/>
              <w:bidi w:val="0"/>
              <w:rPr>
                <w:rFonts w:hint="eastAsia" w:ascii="Times New Roman" w:hAnsi="Times New Roman" w:cs="Times New Roman"/>
                <w:caps w:val="0"/>
                <w:smallCaps w:val="0"/>
                <w:u w:val="single"/>
                <w:lang w:val="en-US" w:eastAsia="zh-CN"/>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590" w:hRule="atLeast"/>
        </w:trPr>
        <w:tc>
          <w:tcPr>
            <w:tcW w:w="407" w:type="pct"/>
            <w:vMerge w:val="continue"/>
            <w:noWrap w:val="0"/>
            <w:vAlign w:val="center"/>
          </w:tcPr>
          <w:p>
            <w:pPr>
              <w:pStyle w:val="117"/>
              <w:bidi w:val="0"/>
              <w:rPr>
                <w:rFonts w:hint="eastAsia" w:ascii="Times New Roman" w:hAnsi="Times New Roman" w:cs="Times New Roman"/>
                <w:caps w:val="0"/>
                <w:smallCaps w:val="0"/>
                <w:u w:val="single"/>
                <w:lang w:val="en-US" w:eastAsia="zh-CN"/>
              </w:rPr>
            </w:pP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码头员工生活垃圾</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码头生活垃圾收集系统收集后交环卫部门清运</w:t>
            </w:r>
          </w:p>
        </w:tc>
        <w:tc>
          <w:tcPr>
            <w:tcW w:w="1869" w:type="pct"/>
            <w:vMerge w:val="continue"/>
            <w:noWrap w:val="0"/>
            <w:vAlign w:val="center"/>
          </w:tcPr>
          <w:p>
            <w:pPr>
              <w:pStyle w:val="117"/>
              <w:bidi w:val="0"/>
              <w:rPr>
                <w:rFonts w:hint="eastAsia" w:ascii="Times New Roman" w:hAnsi="Times New Roman" w:cs="Times New Roman"/>
                <w:caps w:val="0"/>
                <w:smallCaps w:val="0"/>
                <w:u w:val="single"/>
                <w:lang w:val="en-US" w:eastAsia="zh-CN"/>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c>
          <w:tcPr>
            <w:tcW w:w="407"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噪声</w:t>
            </w: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设备噪声、交通噪声</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运输设备减振、安装吸声材料，到港船舶降低航，减少鸣笛次数</w:t>
            </w:r>
          </w:p>
        </w:tc>
        <w:tc>
          <w:tcPr>
            <w:tcW w:w="1869"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满足《工业企业厂界环境噪声排放标准》（GB12348-2008）4类标准</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96" w:hRule="atLeast"/>
        </w:trPr>
        <w:tc>
          <w:tcPr>
            <w:tcW w:w="407"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环境风险</w:t>
            </w: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应急措施</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围油栏、托油网、吸油毡等</w:t>
            </w:r>
          </w:p>
        </w:tc>
        <w:tc>
          <w:tcPr>
            <w:tcW w:w="1869"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有对应物品，依托海事部门应急救援船</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793" w:hRule="atLeast"/>
        </w:trPr>
        <w:tc>
          <w:tcPr>
            <w:tcW w:w="407"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环境 管理</w:t>
            </w: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环境管理</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有专业员工、有相应环境管理和监测制度、有生产区工作计划</w:t>
            </w:r>
          </w:p>
        </w:tc>
        <w:tc>
          <w:tcPr>
            <w:tcW w:w="1869"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包括事故源控制、应急预案、应急 监测等。</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0" w:type="dxa"/>
            <w:bottom w:w="0" w:type="dxa"/>
            <w:right w:w="0" w:type="dxa"/>
          </w:tblCellMar>
        </w:tblPrEx>
        <w:trPr>
          <w:trHeight w:val="685" w:hRule="atLeast"/>
        </w:trPr>
        <w:tc>
          <w:tcPr>
            <w:tcW w:w="407"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生态</w:t>
            </w:r>
          </w:p>
        </w:tc>
        <w:tc>
          <w:tcPr>
            <w:tcW w:w="703"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宣传警示牌</w:t>
            </w:r>
          </w:p>
        </w:tc>
        <w:tc>
          <w:tcPr>
            <w:tcW w:w="2018"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港口作业区设置限速、禁鸣警示牌</w:t>
            </w:r>
          </w:p>
        </w:tc>
        <w:tc>
          <w:tcPr>
            <w:tcW w:w="1869" w:type="pct"/>
            <w:noWrap w:val="0"/>
            <w:vAlign w:val="center"/>
          </w:tcPr>
          <w:p>
            <w:pPr>
              <w:pStyle w:val="117"/>
              <w:bidi w:val="0"/>
              <w:rPr>
                <w:rFonts w:hint="eastAsia" w:ascii="Times New Roman" w:hAnsi="Times New Roman" w:cs="Times New Roman"/>
                <w:caps w:val="0"/>
                <w:smallCaps w:val="0"/>
                <w:u w:val="single"/>
                <w:lang w:val="en-US" w:eastAsia="zh-CN"/>
              </w:rPr>
            </w:pPr>
            <w:r>
              <w:rPr>
                <w:rFonts w:hint="eastAsia" w:ascii="Times New Roman" w:hAnsi="Times New Roman" w:cs="Times New Roman"/>
                <w:caps w:val="0"/>
                <w:smallCaps w:val="0"/>
                <w:u w:val="single"/>
                <w:lang w:val="en-US" w:eastAsia="zh-CN"/>
              </w:rPr>
              <w:t>港口作业区设置限速、禁鸣警示牌，边坡绿化</w:t>
            </w:r>
          </w:p>
        </w:tc>
      </w:tr>
    </w:tbl>
    <w:p>
      <w:pPr>
        <w:pStyle w:val="117"/>
        <w:bidi w:val="0"/>
        <w:rPr>
          <w:rFonts w:hint="eastAsia" w:ascii="Times New Roman" w:hAnsi="Times New Roman" w:cs="Times New Roman"/>
          <w:caps w:val="0"/>
          <w:smallCaps w:val="0"/>
          <w:u w:val="single"/>
          <w:lang w:val="en-US" w:eastAsia="zh-CN"/>
        </w:rPr>
      </w:pP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排污口规范化</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lang w:val="en-US"/>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1、排污口规范化管理</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根据《湖南省污染源自动监控管理办法》（湖南省人民政府令第203号）及国家环保总局环发（1999）24号文件的要求，按目前环境管理和现代企业污染源规范化管理的要求建设方，建设方必须对其排污口进行规范性管理。应做到：</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lang w:val="en-US"/>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规范化采样口，各污染物采样分析均按照最新的环境监测技术规范和标准方法要求进行；根据《环境保护图形标志——排放口（源）》（GB155562.1-1995）标准要求，在噪声排放口、固废堆场设置环境保护图形标志，便于加强对污染物排放口（源）的监督管理以及常规监测工作的进行。</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专项图标的形式见表9.2-2-表9.2-3。</w:t>
      </w:r>
    </w:p>
    <w:p>
      <w:pPr>
        <w:pStyle w:val="94"/>
        <w:rPr>
          <w:rFonts w:ascii="Times New Roman" w:hAnsi="Times New Roman" w:cs="Times New Roman"/>
          <w:caps w:val="0"/>
          <w:smallCaps w:val="0"/>
          <w:sz w:val="21"/>
          <w:szCs w:val="21"/>
        </w:rPr>
      </w:pPr>
      <w:r>
        <w:rPr>
          <w:rFonts w:ascii="Times New Roman" w:hAnsi="Times New Roman" w:cs="Times New Roman"/>
          <w:caps w:val="0"/>
          <w:smallCaps w:val="0"/>
          <w:sz w:val="21"/>
          <w:szCs w:val="21"/>
        </w:rPr>
        <w:t>表</w:t>
      </w:r>
      <w:r>
        <w:rPr>
          <w:rFonts w:hint="eastAsia" w:ascii="Times New Roman" w:hAnsi="Times New Roman" w:cs="Times New Roman"/>
          <w:caps w:val="0"/>
          <w:smallCaps w:val="0"/>
          <w:sz w:val="21"/>
          <w:szCs w:val="21"/>
          <w:lang w:val="en-US" w:eastAsia="zh-CN"/>
        </w:rPr>
        <w:t>9</w:t>
      </w:r>
      <w:r>
        <w:rPr>
          <w:rFonts w:ascii="Times New Roman" w:hAnsi="Times New Roman" w:cs="Times New Roman"/>
          <w:caps w:val="0"/>
          <w:smallCaps w:val="0"/>
          <w:sz w:val="21"/>
          <w:szCs w:val="21"/>
        </w:rPr>
        <w:t>.</w:t>
      </w:r>
      <w:r>
        <w:rPr>
          <w:rFonts w:ascii="Times New Roman" w:hAnsi="Times New Roman" w:cs="Times New Roman"/>
          <w:caps w:val="0"/>
          <w:smallCaps w:val="0"/>
          <w:sz w:val="21"/>
          <w:szCs w:val="21"/>
          <w:lang w:eastAsia="zh-CN"/>
        </w:rPr>
        <w:t>2</w:t>
      </w:r>
      <w:r>
        <w:rPr>
          <w:rFonts w:ascii="Times New Roman" w:hAnsi="Times New Roman" w:cs="Times New Roman"/>
          <w:caps w:val="0"/>
          <w:smallCaps w:val="0"/>
          <w:sz w:val="21"/>
          <w:szCs w:val="21"/>
        </w:rPr>
        <w:t>-</w:t>
      </w:r>
      <w:r>
        <w:rPr>
          <w:rFonts w:hint="eastAsia" w:ascii="Times New Roman" w:hAnsi="Times New Roman" w:cs="Times New Roman"/>
          <w:caps w:val="0"/>
          <w:smallCaps w:val="0"/>
          <w:sz w:val="21"/>
          <w:szCs w:val="21"/>
          <w:lang w:val="en-US" w:eastAsia="zh-CN"/>
        </w:rPr>
        <w:t>2</w:t>
      </w:r>
      <w:r>
        <w:rPr>
          <w:rFonts w:ascii="Times New Roman" w:hAnsi="Times New Roman" w:cs="Times New Roman"/>
          <w:caps w:val="0"/>
          <w:smallCaps w:val="0"/>
          <w:sz w:val="21"/>
          <w:szCs w:val="21"/>
        </w:rPr>
        <w:t>环境保护图形标志的形状及颜色表</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334"/>
        <w:gridCol w:w="1528"/>
        <w:gridCol w:w="2333"/>
        <w:gridCol w:w="2333"/>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9" w:hRule="atLeast"/>
          <w:jc w:val="center"/>
        </w:trPr>
        <w:tc>
          <w:tcPr>
            <w:tcW w:w="1368" w:type="pct"/>
            <w:tcBorders>
              <w:top w:val="single" w:color="auto" w:sz="12" w:space="0"/>
              <w:left w:val="single" w:color="auto" w:sz="12"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标志名称</w:t>
            </w:r>
          </w:p>
        </w:tc>
        <w:tc>
          <w:tcPr>
            <w:tcW w:w="896" w:type="pct"/>
            <w:tcBorders>
              <w:top w:val="single" w:color="auto" w:sz="12"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形状</w:t>
            </w:r>
          </w:p>
        </w:tc>
        <w:tc>
          <w:tcPr>
            <w:tcW w:w="1368" w:type="pct"/>
            <w:tcBorders>
              <w:top w:val="single" w:color="auto" w:sz="12"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背景颜色</w:t>
            </w:r>
          </w:p>
        </w:tc>
        <w:tc>
          <w:tcPr>
            <w:tcW w:w="1368" w:type="pct"/>
            <w:tcBorders>
              <w:top w:val="single" w:color="auto" w:sz="12" w:space="0"/>
              <w:left w:val="single" w:color="auto" w:sz="6" w:space="0"/>
              <w:bottom w:val="single" w:color="auto" w:sz="6" w:space="0"/>
              <w:right w:val="single" w:color="auto" w:sz="12"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图形颜色</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9" w:hRule="atLeast"/>
          <w:jc w:val="center"/>
        </w:trPr>
        <w:tc>
          <w:tcPr>
            <w:tcW w:w="1368" w:type="pct"/>
            <w:tcBorders>
              <w:top w:val="single" w:color="auto" w:sz="6" w:space="0"/>
              <w:left w:val="single" w:color="auto" w:sz="12"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警告标志</w:t>
            </w:r>
          </w:p>
        </w:tc>
        <w:tc>
          <w:tcPr>
            <w:tcW w:w="896"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三角形边框</w:t>
            </w:r>
          </w:p>
        </w:tc>
        <w:tc>
          <w:tcPr>
            <w:tcW w:w="1368"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黄色</w:t>
            </w:r>
          </w:p>
        </w:tc>
        <w:tc>
          <w:tcPr>
            <w:tcW w:w="1368" w:type="pct"/>
            <w:tcBorders>
              <w:top w:val="single" w:color="auto" w:sz="6" w:space="0"/>
              <w:left w:val="single" w:color="auto" w:sz="6" w:space="0"/>
              <w:bottom w:val="single" w:color="auto" w:sz="6" w:space="0"/>
              <w:right w:val="single" w:color="auto" w:sz="12"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黑色</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589" w:hRule="atLeast"/>
          <w:jc w:val="center"/>
        </w:trPr>
        <w:tc>
          <w:tcPr>
            <w:tcW w:w="1368" w:type="pct"/>
            <w:tcBorders>
              <w:top w:val="single" w:color="auto" w:sz="6" w:space="0"/>
              <w:left w:val="single" w:color="auto" w:sz="12" w:space="0"/>
              <w:bottom w:val="single" w:color="auto" w:sz="12"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提示标志</w:t>
            </w:r>
          </w:p>
        </w:tc>
        <w:tc>
          <w:tcPr>
            <w:tcW w:w="896" w:type="pct"/>
            <w:tcBorders>
              <w:top w:val="single" w:color="auto" w:sz="6" w:space="0"/>
              <w:left w:val="single" w:color="auto" w:sz="6" w:space="0"/>
              <w:bottom w:val="single" w:color="auto" w:sz="12"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正方形边框</w:t>
            </w:r>
          </w:p>
        </w:tc>
        <w:tc>
          <w:tcPr>
            <w:tcW w:w="1368" w:type="pct"/>
            <w:tcBorders>
              <w:top w:val="single" w:color="auto" w:sz="6" w:space="0"/>
              <w:left w:val="single" w:color="auto" w:sz="6" w:space="0"/>
              <w:bottom w:val="single" w:color="auto" w:sz="12"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绿色</w:t>
            </w:r>
          </w:p>
        </w:tc>
        <w:tc>
          <w:tcPr>
            <w:tcW w:w="1368" w:type="pct"/>
            <w:tcBorders>
              <w:top w:val="single" w:color="auto" w:sz="6" w:space="0"/>
              <w:left w:val="single" w:color="auto" w:sz="6" w:space="0"/>
              <w:bottom w:val="single" w:color="auto" w:sz="12" w:space="0"/>
              <w:right w:val="single" w:color="auto" w:sz="12"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白色</w:t>
            </w:r>
          </w:p>
        </w:tc>
      </w:tr>
    </w:tbl>
    <w:p>
      <w:pPr>
        <w:pStyle w:val="94"/>
        <w:rPr>
          <w:rFonts w:ascii="Times New Roman" w:hAnsi="Times New Roman" w:cs="Times New Roman"/>
          <w:caps w:val="0"/>
          <w:smallCaps w:val="0"/>
          <w:sz w:val="21"/>
          <w:szCs w:val="21"/>
        </w:rPr>
      </w:pPr>
      <w:r>
        <w:rPr>
          <w:rFonts w:ascii="Times New Roman" w:hAnsi="Times New Roman" w:cs="Times New Roman"/>
          <w:caps w:val="0"/>
          <w:smallCaps w:val="0"/>
          <w:sz w:val="21"/>
          <w:szCs w:val="21"/>
        </w:rPr>
        <w:t>表</w:t>
      </w:r>
      <w:r>
        <w:rPr>
          <w:rFonts w:hint="eastAsia" w:ascii="Times New Roman" w:hAnsi="Times New Roman" w:cs="Times New Roman"/>
          <w:caps w:val="0"/>
          <w:smallCaps w:val="0"/>
          <w:sz w:val="21"/>
          <w:szCs w:val="21"/>
          <w:lang w:val="en-US" w:eastAsia="zh-CN"/>
        </w:rPr>
        <w:t>9</w:t>
      </w:r>
      <w:r>
        <w:rPr>
          <w:rFonts w:ascii="Times New Roman" w:hAnsi="Times New Roman" w:cs="Times New Roman"/>
          <w:caps w:val="0"/>
          <w:smallCaps w:val="0"/>
          <w:sz w:val="21"/>
          <w:szCs w:val="21"/>
        </w:rPr>
        <w:t>.</w:t>
      </w:r>
      <w:r>
        <w:rPr>
          <w:rFonts w:ascii="Times New Roman" w:hAnsi="Times New Roman" w:cs="Times New Roman"/>
          <w:caps w:val="0"/>
          <w:smallCaps w:val="0"/>
          <w:sz w:val="21"/>
          <w:szCs w:val="21"/>
          <w:lang w:eastAsia="zh-CN"/>
        </w:rPr>
        <w:t>2</w:t>
      </w:r>
      <w:r>
        <w:rPr>
          <w:rFonts w:ascii="Times New Roman" w:hAnsi="Times New Roman" w:cs="Times New Roman"/>
          <w:caps w:val="0"/>
          <w:smallCaps w:val="0"/>
          <w:sz w:val="21"/>
          <w:szCs w:val="21"/>
        </w:rPr>
        <w:t>-</w:t>
      </w:r>
      <w:r>
        <w:rPr>
          <w:rFonts w:hint="eastAsia" w:ascii="Times New Roman" w:hAnsi="Times New Roman" w:cs="Times New Roman"/>
          <w:caps w:val="0"/>
          <w:smallCaps w:val="0"/>
          <w:sz w:val="21"/>
          <w:szCs w:val="21"/>
          <w:lang w:val="en-US" w:eastAsia="zh-CN"/>
        </w:rPr>
        <w:t>3</w:t>
      </w:r>
      <w:r>
        <w:rPr>
          <w:rFonts w:ascii="Times New Roman" w:hAnsi="Times New Roman" w:cs="Times New Roman"/>
          <w:caps w:val="0"/>
          <w:smallCaps w:val="0"/>
          <w:sz w:val="21"/>
          <w:szCs w:val="21"/>
          <w:lang w:val="en-US"/>
        </w:rPr>
        <w:t>环境保护图形符号一览表</w:t>
      </w:r>
    </w:p>
    <w:tbl>
      <w:tblPr>
        <w:tblStyle w:val="71"/>
        <w:tblW w:w="5000"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98"/>
        <w:gridCol w:w="1613"/>
        <w:gridCol w:w="1721"/>
        <w:gridCol w:w="1607"/>
        <w:gridCol w:w="2889"/>
      </w:tblGrid>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tblHeader/>
          <w:jc w:val="center"/>
        </w:trPr>
        <w:tc>
          <w:tcPr>
            <w:tcW w:w="409" w:type="pct"/>
            <w:tcBorders>
              <w:top w:val="single" w:color="auto" w:sz="12" w:space="0"/>
              <w:left w:val="single" w:color="auto" w:sz="12"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序号</w:t>
            </w:r>
          </w:p>
        </w:tc>
        <w:tc>
          <w:tcPr>
            <w:tcW w:w="946" w:type="pct"/>
            <w:tcBorders>
              <w:top w:val="single" w:color="auto" w:sz="12"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提示图形符号</w:t>
            </w:r>
          </w:p>
        </w:tc>
        <w:tc>
          <w:tcPr>
            <w:tcW w:w="1009" w:type="pct"/>
            <w:tcBorders>
              <w:top w:val="single" w:color="auto" w:sz="12"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警告图形符号</w:t>
            </w:r>
          </w:p>
        </w:tc>
        <w:tc>
          <w:tcPr>
            <w:tcW w:w="942" w:type="pct"/>
            <w:tcBorders>
              <w:top w:val="single" w:color="auto" w:sz="12"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名称</w:t>
            </w:r>
          </w:p>
        </w:tc>
        <w:tc>
          <w:tcPr>
            <w:tcW w:w="1694" w:type="pct"/>
            <w:tcBorders>
              <w:top w:val="single" w:color="auto" w:sz="12" w:space="0"/>
              <w:left w:val="single" w:color="auto" w:sz="6" w:space="0"/>
              <w:bottom w:val="single" w:color="auto" w:sz="6" w:space="0"/>
              <w:right w:val="single" w:color="auto" w:sz="12"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功能</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09" w:type="pct"/>
            <w:tcBorders>
              <w:top w:val="single" w:color="auto" w:sz="6" w:space="0"/>
              <w:left w:val="single" w:color="auto" w:sz="12"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1</w:t>
            </w:r>
          </w:p>
        </w:tc>
        <w:tc>
          <w:tcPr>
            <w:tcW w:w="946"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drawing>
                <wp:inline distT="0" distB="0" distL="114300" distR="114300">
                  <wp:extent cx="740410" cy="760095"/>
                  <wp:effectExtent l="0" t="0" r="2540" b="1905"/>
                  <wp:docPr id="19" name="图片 12" descr="说明: 1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descr="说明: 13001"/>
                          <pic:cNvPicPr>
                            <a:picLocks noChangeAspect="1"/>
                          </pic:cNvPicPr>
                        </pic:nvPicPr>
                        <pic:blipFill>
                          <a:blip r:embed="rId183"/>
                          <a:stretch>
                            <a:fillRect/>
                          </a:stretch>
                        </pic:blipFill>
                        <pic:spPr>
                          <a:xfrm>
                            <a:off x="0" y="0"/>
                            <a:ext cx="740410" cy="760095"/>
                          </a:xfrm>
                          <a:prstGeom prst="rect">
                            <a:avLst/>
                          </a:prstGeom>
                          <a:noFill/>
                          <a:ln>
                            <a:noFill/>
                          </a:ln>
                        </pic:spPr>
                      </pic:pic>
                    </a:graphicData>
                  </a:graphic>
                </wp:inline>
              </w:drawing>
            </w:r>
          </w:p>
        </w:tc>
        <w:tc>
          <w:tcPr>
            <w:tcW w:w="1009"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drawing>
                <wp:inline distT="0" distB="0" distL="114300" distR="114300">
                  <wp:extent cx="787400" cy="795655"/>
                  <wp:effectExtent l="0" t="0" r="12700" b="4445"/>
                  <wp:docPr id="20" name="图片 13" descr="说明: 1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descr="说明: 13002"/>
                          <pic:cNvPicPr>
                            <a:picLocks noChangeAspect="1"/>
                          </pic:cNvPicPr>
                        </pic:nvPicPr>
                        <pic:blipFill>
                          <a:blip r:embed="rId184"/>
                          <a:stretch>
                            <a:fillRect/>
                          </a:stretch>
                        </pic:blipFill>
                        <pic:spPr>
                          <a:xfrm>
                            <a:off x="0" y="0"/>
                            <a:ext cx="787400" cy="795655"/>
                          </a:xfrm>
                          <a:prstGeom prst="rect">
                            <a:avLst/>
                          </a:prstGeom>
                          <a:noFill/>
                          <a:ln>
                            <a:noFill/>
                          </a:ln>
                        </pic:spPr>
                      </pic:pic>
                    </a:graphicData>
                  </a:graphic>
                </wp:inline>
              </w:drawing>
            </w:r>
          </w:p>
        </w:tc>
        <w:tc>
          <w:tcPr>
            <w:tcW w:w="942"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废水排放口</w:t>
            </w:r>
          </w:p>
        </w:tc>
        <w:tc>
          <w:tcPr>
            <w:tcW w:w="1694" w:type="pct"/>
            <w:tcBorders>
              <w:top w:val="single" w:color="auto" w:sz="6" w:space="0"/>
              <w:left w:val="single" w:color="auto" w:sz="6" w:space="0"/>
              <w:bottom w:val="single" w:color="auto" w:sz="6" w:space="0"/>
              <w:right w:val="single" w:color="auto" w:sz="12"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表示废水向外环境排放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09" w:type="pct"/>
            <w:tcBorders>
              <w:top w:val="single" w:color="auto" w:sz="6" w:space="0"/>
              <w:left w:val="single" w:color="auto" w:sz="12"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2</w:t>
            </w:r>
          </w:p>
        </w:tc>
        <w:tc>
          <w:tcPr>
            <w:tcW w:w="946"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drawing>
                <wp:inline distT="0" distB="0" distL="114300" distR="114300">
                  <wp:extent cx="776605" cy="787400"/>
                  <wp:effectExtent l="0" t="0" r="4445" b="12700"/>
                  <wp:docPr id="11" name="图片 14" descr="说明: 1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4" descr="说明: 14001"/>
                          <pic:cNvPicPr>
                            <a:picLocks noChangeAspect="1"/>
                          </pic:cNvPicPr>
                        </pic:nvPicPr>
                        <pic:blipFill>
                          <a:blip r:embed="rId185"/>
                          <a:stretch>
                            <a:fillRect/>
                          </a:stretch>
                        </pic:blipFill>
                        <pic:spPr>
                          <a:xfrm>
                            <a:off x="0" y="0"/>
                            <a:ext cx="776605" cy="787400"/>
                          </a:xfrm>
                          <a:prstGeom prst="rect">
                            <a:avLst/>
                          </a:prstGeom>
                          <a:noFill/>
                          <a:ln>
                            <a:noFill/>
                          </a:ln>
                        </pic:spPr>
                      </pic:pic>
                    </a:graphicData>
                  </a:graphic>
                </wp:inline>
              </w:drawing>
            </w:r>
          </w:p>
        </w:tc>
        <w:tc>
          <w:tcPr>
            <w:tcW w:w="1009"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drawing>
                <wp:inline distT="0" distB="0" distL="114300" distR="114300">
                  <wp:extent cx="776605" cy="721360"/>
                  <wp:effectExtent l="0" t="0" r="4445" b="2540"/>
                  <wp:docPr id="21" name="图片 15" descr="说明: 1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descr="说明: 14002"/>
                          <pic:cNvPicPr>
                            <a:picLocks noChangeAspect="1"/>
                          </pic:cNvPicPr>
                        </pic:nvPicPr>
                        <pic:blipFill>
                          <a:blip r:embed="rId186"/>
                          <a:stretch>
                            <a:fillRect/>
                          </a:stretch>
                        </pic:blipFill>
                        <pic:spPr>
                          <a:xfrm>
                            <a:off x="0" y="0"/>
                            <a:ext cx="776605" cy="721360"/>
                          </a:xfrm>
                          <a:prstGeom prst="rect">
                            <a:avLst/>
                          </a:prstGeom>
                          <a:noFill/>
                          <a:ln>
                            <a:noFill/>
                          </a:ln>
                        </pic:spPr>
                      </pic:pic>
                    </a:graphicData>
                  </a:graphic>
                </wp:inline>
              </w:drawing>
            </w:r>
          </w:p>
        </w:tc>
        <w:tc>
          <w:tcPr>
            <w:tcW w:w="942"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一般固体废物</w:t>
            </w:r>
          </w:p>
        </w:tc>
        <w:tc>
          <w:tcPr>
            <w:tcW w:w="1694" w:type="pct"/>
            <w:tcBorders>
              <w:top w:val="single" w:color="auto" w:sz="6" w:space="0"/>
              <w:left w:val="single" w:color="auto" w:sz="6" w:space="0"/>
              <w:bottom w:val="single" w:color="auto" w:sz="6" w:space="0"/>
              <w:right w:val="single" w:color="auto" w:sz="12"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表示一般固体废物贮存、处置场</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09" w:type="pct"/>
            <w:tcBorders>
              <w:top w:val="single" w:color="auto" w:sz="6" w:space="0"/>
              <w:left w:val="single" w:color="auto" w:sz="12"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3</w:t>
            </w:r>
          </w:p>
        </w:tc>
        <w:tc>
          <w:tcPr>
            <w:tcW w:w="946"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drawing>
                <wp:inline distT="0" distB="0" distL="114300" distR="114300">
                  <wp:extent cx="787400" cy="787400"/>
                  <wp:effectExtent l="0" t="0" r="12700" b="12700"/>
                  <wp:docPr id="15" name="图片 16" descr="说明: 200602201518049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6" descr="说明: 200602201518049853"/>
                          <pic:cNvPicPr>
                            <a:picLocks noChangeAspect="1"/>
                          </pic:cNvPicPr>
                        </pic:nvPicPr>
                        <pic:blipFill>
                          <a:blip r:embed="rId187"/>
                          <a:stretch>
                            <a:fillRect/>
                          </a:stretch>
                        </pic:blipFill>
                        <pic:spPr>
                          <a:xfrm>
                            <a:off x="0" y="0"/>
                            <a:ext cx="787400" cy="787400"/>
                          </a:xfrm>
                          <a:prstGeom prst="rect">
                            <a:avLst/>
                          </a:prstGeom>
                          <a:noFill/>
                          <a:ln>
                            <a:noFill/>
                          </a:ln>
                        </pic:spPr>
                      </pic:pic>
                    </a:graphicData>
                  </a:graphic>
                </wp:inline>
              </w:drawing>
            </w:r>
          </w:p>
        </w:tc>
        <w:tc>
          <w:tcPr>
            <w:tcW w:w="1009"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drawing>
                <wp:inline distT="0" distB="0" distL="114300" distR="114300">
                  <wp:extent cx="858520" cy="768350"/>
                  <wp:effectExtent l="0" t="0" r="17780" b="12700"/>
                  <wp:docPr id="17" name="图片 17" descr="说明: 200602201519018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说明: 200602201519018631"/>
                          <pic:cNvPicPr>
                            <a:picLocks noChangeAspect="1"/>
                          </pic:cNvPicPr>
                        </pic:nvPicPr>
                        <pic:blipFill>
                          <a:blip r:embed="rId188"/>
                          <a:stretch>
                            <a:fillRect/>
                          </a:stretch>
                        </pic:blipFill>
                        <pic:spPr>
                          <a:xfrm>
                            <a:off x="0" y="0"/>
                            <a:ext cx="858520" cy="768350"/>
                          </a:xfrm>
                          <a:prstGeom prst="rect">
                            <a:avLst/>
                          </a:prstGeom>
                          <a:noFill/>
                          <a:ln>
                            <a:noFill/>
                          </a:ln>
                        </pic:spPr>
                      </pic:pic>
                    </a:graphicData>
                  </a:graphic>
                </wp:inline>
              </w:drawing>
            </w:r>
          </w:p>
        </w:tc>
        <w:tc>
          <w:tcPr>
            <w:tcW w:w="942" w:type="pct"/>
            <w:tcBorders>
              <w:top w:val="single" w:color="auto" w:sz="6" w:space="0"/>
              <w:left w:val="single" w:color="auto" w:sz="6" w:space="0"/>
              <w:bottom w:val="single" w:color="auto" w:sz="6"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噪声排放源</w:t>
            </w:r>
          </w:p>
        </w:tc>
        <w:tc>
          <w:tcPr>
            <w:tcW w:w="1694" w:type="pct"/>
            <w:tcBorders>
              <w:top w:val="single" w:color="auto" w:sz="6" w:space="0"/>
              <w:left w:val="single" w:color="auto" w:sz="6" w:space="0"/>
              <w:bottom w:val="single" w:color="auto" w:sz="6" w:space="0"/>
              <w:right w:val="single" w:color="auto" w:sz="12"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表示噪声向外环境排放</w:t>
            </w:r>
          </w:p>
        </w:tc>
      </w:tr>
      <w:tr>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0" w:hRule="atLeast"/>
          <w:jc w:val="center"/>
        </w:trPr>
        <w:tc>
          <w:tcPr>
            <w:tcW w:w="409" w:type="pct"/>
            <w:tcBorders>
              <w:top w:val="single" w:color="auto" w:sz="6" w:space="0"/>
              <w:left w:val="single" w:color="auto" w:sz="12" w:space="0"/>
              <w:bottom w:val="single" w:color="auto" w:sz="12"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4</w:t>
            </w:r>
          </w:p>
        </w:tc>
        <w:tc>
          <w:tcPr>
            <w:tcW w:w="946" w:type="pct"/>
            <w:tcBorders>
              <w:top w:val="single" w:color="auto" w:sz="6" w:space="0"/>
              <w:left w:val="single" w:color="auto" w:sz="6" w:space="0"/>
              <w:bottom w:val="single" w:color="auto" w:sz="12"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w:t>
            </w:r>
          </w:p>
        </w:tc>
        <w:tc>
          <w:tcPr>
            <w:tcW w:w="1009" w:type="pct"/>
            <w:tcBorders>
              <w:top w:val="single" w:color="auto" w:sz="6" w:space="0"/>
              <w:left w:val="single" w:color="auto" w:sz="6" w:space="0"/>
              <w:bottom w:val="single" w:color="auto" w:sz="12"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drawing>
                <wp:inline distT="0" distB="0" distL="114300" distR="114300">
                  <wp:extent cx="858520" cy="748665"/>
                  <wp:effectExtent l="0" t="0" r="17780" b="13335"/>
                  <wp:docPr id="18" name="图片 18" descr="说明: 14003_disp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说明: 14003_disp100"/>
                          <pic:cNvPicPr>
                            <a:picLocks noChangeAspect="1"/>
                          </pic:cNvPicPr>
                        </pic:nvPicPr>
                        <pic:blipFill>
                          <a:blip r:embed="rId189"/>
                          <a:stretch>
                            <a:fillRect/>
                          </a:stretch>
                        </pic:blipFill>
                        <pic:spPr>
                          <a:xfrm>
                            <a:off x="0" y="0"/>
                            <a:ext cx="858520" cy="748665"/>
                          </a:xfrm>
                          <a:prstGeom prst="rect">
                            <a:avLst/>
                          </a:prstGeom>
                          <a:noFill/>
                          <a:ln>
                            <a:noFill/>
                          </a:ln>
                        </pic:spPr>
                      </pic:pic>
                    </a:graphicData>
                  </a:graphic>
                </wp:inline>
              </w:drawing>
            </w:r>
          </w:p>
        </w:tc>
        <w:tc>
          <w:tcPr>
            <w:tcW w:w="942" w:type="pct"/>
            <w:tcBorders>
              <w:top w:val="single" w:color="auto" w:sz="6" w:space="0"/>
              <w:left w:val="single" w:color="auto" w:sz="6" w:space="0"/>
              <w:bottom w:val="single" w:color="auto" w:sz="12" w:space="0"/>
              <w:right w:val="single" w:color="auto" w:sz="6"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危险废物</w:t>
            </w:r>
          </w:p>
        </w:tc>
        <w:tc>
          <w:tcPr>
            <w:tcW w:w="1694" w:type="pct"/>
            <w:tcBorders>
              <w:top w:val="single" w:color="auto" w:sz="6" w:space="0"/>
              <w:left w:val="single" w:color="auto" w:sz="6" w:space="0"/>
              <w:bottom w:val="single" w:color="auto" w:sz="12" w:space="0"/>
              <w:right w:val="single" w:color="auto" w:sz="12" w:space="0"/>
            </w:tcBorders>
            <w:noWrap/>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表示危险废物贮存、处置场</w:t>
            </w:r>
          </w:p>
        </w:tc>
      </w:tr>
    </w:tbl>
    <w:p>
      <w:pPr>
        <w:adjustRightInd w:val="0"/>
        <w:snapToGrid w:val="0"/>
        <w:spacing w:line="360" w:lineRule="auto"/>
        <w:ind w:firstLine="436" w:firstLineChars="200"/>
        <w:rPr>
          <w:rFonts w:ascii="Times New Roman" w:hAnsi="Times New Roman" w:cs="Times New Roman" w:eastAsiaTheme="minorEastAsia"/>
          <w:caps w:val="0"/>
          <w:smallCaps w:val="0"/>
          <w:color w:val="000000" w:themeColor="text1"/>
          <w:spacing w:val="4"/>
          <w:sz w:val="21"/>
          <w:szCs w:val="21"/>
          <w14:textFill>
            <w14:solidFill>
              <w14:schemeClr w14:val="tx1"/>
            </w14:solidFill>
          </w14:textFill>
        </w:rPr>
      </w:pPr>
      <w:r>
        <w:rPr>
          <w:rFonts w:hint="eastAsia" w:ascii="Times New Roman" w:hAnsi="Times New Roman" w:cs="Times New Roman" w:eastAsiaTheme="minorEastAsia"/>
          <w:caps w:val="0"/>
          <w:smallCaps w:val="0"/>
          <w:color w:val="000000" w:themeColor="text1"/>
          <w:spacing w:val="4"/>
          <w:sz w:val="21"/>
          <w:szCs w:val="21"/>
          <w:lang w:val="en-US" w:eastAsia="zh-CN"/>
          <w14:textFill>
            <w14:solidFill>
              <w14:schemeClr w14:val="tx1"/>
            </w14:solidFill>
          </w14:textFill>
        </w:rPr>
        <w:t>2</w:t>
      </w:r>
      <w:r>
        <w:rPr>
          <w:rFonts w:ascii="Times New Roman" w:hAnsi="Times New Roman" w:cs="Times New Roman" w:eastAsiaTheme="minorEastAsia"/>
          <w:caps w:val="0"/>
          <w:smallCaps w:val="0"/>
          <w:color w:val="000000" w:themeColor="text1"/>
          <w:spacing w:val="4"/>
          <w:sz w:val="21"/>
          <w:szCs w:val="21"/>
          <w:lang w:eastAsia="zh-CN"/>
          <w14:textFill>
            <w14:solidFill>
              <w14:schemeClr w14:val="tx1"/>
            </w14:solidFill>
          </w14:textFill>
        </w:rPr>
        <w:t>、排污口建档管理</w:t>
      </w:r>
    </w:p>
    <w:p>
      <w:pPr>
        <w:adjustRightInd w:val="0"/>
        <w:snapToGrid w:val="0"/>
        <w:spacing w:line="360" w:lineRule="auto"/>
        <w:ind w:firstLine="436" w:firstLineChars="200"/>
        <w:rPr>
          <w:rFonts w:ascii="Times New Roman" w:hAnsi="Times New Roman" w:cs="Times New Roman" w:eastAsiaTheme="minorEastAsia"/>
          <w:caps w:val="0"/>
          <w:smallCaps w:val="0"/>
          <w:color w:val="000000" w:themeColor="text1"/>
          <w:spacing w:val="4"/>
          <w:sz w:val="21"/>
          <w:szCs w:val="21"/>
          <w:lang w:val="en-US" w:eastAsia="zh-CN"/>
          <w14:textFill>
            <w14:solidFill>
              <w14:schemeClr w14:val="tx1"/>
            </w14:solidFill>
          </w14:textFill>
        </w:rPr>
      </w:pPr>
      <w:r>
        <w:rPr>
          <w:rFonts w:ascii="Times New Roman" w:hAnsi="Times New Roman" w:cs="Times New Roman" w:eastAsiaTheme="minorEastAsia"/>
          <w:caps w:val="0"/>
          <w:smallCaps w:val="0"/>
          <w:color w:val="000000" w:themeColor="text1"/>
          <w:spacing w:val="4"/>
          <w:sz w:val="21"/>
          <w:szCs w:val="21"/>
          <w:lang w:val="zh-CN"/>
          <w14:textFill>
            <w14:solidFill>
              <w14:schemeClr w14:val="tx1"/>
            </w14:solidFill>
          </w14:textFill>
        </w:rPr>
        <w:t>（1）应使用国家环保部统一印制的《中华人民共和国规范化排污口标志登记证》，并</w:t>
      </w:r>
      <w:r>
        <w:rPr>
          <w:rFonts w:ascii="Times New Roman" w:hAnsi="Times New Roman" w:cs="Times New Roman" w:eastAsiaTheme="minorEastAsia"/>
          <w:caps w:val="0"/>
          <w:smallCaps w:val="0"/>
          <w:color w:val="000000" w:themeColor="text1"/>
          <w:spacing w:val="4"/>
          <w:sz w:val="21"/>
          <w:szCs w:val="21"/>
          <w14:textFill>
            <w14:solidFill>
              <w14:schemeClr w14:val="tx1"/>
            </w14:solidFill>
          </w14:textFill>
        </w:rPr>
        <w:t>按要求填写有关内容。</w:t>
      </w:r>
    </w:p>
    <w:p>
      <w:pPr>
        <w:adjustRightInd w:val="0"/>
        <w:snapToGrid w:val="0"/>
        <w:spacing w:line="360" w:lineRule="auto"/>
        <w:ind w:firstLine="436" w:firstLineChars="200"/>
        <w:rPr>
          <w:rFonts w:ascii="Times New Roman" w:hAnsi="Times New Roman" w:cs="Times New Roman" w:eastAsiaTheme="minorEastAsia"/>
          <w:caps w:val="0"/>
          <w:smallCaps w:val="0"/>
          <w:color w:val="000000" w:themeColor="text1"/>
          <w:spacing w:val="4"/>
          <w:sz w:val="21"/>
          <w:szCs w:val="21"/>
          <w:lang w:val="en-US" w:eastAsia="zh-CN"/>
          <w14:textFill>
            <w14:solidFill>
              <w14:schemeClr w14:val="tx1"/>
            </w14:solidFill>
          </w14:textFill>
        </w:rPr>
      </w:pPr>
      <w:r>
        <w:rPr>
          <w:rFonts w:ascii="Times New Roman" w:hAnsi="Times New Roman" w:cs="Times New Roman" w:eastAsiaTheme="minorEastAsia"/>
          <w:caps w:val="0"/>
          <w:smallCaps w:val="0"/>
          <w:color w:val="000000" w:themeColor="text1"/>
          <w:spacing w:val="4"/>
          <w:sz w:val="21"/>
          <w:szCs w:val="21"/>
          <w:lang w:val="zh-CN"/>
          <w14:textFill>
            <w14:solidFill>
              <w14:schemeClr w14:val="tx1"/>
            </w14:solidFill>
          </w14:textFill>
        </w:rPr>
        <w:t>（2）根据排污口管理内容要求，在工程建成投产后，应将主要污染物种类、数量、浓度、排放去向、立标情况及设施运行情况记录于档案；如实向环保管理部门申报排污品数量、位置及所排放的主要污染物种、数量、浓度、排放去向等情况。</w:t>
      </w:r>
    </w:p>
    <w:p>
      <w:pPr>
        <w:adjustRightInd w:val="0"/>
        <w:snapToGrid w:val="0"/>
        <w:spacing w:line="360" w:lineRule="auto"/>
        <w:ind w:firstLine="436" w:firstLineChars="200"/>
        <w:rPr>
          <w:rFonts w:ascii="Times New Roman" w:hAnsi="Times New Roman" w:cs="Times New Roman" w:eastAsiaTheme="minorEastAsia"/>
          <w:caps w:val="0"/>
          <w:smallCaps w:val="0"/>
          <w:color w:val="000000" w:themeColor="text1"/>
          <w:spacing w:val="4"/>
          <w:sz w:val="21"/>
          <w:szCs w:val="21"/>
          <w14:textFill>
            <w14:solidFill>
              <w14:schemeClr w14:val="tx1"/>
            </w14:solidFill>
          </w14:textFill>
        </w:rPr>
        <w:sectPr>
          <w:pgSz w:w="11906" w:h="16838"/>
          <w:pgMar w:top="1440" w:right="1797" w:bottom="1440" w:left="1797" w:header="851" w:footer="992" w:gutter="0"/>
          <w:pgNumType w:fmt="decimal"/>
          <w:cols w:space="720" w:num="1"/>
          <w:docGrid w:linePitch="312" w:charSpace="0"/>
        </w:sectPr>
      </w:pPr>
    </w:p>
    <w:p>
      <w:pPr>
        <w:pStyle w:val="5"/>
        <w:rPr>
          <w:rFonts w:ascii="Times New Roman" w:hAnsi="Times New Roman" w:cs="Times New Roman" w:eastAsiaTheme="minorEastAsia"/>
          <w:b/>
          <w:caps w:val="0"/>
          <w:smallCaps w:val="0"/>
          <w:color w:val="000000" w:themeColor="text1"/>
          <w14:textFill>
            <w14:solidFill>
              <w14:schemeClr w14:val="tx1"/>
            </w14:solidFill>
          </w14:textFill>
        </w:rPr>
      </w:pPr>
      <w:bookmarkStart w:id="246" w:name="_Toc785"/>
      <w:r>
        <w:rPr>
          <w:rFonts w:ascii="Times New Roman" w:hAnsi="Times New Roman" w:cs="Times New Roman" w:eastAsiaTheme="minorEastAsia"/>
          <w:b/>
          <w:caps w:val="0"/>
          <w:smallCaps w:val="0"/>
          <w:color w:val="000000" w:themeColor="text1"/>
          <w14:textFill>
            <w14:solidFill>
              <w14:schemeClr w14:val="tx1"/>
            </w14:solidFill>
          </w14:textFill>
        </w:rPr>
        <w:t>污染物排放总量控制</w:t>
      </w:r>
      <w:bookmarkEnd w:id="246"/>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总量控制因子</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根据《国家环境保护标准“十三五”发展规划》和《国务院关于印发水污染防治行动计划的通知》中对主要污染物排放总量控制的要求，并结合本工程污染排放特点，本项目总量控制因子具体见表</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9</w:t>
      </w: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3</w:t>
      </w: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-1。</w:t>
      </w:r>
    </w:p>
    <w:p>
      <w:pPr>
        <w:adjustRightInd w:val="0"/>
        <w:snapToGrid w:val="0"/>
        <w:spacing w:line="276" w:lineRule="auto"/>
        <w:ind w:firstLine="498" w:firstLineChars="200"/>
        <w:jc w:val="cente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t>表10.</w:t>
      </w:r>
      <w:r>
        <w:rPr>
          <w:rFonts w:hint="eastAsia" w:ascii="Times New Roman" w:hAnsi="Times New Roman" w:cs="Times New Roman" w:eastAsiaTheme="minorEastAsia"/>
          <w:b/>
          <w:caps w:val="0"/>
          <w:smallCaps w:val="0"/>
          <w:color w:val="000000" w:themeColor="text1"/>
          <w:spacing w:val="4"/>
          <w:sz w:val="24"/>
          <w:szCs w:val="24"/>
          <w:lang w:val="en-US" w:eastAsia="zh-CN"/>
          <w14:textFill>
            <w14:solidFill>
              <w14:schemeClr w14:val="tx1"/>
            </w14:solidFill>
          </w14:textFill>
        </w:rPr>
        <w:t>3</w:t>
      </w:r>
      <w:r>
        <w:rPr>
          <w:rFonts w:ascii="Times New Roman" w:hAnsi="Times New Roman" w:cs="Times New Roman" w:eastAsiaTheme="minorEastAsia"/>
          <w:b/>
          <w:caps w:val="0"/>
          <w:smallCaps w:val="0"/>
          <w:color w:val="000000" w:themeColor="text1"/>
          <w:spacing w:val="4"/>
          <w:sz w:val="24"/>
          <w:szCs w:val="24"/>
          <w14:textFill>
            <w14:solidFill>
              <w14:schemeClr w14:val="tx1"/>
            </w14:solidFill>
          </w14:textFill>
        </w:rPr>
        <w:t>-1本项目总量控制因子一览表</w:t>
      </w:r>
    </w:p>
    <w:tbl>
      <w:tblPr>
        <w:tblStyle w:val="72"/>
        <w:tblW w:w="501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0" w:type="dxa"/>
          <w:bottom w:w="0" w:type="dxa"/>
          <w:right w:w="0" w:type="dxa"/>
        </w:tblCellMar>
      </w:tblPr>
      <w:tblGrid>
        <w:gridCol w:w="3807"/>
        <w:gridCol w:w="532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08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污染源项</w:t>
            </w:r>
          </w:p>
        </w:tc>
        <w:tc>
          <w:tcPr>
            <w:tcW w:w="291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总量控制指标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2085"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废气</w:t>
            </w:r>
          </w:p>
        </w:tc>
        <w:tc>
          <w:tcPr>
            <w:tcW w:w="2914" w:type="pct"/>
            <w:vAlign w:val="center"/>
          </w:tcPr>
          <w:p>
            <w:pPr>
              <w:pStyle w:val="117"/>
              <w:bidi w:val="0"/>
              <w:rPr>
                <w:rFonts w:ascii="Times New Roman" w:hAnsi="Times New Roman" w:cs="Times New Roman"/>
                <w:caps w:val="0"/>
                <w:smallCaps w:val="0"/>
              </w:rPr>
            </w:pPr>
            <w:r>
              <w:rPr>
                <w:rFonts w:ascii="Times New Roman" w:hAnsi="Times New Roman" w:cs="Times New Roman"/>
                <w:caps w:val="0"/>
                <w:smallCaps w:val="0"/>
              </w:rPr>
              <w:t>非甲烷总烃</w:t>
            </w:r>
          </w:p>
        </w:tc>
      </w:tr>
    </w:tbl>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ascii="Times New Roman" w:hAnsi="Times New Roman" w:cs="Times New Roman" w:eastAsiaTheme="minorEastAsia"/>
          <w:caps w:val="0"/>
          <w:smallCaps w:val="0"/>
          <w:color w:val="000000" w:themeColor="text1"/>
          <w14:textFill>
            <w14:solidFill>
              <w14:schemeClr w14:val="tx1"/>
            </w14:solidFill>
          </w14:textFill>
        </w:rPr>
        <w:t>总量控制指标建议值</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t>本项目总量控制情况具体如下：</w:t>
      </w:r>
    </w:p>
    <w:p>
      <w:pPr>
        <w:adjustRightInd w:val="0"/>
        <w:snapToGrid w:val="0"/>
        <w:spacing w:line="360" w:lineRule="auto"/>
        <w:ind w:firstLine="496" w:firstLineChars="200"/>
        <w:rPr>
          <w:rFonts w:ascii="Times New Roman" w:hAnsi="Times New Roman" w:cs="Times New Roman" w:eastAsiaTheme="minorEastAsia"/>
          <w:caps w:val="0"/>
          <w:smallCaps w:val="0"/>
          <w:color w:val="000000" w:themeColor="text1"/>
          <w:spacing w:val="4"/>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pacing w:val="4"/>
          <w:sz w:val="24"/>
          <w:szCs w:val="24"/>
          <w14:textFill>
            <w14:solidFill>
              <w14:schemeClr w14:val="tx1"/>
            </w14:solidFill>
          </w14:textFill>
        </w:rPr>
        <w:t>本项目大气污染物VOCs</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0</w:t>
      </w:r>
      <w:r>
        <w:rPr>
          <w:rFonts w:hint="eastAsia" w:ascii="Times New Roman" w:hAnsi="Times New Roman" w:cs="Times New Roman" w:eastAsiaTheme="minorEastAsia"/>
          <w:caps w:val="0"/>
          <w:smallCaps w:val="0"/>
          <w:color w:val="000000" w:themeColor="text1"/>
          <w:spacing w:val="4"/>
          <w:sz w:val="24"/>
          <w:szCs w:val="24"/>
          <w14:textFill>
            <w14:solidFill>
              <w14:schemeClr w14:val="tx1"/>
            </w14:solidFill>
          </w14:textFill>
        </w:rPr>
        <w:t>无组织排放量为0.</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03125</w:t>
      </w:r>
      <w:r>
        <w:rPr>
          <w:rFonts w:hint="eastAsia" w:ascii="Times New Roman" w:hAnsi="Times New Roman" w:cs="Times New Roman" w:eastAsiaTheme="minorEastAsia"/>
          <w:caps w:val="0"/>
          <w:smallCaps w:val="0"/>
          <w:color w:val="000000" w:themeColor="text1"/>
          <w:spacing w:val="4"/>
          <w:sz w:val="24"/>
          <w:szCs w:val="24"/>
          <w14:textFill>
            <w14:solidFill>
              <w14:schemeClr w14:val="tx1"/>
            </w14:solidFill>
          </w14:textFill>
        </w:rPr>
        <w:t>t/a；设置大气总量控制指标：VOCs：0</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.03125</w:t>
      </w:r>
      <w:r>
        <w:rPr>
          <w:rFonts w:hint="eastAsia" w:ascii="Times New Roman" w:hAnsi="Times New Roman" w:cs="Times New Roman" w:eastAsiaTheme="minorEastAsia"/>
          <w:caps w:val="0"/>
          <w:smallCaps w:val="0"/>
          <w:color w:val="000000" w:themeColor="text1"/>
          <w:spacing w:val="4"/>
          <w:sz w:val="24"/>
          <w:szCs w:val="24"/>
          <w14:textFill>
            <w14:solidFill>
              <w14:schemeClr w14:val="tx1"/>
            </w14:solidFill>
          </w14:textFill>
        </w:rPr>
        <w:t>t/a。</w:t>
      </w:r>
    </w:p>
    <w:p>
      <w:pPr>
        <w:rPr>
          <w:rFonts w:ascii="Times New Roman" w:hAnsi="Times New Roman" w:cs="Times New Roman" w:eastAsiaTheme="minorEastAsia"/>
          <w:caps w:val="0"/>
          <w:smallCaps w:val="0"/>
        </w:rPr>
      </w:pPr>
    </w:p>
    <w:p>
      <w:pPr>
        <w:pStyle w:val="69"/>
        <w:ind w:firstLine="480"/>
        <w:rPr>
          <w:rFonts w:ascii="Times New Roman" w:hAnsi="Times New Roman" w:cs="Times New Roman" w:eastAsiaTheme="minorEastAsia"/>
          <w:caps w:val="0"/>
          <w:smallCaps w:val="0"/>
        </w:rPr>
        <w:sectPr>
          <w:headerReference r:id="rId21" w:type="default"/>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pPr>
    </w:p>
    <w:p>
      <w:pPr>
        <w:pStyle w:val="4"/>
        <w:keepNext/>
        <w:keepLines/>
        <w:pageBreakBefore w:val="0"/>
        <w:widowControl w:val="0"/>
        <w:kinsoku/>
        <w:wordWrap/>
        <w:overflowPunct/>
        <w:topLinePunct w:val="0"/>
        <w:autoSpaceDE/>
        <w:autoSpaceDN/>
        <w:bidi w:val="0"/>
        <w:adjustRightInd w:val="0"/>
        <w:snapToGrid w:val="0"/>
        <w:spacing w:line="480" w:lineRule="auto"/>
        <w:ind w:left="431" w:firstLine="0" w:firstLineChars="0"/>
        <w:jc w:val="center"/>
        <w:textAlignment w:val="auto"/>
        <w:rPr>
          <w:rFonts w:ascii="Times New Roman" w:hAnsi="Times New Roman" w:cs="Times New Roman" w:eastAsiaTheme="minorEastAsia"/>
          <w:b/>
          <w:caps w:val="0"/>
          <w:smallCaps w:val="0"/>
          <w:sz w:val="32"/>
          <w:szCs w:val="32"/>
        </w:rPr>
      </w:pPr>
      <w:r>
        <w:rPr>
          <w:rFonts w:hint="eastAsia" w:ascii="Times New Roman" w:hAnsi="Times New Roman" w:cs="Times New Roman" w:eastAsiaTheme="minorEastAsia"/>
          <w:b/>
          <w:caps w:val="0"/>
          <w:smallCaps w:val="0"/>
          <w:sz w:val="32"/>
          <w:szCs w:val="32"/>
          <w:lang w:val="en-US" w:eastAsia="zh-CN"/>
        </w:rPr>
        <w:t xml:space="preserve"> </w:t>
      </w:r>
      <w:bookmarkStart w:id="247" w:name="_Toc27210"/>
      <w:r>
        <w:rPr>
          <w:rFonts w:ascii="Times New Roman" w:hAnsi="Times New Roman" w:cs="Times New Roman" w:eastAsiaTheme="minorEastAsia"/>
          <w:b/>
          <w:caps w:val="0"/>
          <w:smallCaps w:val="0"/>
          <w:sz w:val="32"/>
          <w:szCs w:val="32"/>
        </w:rPr>
        <w:t>评价结论与建议</w:t>
      </w:r>
      <w:bookmarkEnd w:id="247"/>
    </w:p>
    <w:p>
      <w:pPr>
        <w:pStyle w:val="5"/>
        <w:rPr>
          <w:rFonts w:ascii="Times New Roman" w:hAnsi="Times New Roman" w:cs="Times New Roman" w:eastAsiaTheme="minorEastAsia"/>
          <w:b/>
          <w:caps w:val="0"/>
          <w:smallCaps w:val="0"/>
        </w:rPr>
      </w:pPr>
      <w:bookmarkStart w:id="248" w:name="_Toc21767"/>
      <w:r>
        <w:rPr>
          <w:rFonts w:ascii="Times New Roman" w:hAnsi="Times New Roman" w:cs="Times New Roman" w:eastAsiaTheme="minorEastAsia"/>
          <w:b/>
          <w:caps w:val="0"/>
          <w:smallCaps w:val="0"/>
        </w:rPr>
        <w:t>项目概况</w:t>
      </w:r>
      <w:bookmarkEnd w:id="248"/>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⑴</w:t>
      </w:r>
      <w:r>
        <w:rPr>
          <w:rFonts w:ascii="Times New Roman" w:hAnsi="Times New Roman" w:cs="Times New Roman" w:eastAsiaTheme="minorEastAsia"/>
          <w:caps w:val="0"/>
          <w:smallCaps w:val="0"/>
          <w:color w:val="000000"/>
          <w:kern w:val="0"/>
          <w:sz w:val="24"/>
          <w:szCs w:val="24"/>
        </w:rPr>
        <w:t>项目性质：改扩建项目。</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⑵</w:t>
      </w:r>
      <w:r>
        <w:rPr>
          <w:rFonts w:ascii="Times New Roman" w:hAnsi="Times New Roman" w:cs="Times New Roman" w:eastAsiaTheme="minorEastAsia"/>
          <w:caps w:val="0"/>
          <w:smallCaps w:val="0"/>
          <w:color w:val="000000"/>
          <w:kern w:val="0"/>
          <w:sz w:val="24"/>
          <w:szCs w:val="24"/>
        </w:rPr>
        <w:t>建设地点：本项目位于岳阳港</w:t>
      </w:r>
      <w:r>
        <w:rPr>
          <w:rFonts w:hint="eastAsia" w:ascii="Times New Roman" w:hAnsi="Times New Roman" w:cs="Times New Roman" w:eastAsiaTheme="minorEastAsia"/>
          <w:caps w:val="0"/>
          <w:smallCaps w:val="0"/>
          <w:color w:val="000000"/>
          <w:kern w:val="0"/>
          <w:sz w:val="24"/>
          <w:szCs w:val="24"/>
        </w:rPr>
        <w:t>汨罗港区推山咀作业区，</w:t>
      </w:r>
      <w:r>
        <w:rPr>
          <w:rFonts w:ascii="Times New Roman" w:hAnsi="Times New Roman" w:cs="Times New Roman" w:eastAsiaTheme="minorEastAsia"/>
          <w:caps w:val="0"/>
          <w:smallCaps w:val="0"/>
          <w:color w:val="000000"/>
          <w:kern w:val="0"/>
          <w:sz w:val="24"/>
          <w:szCs w:val="24"/>
        </w:rPr>
        <w:t>工程码头岸线长度</w:t>
      </w:r>
      <w:r>
        <w:rPr>
          <w:rFonts w:hint="eastAsia" w:ascii="Times New Roman" w:hAnsi="Times New Roman" w:cs="Times New Roman" w:eastAsiaTheme="minorEastAsia"/>
          <w:caps w:val="0"/>
          <w:smallCaps w:val="0"/>
          <w:color w:val="000000"/>
          <w:kern w:val="0"/>
          <w:sz w:val="24"/>
          <w:szCs w:val="24"/>
        </w:rPr>
        <w:t>150</w:t>
      </w:r>
      <w:r>
        <w:rPr>
          <w:rFonts w:ascii="Times New Roman" w:hAnsi="Times New Roman" w:cs="Times New Roman" w:eastAsiaTheme="minorEastAsia"/>
          <w:caps w:val="0"/>
          <w:smallCaps w:val="0"/>
          <w:color w:val="000000"/>
          <w:kern w:val="0"/>
          <w:sz w:val="24"/>
          <w:szCs w:val="24"/>
        </w:rPr>
        <w:t>m。</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⑶</w:t>
      </w:r>
      <w:r>
        <w:rPr>
          <w:rFonts w:ascii="Times New Roman" w:hAnsi="Times New Roman" w:cs="Times New Roman" w:eastAsiaTheme="minorEastAsia"/>
          <w:caps w:val="0"/>
          <w:smallCaps w:val="0"/>
          <w:color w:val="000000"/>
          <w:kern w:val="0"/>
          <w:sz w:val="24"/>
          <w:szCs w:val="24"/>
        </w:rPr>
        <w:t>建设内容及建设规模：本项目</w:t>
      </w:r>
      <w:r>
        <w:rPr>
          <w:rFonts w:hint="eastAsia" w:ascii="Times New Roman" w:hAnsi="Times New Roman" w:cs="Times New Roman" w:eastAsiaTheme="minorEastAsia"/>
          <w:caps w:val="0"/>
          <w:smallCaps w:val="0"/>
          <w:color w:val="000000"/>
          <w:kern w:val="0"/>
          <w:sz w:val="24"/>
          <w:szCs w:val="24"/>
        </w:rPr>
        <w:t>主要工程为</w:t>
      </w:r>
      <w:r>
        <w:rPr>
          <w:rFonts w:ascii="Times New Roman" w:hAnsi="Times New Roman" w:cs="Times New Roman" w:eastAsiaTheme="minorEastAsia"/>
          <w:caps w:val="0"/>
          <w:smallCaps w:val="0"/>
          <w:color w:val="000000"/>
          <w:kern w:val="0"/>
          <w:sz w:val="24"/>
          <w:szCs w:val="24"/>
        </w:rPr>
        <w:t>水域工程</w:t>
      </w:r>
      <w:r>
        <w:rPr>
          <w:rFonts w:hint="eastAsia" w:ascii="Times New Roman" w:hAnsi="Times New Roman" w:cs="Times New Roman" w:eastAsiaTheme="minorEastAsia"/>
          <w:caps w:val="0"/>
          <w:smallCaps w:val="0"/>
          <w:color w:val="000000"/>
          <w:kern w:val="0"/>
          <w:sz w:val="24"/>
          <w:szCs w:val="24"/>
        </w:rPr>
        <w:t>，陆域工程依托现有工程。</w:t>
      </w:r>
      <w:r>
        <w:rPr>
          <w:rFonts w:ascii="Times New Roman" w:hAnsi="Times New Roman" w:cs="Times New Roman" w:eastAsiaTheme="minorEastAsia"/>
          <w:caps w:val="0"/>
          <w:smallCaps w:val="0"/>
          <w:color w:val="000000"/>
          <w:kern w:val="0"/>
          <w:sz w:val="24"/>
          <w:szCs w:val="24"/>
        </w:rPr>
        <w:t>拟</w:t>
      </w:r>
      <w:r>
        <w:rPr>
          <w:rFonts w:hint="eastAsia" w:ascii="Times New Roman" w:hAnsi="Times New Roman" w:cs="Times New Roman" w:eastAsiaTheme="minorEastAsia"/>
          <w:caps w:val="0"/>
          <w:smallCaps w:val="0"/>
          <w:color w:val="000000"/>
          <w:kern w:val="0"/>
          <w:sz w:val="24"/>
          <w:szCs w:val="24"/>
        </w:rPr>
        <w:t>对原斜坡老码头</w:t>
      </w:r>
      <w:r>
        <w:rPr>
          <w:rFonts w:ascii="Times New Roman" w:hAnsi="Times New Roman" w:cs="Times New Roman" w:eastAsiaTheme="minorEastAsia"/>
          <w:caps w:val="0"/>
          <w:smallCaps w:val="0"/>
          <w:color w:val="000000"/>
          <w:kern w:val="0"/>
          <w:sz w:val="24"/>
          <w:szCs w:val="24"/>
        </w:rPr>
        <w:t>拆除</w:t>
      </w:r>
      <w:r>
        <w:rPr>
          <w:rFonts w:hint="eastAsia" w:ascii="Times New Roman" w:hAnsi="Times New Roman" w:cs="Times New Roman" w:eastAsiaTheme="minorEastAsia"/>
          <w:caps w:val="0"/>
          <w:smallCaps w:val="0"/>
          <w:color w:val="000000"/>
          <w:kern w:val="0"/>
          <w:sz w:val="24"/>
          <w:szCs w:val="24"/>
        </w:rPr>
        <w:t>复绿，建设1个2000t级泊位，新建码头平台和引桥，设置2根沥青输送管线（一备一用）。设计船型为2000t级油船、型长90m、型宽14.8m、满载吃水2.8m，泊位长度150m、宽度30m。</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⑷</w:t>
      </w:r>
      <w:r>
        <w:rPr>
          <w:rFonts w:ascii="Times New Roman" w:hAnsi="Times New Roman" w:cs="Times New Roman" w:eastAsiaTheme="minorEastAsia"/>
          <w:caps w:val="0"/>
          <w:smallCaps w:val="0"/>
          <w:color w:val="000000"/>
          <w:kern w:val="0"/>
          <w:sz w:val="24"/>
          <w:szCs w:val="24"/>
        </w:rPr>
        <w:t>服务对象：本项目建成后服务对象为</w:t>
      </w:r>
      <w:r>
        <w:rPr>
          <w:rFonts w:hint="eastAsia" w:ascii="Times New Roman" w:hAnsi="Times New Roman" w:cs="Times New Roman" w:eastAsiaTheme="minorEastAsia"/>
          <w:caps w:val="0"/>
          <w:smallCaps w:val="0"/>
          <w:color w:val="000000"/>
          <w:kern w:val="0"/>
          <w:sz w:val="24"/>
          <w:szCs w:val="24"/>
        </w:rPr>
        <w:t>湖南海丰物流有限公司</w:t>
      </w:r>
      <w:r>
        <w:rPr>
          <w:rFonts w:ascii="Times New Roman" w:hAnsi="Times New Roman" w:cs="Times New Roman" w:eastAsiaTheme="minorEastAsia"/>
          <w:caps w:val="0"/>
          <w:smallCaps w:val="0"/>
          <w:color w:val="000000"/>
          <w:kern w:val="0"/>
          <w:sz w:val="24"/>
          <w:szCs w:val="24"/>
        </w:rPr>
        <w:t>。</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⑸</w:t>
      </w:r>
      <w:r>
        <w:rPr>
          <w:rFonts w:ascii="Times New Roman" w:hAnsi="Times New Roman" w:cs="Times New Roman" w:eastAsiaTheme="minorEastAsia"/>
          <w:caps w:val="0"/>
          <w:smallCaps w:val="0"/>
          <w:color w:val="000000"/>
          <w:kern w:val="0"/>
          <w:sz w:val="24"/>
          <w:szCs w:val="24"/>
        </w:rPr>
        <w:t>主要货种及预测吞吐量：货种为</w:t>
      </w:r>
      <w:r>
        <w:rPr>
          <w:rFonts w:hint="eastAsia" w:ascii="Times New Roman" w:hAnsi="Times New Roman" w:cs="Times New Roman" w:eastAsiaTheme="minorEastAsia"/>
          <w:caps w:val="0"/>
          <w:smallCaps w:val="0"/>
          <w:color w:val="000000"/>
          <w:kern w:val="0"/>
          <w:sz w:val="24"/>
          <w:szCs w:val="24"/>
        </w:rPr>
        <w:t>沥青；</w:t>
      </w:r>
      <w:r>
        <w:rPr>
          <w:rFonts w:ascii="Times New Roman" w:hAnsi="Times New Roman" w:cs="Times New Roman" w:eastAsiaTheme="minorEastAsia"/>
          <w:caps w:val="0"/>
          <w:smallCaps w:val="0"/>
          <w:color w:val="000000"/>
          <w:kern w:val="0"/>
          <w:sz w:val="24"/>
          <w:szCs w:val="24"/>
        </w:rPr>
        <w:t>设计吞吐量为</w:t>
      </w:r>
      <w:r>
        <w:rPr>
          <w:rFonts w:hint="eastAsia" w:ascii="Times New Roman" w:hAnsi="Times New Roman" w:cs="Times New Roman" w:eastAsiaTheme="minorEastAsia"/>
          <w:caps w:val="0"/>
          <w:smallCaps w:val="0"/>
          <w:color w:val="000000"/>
          <w:kern w:val="0"/>
          <w:sz w:val="24"/>
          <w:szCs w:val="24"/>
        </w:rPr>
        <w:t>25</w:t>
      </w:r>
      <w:r>
        <w:rPr>
          <w:rFonts w:ascii="Times New Roman" w:hAnsi="Times New Roman" w:cs="Times New Roman" w:eastAsiaTheme="minorEastAsia"/>
          <w:caps w:val="0"/>
          <w:smallCaps w:val="0"/>
          <w:color w:val="000000"/>
          <w:kern w:val="0"/>
          <w:sz w:val="24"/>
          <w:szCs w:val="24"/>
        </w:rPr>
        <w:t>万t</w:t>
      </w:r>
      <w:r>
        <w:rPr>
          <w:rFonts w:hint="eastAsia" w:ascii="Times New Roman" w:hAnsi="Times New Roman" w:cs="Times New Roman" w:eastAsiaTheme="minorEastAsia"/>
          <w:caps w:val="0"/>
          <w:smallCaps w:val="0"/>
          <w:color w:val="000000"/>
          <w:kern w:val="0"/>
          <w:sz w:val="24"/>
          <w:szCs w:val="24"/>
          <w:lang w:val="en-US" w:eastAsia="zh-CN"/>
        </w:rPr>
        <w:t>/a</w:t>
      </w:r>
      <w:r>
        <w:rPr>
          <w:rFonts w:hint="eastAsia" w:ascii="Times New Roman" w:hAnsi="Times New Roman" w:cs="Times New Roman" w:eastAsiaTheme="minorEastAsia"/>
          <w:caps w:val="0"/>
          <w:smallCaps w:val="0"/>
          <w:color w:val="000000"/>
          <w:kern w:val="0"/>
          <w:sz w:val="24"/>
          <w:szCs w:val="24"/>
          <w:lang w:eastAsia="zh-CN"/>
        </w:rPr>
        <w:t>，通过能力</w:t>
      </w:r>
      <w:r>
        <w:rPr>
          <w:rFonts w:hint="eastAsia" w:ascii="Times New Roman" w:hAnsi="Times New Roman" w:cs="Times New Roman" w:eastAsiaTheme="minorEastAsia"/>
          <w:caps w:val="0"/>
          <w:smallCaps w:val="0"/>
          <w:color w:val="000000"/>
          <w:kern w:val="0"/>
          <w:sz w:val="24"/>
          <w:szCs w:val="24"/>
          <w:lang w:val="en-US" w:eastAsia="zh-CN"/>
        </w:rPr>
        <w:t>30</w:t>
      </w:r>
      <w:r>
        <w:rPr>
          <w:rFonts w:ascii="Times New Roman" w:hAnsi="Times New Roman" w:cs="Times New Roman" w:eastAsiaTheme="minorEastAsia"/>
          <w:caps w:val="0"/>
          <w:smallCaps w:val="0"/>
          <w:color w:val="000000"/>
          <w:kern w:val="0"/>
          <w:sz w:val="24"/>
          <w:szCs w:val="24"/>
        </w:rPr>
        <w:t>万t</w:t>
      </w:r>
      <w:r>
        <w:rPr>
          <w:rFonts w:hint="eastAsia" w:ascii="Times New Roman" w:hAnsi="Times New Roman" w:cs="Times New Roman" w:eastAsiaTheme="minorEastAsia"/>
          <w:caps w:val="0"/>
          <w:smallCaps w:val="0"/>
          <w:color w:val="000000"/>
          <w:kern w:val="0"/>
          <w:sz w:val="24"/>
          <w:szCs w:val="24"/>
          <w:lang w:val="en-US" w:eastAsia="zh-CN"/>
        </w:rPr>
        <w:t>/a</w:t>
      </w:r>
      <w:r>
        <w:rPr>
          <w:rFonts w:ascii="Times New Roman" w:hAnsi="Times New Roman" w:cs="Times New Roman" w:eastAsiaTheme="minorEastAsia"/>
          <w:caps w:val="0"/>
          <w:smallCaps w:val="0"/>
          <w:color w:val="000000"/>
          <w:kern w:val="0"/>
          <w:sz w:val="24"/>
          <w:szCs w:val="24"/>
        </w:rPr>
        <w:t>。</w:t>
      </w:r>
    </w:p>
    <w:p>
      <w:pPr>
        <w:adjustRightInd w:val="0"/>
        <w:snapToGrid w:val="0"/>
        <w:spacing w:line="360" w:lineRule="auto"/>
        <w:ind w:firstLine="480" w:firstLineChars="200"/>
        <w:rPr>
          <w:rFonts w:ascii="Times New Roman" w:hAnsi="Times New Roman" w:cs="Times New Roman"/>
          <w:caps w:val="0"/>
          <w:smallCaps w:val="0"/>
          <w:color w:val="000000"/>
          <w:kern w:val="0"/>
          <w:sz w:val="24"/>
          <w:szCs w:val="24"/>
        </w:rPr>
      </w:pPr>
      <w:r>
        <w:rPr>
          <w:rFonts w:hint="eastAsia" w:ascii="Times New Roman" w:hAnsi="Times New Roman" w:cs="Times New Roman"/>
          <w:caps w:val="0"/>
          <w:smallCaps w:val="0"/>
          <w:color w:val="000000"/>
          <w:kern w:val="0"/>
          <w:sz w:val="24"/>
          <w:szCs w:val="24"/>
        </w:rPr>
        <w:t>⑹</w:t>
      </w:r>
      <w:r>
        <w:rPr>
          <w:rFonts w:ascii="Times New Roman" w:hAnsi="Times New Roman" w:cs="Times New Roman"/>
          <w:caps w:val="0"/>
          <w:smallCaps w:val="0"/>
          <w:color w:val="000000"/>
          <w:kern w:val="0"/>
          <w:sz w:val="24"/>
          <w:szCs w:val="24"/>
        </w:rPr>
        <w:t>工程投资：本项目总投资约</w:t>
      </w:r>
      <w:r>
        <w:rPr>
          <w:rFonts w:hint="eastAsia" w:ascii="Times New Roman" w:hAnsi="Times New Roman" w:cs="Times New Roman"/>
          <w:caps w:val="0"/>
          <w:smallCaps w:val="0"/>
          <w:color w:val="000000"/>
          <w:kern w:val="0"/>
          <w:sz w:val="24"/>
          <w:szCs w:val="24"/>
        </w:rPr>
        <w:t>2679.77</w:t>
      </w:r>
      <w:r>
        <w:rPr>
          <w:rFonts w:ascii="Times New Roman" w:hAnsi="Times New Roman" w:cs="Times New Roman"/>
          <w:caps w:val="0"/>
          <w:smallCaps w:val="0"/>
          <w:color w:val="000000"/>
          <w:kern w:val="0"/>
          <w:sz w:val="24"/>
          <w:szCs w:val="24"/>
        </w:rPr>
        <w:t>万元。</w:t>
      </w:r>
    </w:p>
    <w:p>
      <w:pPr>
        <w:adjustRightInd w:val="0"/>
        <w:snapToGrid w:val="0"/>
        <w:spacing w:line="360" w:lineRule="auto"/>
        <w:ind w:firstLine="480" w:firstLineChars="200"/>
        <w:rPr>
          <w:rFonts w:ascii="Times New Roman" w:hAnsi="Times New Roman" w:cs="Times New Roman" w:eastAsiaTheme="minorEastAsia"/>
          <w:caps w:val="0"/>
          <w:smallCaps w:val="0"/>
          <w:color w:val="000000"/>
          <w:kern w:val="0"/>
          <w:sz w:val="24"/>
          <w:szCs w:val="24"/>
        </w:rPr>
      </w:pPr>
      <w:r>
        <w:rPr>
          <w:rFonts w:hint="eastAsia" w:ascii="Times New Roman" w:hAnsi="Times New Roman" w:cs="Times New Roman"/>
          <w:caps w:val="0"/>
          <w:smallCaps w:val="0"/>
          <w:color w:val="000000"/>
          <w:kern w:val="0"/>
          <w:sz w:val="24"/>
          <w:szCs w:val="24"/>
        </w:rPr>
        <w:t>⑺</w:t>
      </w:r>
      <w:r>
        <w:rPr>
          <w:rFonts w:ascii="Times New Roman" w:hAnsi="Times New Roman" w:cs="Times New Roman" w:eastAsiaTheme="minorEastAsia"/>
          <w:caps w:val="0"/>
          <w:smallCaps w:val="0"/>
          <w:color w:val="000000"/>
          <w:kern w:val="0"/>
          <w:sz w:val="24"/>
          <w:szCs w:val="24"/>
        </w:rPr>
        <w:t>建设期限：建设工期</w:t>
      </w:r>
      <w:r>
        <w:rPr>
          <w:rFonts w:hint="eastAsia" w:ascii="Times New Roman" w:hAnsi="Times New Roman" w:cs="Times New Roman" w:eastAsiaTheme="minorEastAsia"/>
          <w:caps w:val="0"/>
          <w:smallCaps w:val="0"/>
          <w:color w:val="000000"/>
          <w:kern w:val="0"/>
          <w:sz w:val="24"/>
          <w:szCs w:val="24"/>
        </w:rPr>
        <w:t>3</w:t>
      </w:r>
      <w:r>
        <w:rPr>
          <w:rFonts w:ascii="Times New Roman" w:hAnsi="Times New Roman" w:cs="Times New Roman" w:eastAsiaTheme="minorEastAsia"/>
          <w:caps w:val="0"/>
          <w:smallCaps w:val="0"/>
          <w:color w:val="000000"/>
          <w:kern w:val="0"/>
          <w:sz w:val="24"/>
          <w:szCs w:val="24"/>
        </w:rPr>
        <w:t>个月。</w:t>
      </w:r>
    </w:p>
    <w:p>
      <w:pPr>
        <w:pStyle w:val="5"/>
        <w:rPr>
          <w:rFonts w:ascii="Times New Roman" w:hAnsi="Times New Roman" w:cs="Times New Roman" w:eastAsiaTheme="minorEastAsia"/>
          <w:b/>
          <w:caps w:val="0"/>
          <w:smallCaps w:val="0"/>
        </w:rPr>
      </w:pPr>
      <w:bookmarkStart w:id="249" w:name="_Toc29012"/>
      <w:r>
        <w:rPr>
          <w:rFonts w:hint="eastAsia" w:ascii="Times New Roman" w:hAnsi="Times New Roman" w:cs="Times New Roman" w:eastAsiaTheme="minorEastAsia"/>
          <w:b/>
          <w:caps w:val="0"/>
          <w:smallCaps w:val="0"/>
        </w:rPr>
        <w:t>环境质量现状</w:t>
      </w:r>
      <w:bookmarkEnd w:id="249"/>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水环境</w:t>
      </w:r>
      <w:r>
        <w:rPr>
          <w:rFonts w:ascii="Times New Roman" w:hAnsi="Times New Roman" w:cs="Times New Roman" w:eastAsiaTheme="minorEastAsia"/>
          <w:caps w:val="0"/>
          <w:smallCaps w:val="0"/>
          <w:color w:val="000000" w:themeColor="text1"/>
          <w14:textFill>
            <w14:solidFill>
              <w14:schemeClr w14:val="tx1"/>
            </w14:solidFill>
          </w14:textFill>
        </w:rPr>
        <w:t>质量现状</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根据环境质量现状监测结果，本评价</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引用2019年湘江常规监测断面上游屈原自来水厂断面（屈原管理区原取水口）、下游磊石断面监测数据进行评价，2019年湘江常规监测断面上游屈原自来水厂断面（屈原管理区原取水口）、下游磊石断面</w:t>
      </w:r>
      <w:r>
        <w:rPr>
          <w:rFonts w:hint="eastAsia" w:ascii="Times New Roman" w:hAnsi="Times New Roman" w:cs="Times New Roman" w:eastAsiaTheme="minorEastAsia"/>
          <w:caps w:val="0"/>
          <w:smallCaps w:val="0"/>
          <w:sz w:val="24"/>
          <w:szCs w:val="24"/>
        </w:rPr>
        <w:t>水质均达到地表水Ⅲ类水质要求。</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通过</w:t>
      </w:r>
      <w:r>
        <w:rPr>
          <w:rFonts w:ascii="Times New Roman" w:hAnsi="Times New Roman" w:cs="Times New Roman" w:eastAsiaTheme="minorEastAsia"/>
          <w:caps w:val="0"/>
          <w:smallCaps w:val="0"/>
          <w:sz w:val="24"/>
          <w:szCs w:val="24"/>
        </w:rPr>
        <w:t>现状监测，</w:t>
      </w:r>
      <w:r>
        <w:rPr>
          <w:rFonts w:hint="eastAsia" w:ascii="Times New Roman" w:hAnsi="Times New Roman" w:cs="Times New Roman" w:eastAsiaTheme="minorEastAsia"/>
          <w:caps w:val="0"/>
          <w:smallCaps w:val="0"/>
          <w:sz w:val="24"/>
          <w:szCs w:val="24"/>
        </w:rPr>
        <w:t>地下水各监测指标均可达到《地下水质量标准》（GB/T 14848-2017）的Ⅲ类标准。</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大气</w:t>
      </w:r>
      <w:r>
        <w:rPr>
          <w:rFonts w:ascii="Times New Roman" w:hAnsi="Times New Roman" w:cs="Times New Roman" w:eastAsiaTheme="minorEastAsia"/>
          <w:caps w:val="0"/>
          <w:smallCaps w:val="0"/>
          <w:color w:val="000000" w:themeColor="text1"/>
          <w14:textFill>
            <w14:solidFill>
              <w14:schemeClr w14:val="tx1"/>
            </w14:solidFill>
          </w14:textFill>
        </w:rPr>
        <w:t>环境质量现状</w:t>
      </w:r>
    </w:p>
    <w:p>
      <w:pPr>
        <w:adjustRightInd w:val="0"/>
        <w:snapToGrid w:val="0"/>
        <w:spacing w:line="360" w:lineRule="auto"/>
        <w:ind w:firstLine="480" w:firstLineChars="200"/>
        <w:rPr>
          <w:rFonts w:hint="eastAsia"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根据</w:t>
      </w:r>
      <w:r>
        <w:rPr>
          <w:rFonts w:hint="eastAsia" w:ascii="Times New Roman" w:hAnsi="Times New Roman" w:cs="Times New Roman" w:eastAsiaTheme="minorEastAsia"/>
          <w:caps w:val="0"/>
          <w:smallCaps w:val="0"/>
          <w:sz w:val="24"/>
          <w:szCs w:val="24"/>
          <w:lang w:val="en-US" w:eastAsia="zh-CN"/>
        </w:rPr>
        <w:t>最近的</w:t>
      </w:r>
      <w:r>
        <w:rPr>
          <w:rFonts w:hint="eastAsia" w:ascii="Times New Roman" w:hAnsi="Times New Roman" w:cs="Times New Roman" w:eastAsiaTheme="minorEastAsia"/>
          <w:caps w:val="0"/>
          <w:smallCaps w:val="0"/>
          <w:sz w:val="24"/>
          <w:szCs w:val="24"/>
        </w:rPr>
        <w:t>汨罗市常规监测站点2020年监测数据，20</w:t>
      </w:r>
      <w:r>
        <w:rPr>
          <w:rFonts w:hint="eastAsia" w:ascii="Times New Roman" w:hAnsi="Times New Roman" w:cs="Times New Roman" w:eastAsiaTheme="minorEastAsia"/>
          <w:caps w:val="0"/>
          <w:smallCaps w:val="0"/>
          <w:sz w:val="24"/>
          <w:szCs w:val="24"/>
          <w:lang w:val="en-US" w:eastAsia="zh-CN"/>
        </w:rPr>
        <w:t>20</w:t>
      </w:r>
      <w:r>
        <w:rPr>
          <w:rFonts w:hint="eastAsia" w:ascii="Times New Roman" w:hAnsi="Times New Roman" w:cs="Times New Roman" w:eastAsiaTheme="minorEastAsia"/>
          <w:caps w:val="0"/>
          <w:smallCaps w:val="0"/>
          <w:sz w:val="24"/>
          <w:szCs w:val="24"/>
        </w:rPr>
        <w:t>年</w:t>
      </w:r>
      <w:r>
        <w:rPr>
          <w:rFonts w:hint="eastAsia" w:ascii="Times New Roman" w:hAnsi="Times New Roman" w:cs="Times New Roman" w:eastAsiaTheme="minorEastAsia"/>
          <w:caps w:val="0"/>
          <w:smallCaps w:val="0"/>
          <w:sz w:val="24"/>
          <w:szCs w:val="24"/>
          <w:lang w:val="en-US" w:eastAsia="zh-CN"/>
        </w:rPr>
        <w:t>汨罗市</w:t>
      </w:r>
      <w:r>
        <w:rPr>
          <w:rFonts w:hint="eastAsia" w:ascii="Times New Roman" w:hAnsi="Times New Roman" w:cs="Times New Roman" w:eastAsiaTheme="minorEastAsia"/>
          <w:caps w:val="0"/>
          <w:smallCaps w:val="0"/>
          <w:sz w:val="24"/>
          <w:szCs w:val="24"/>
        </w:rPr>
        <w:t>大气环境质量能满足《环境空气质量标准》（GB3095-2012）中的二级标准限值，故本项目所在区域20</w:t>
      </w:r>
      <w:r>
        <w:rPr>
          <w:rFonts w:hint="eastAsia" w:ascii="Times New Roman" w:hAnsi="Times New Roman" w:cs="Times New Roman" w:eastAsiaTheme="minorEastAsia"/>
          <w:caps w:val="0"/>
          <w:smallCaps w:val="0"/>
          <w:sz w:val="24"/>
          <w:szCs w:val="24"/>
          <w:lang w:val="en-US" w:eastAsia="zh-CN"/>
        </w:rPr>
        <w:t>20</w:t>
      </w:r>
      <w:r>
        <w:rPr>
          <w:rFonts w:hint="eastAsia" w:ascii="Times New Roman" w:hAnsi="Times New Roman" w:cs="Times New Roman" w:eastAsiaTheme="minorEastAsia"/>
          <w:caps w:val="0"/>
          <w:smallCaps w:val="0"/>
          <w:sz w:val="24"/>
          <w:szCs w:val="24"/>
        </w:rPr>
        <w:t>年为环境空气质量达标区。</w:t>
      </w:r>
    </w:p>
    <w:p>
      <w:pPr>
        <w:adjustRightInd w:val="0"/>
        <w:snapToGrid w:val="0"/>
        <w:spacing w:line="360" w:lineRule="auto"/>
        <w:ind w:firstLine="482"/>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根据补充监测可知，</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TSP、</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苯并(a)芘</w:t>
      </w:r>
      <w:r>
        <w:rPr>
          <w:rFonts w:hint="eastAsia" w:ascii="Times New Roman" w:hAnsi="Times New Roman" w:cs="Times New Roman" w:eastAsiaTheme="minorEastAsia"/>
          <w:caps w:val="0"/>
          <w:smallCaps w:val="0"/>
          <w:sz w:val="24"/>
          <w:szCs w:val="24"/>
          <w:lang w:val="en-US" w:eastAsia="zh-CN"/>
        </w:rPr>
        <w:t>能够满足</w:t>
      </w:r>
      <w:r>
        <w:rPr>
          <w:rFonts w:ascii="Times New Roman" w:hAnsi="Times New Roman" w:cs="Times New Roman" w:eastAsiaTheme="minorEastAsia"/>
          <w:caps w:val="0"/>
          <w:smallCaps w:val="0"/>
          <w:sz w:val="24"/>
          <w:szCs w:val="24"/>
        </w:rPr>
        <w:t>《</w:t>
      </w:r>
      <w:r>
        <w:rPr>
          <w:rFonts w:hint="eastAsia" w:ascii="Times New Roman" w:hAnsi="Times New Roman" w:cs="Times New Roman" w:eastAsiaTheme="minorEastAsia"/>
          <w:caps w:val="0"/>
          <w:smallCaps w:val="0"/>
          <w:sz w:val="24"/>
          <w:szCs w:val="24"/>
        </w:rPr>
        <w:t>环境空气质量标准</w:t>
      </w:r>
      <w:r>
        <w:rPr>
          <w:rFonts w:ascii="Times New Roman" w:hAnsi="Times New Roman" w:cs="Times New Roman" w:eastAsiaTheme="minorEastAsia"/>
          <w:caps w:val="0"/>
          <w:smallCaps w:val="0"/>
          <w:sz w:val="24"/>
          <w:szCs w:val="24"/>
        </w:rPr>
        <w:t>》</w:t>
      </w:r>
      <w:r>
        <w:rPr>
          <w:rFonts w:hint="eastAsia" w:ascii="Times New Roman" w:hAnsi="Times New Roman" w:cs="Times New Roman" w:eastAsiaTheme="minorEastAsia"/>
          <w:caps w:val="0"/>
          <w:smallCaps w:val="0"/>
          <w:sz w:val="24"/>
          <w:szCs w:val="24"/>
        </w:rPr>
        <w:t>（GB3095-2012）</w:t>
      </w:r>
      <w:r>
        <w:rPr>
          <w:rFonts w:hint="eastAsia" w:ascii="Times New Roman" w:hAnsi="Times New Roman" w:cs="Times New Roman" w:eastAsiaTheme="minorEastAsia"/>
          <w:caps w:val="0"/>
          <w:smallCaps w:val="0"/>
          <w:sz w:val="24"/>
          <w:szCs w:val="24"/>
          <w:lang w:val="en-US" w:eastAsia="zh-CN"/>
        </w:rPr>
        <w:t>二级标准</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TVOC满足《环境影响评价技术导则大气环境》（HJ 2.2-2018）附录D中的限值要求；评价区域内环境空气质量现状良好。</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声</w:t>
      </w:r>
      <w:r>
        <w:rPr>
          <w:rFonts w:ascii="Times New Roman" w:hAnsi="Times New Roman" w:cs="Times New Roman" w:eastAsiaTheme="minorEastAsia"/>
          <w:caps w:val="0"/>
          <w:smallCaps w:val="0"/>
          <w:color w:val="000000" w:themeColor="text1"/>
          <w14:textFill>
            <w14:solidFill>
              <w14:schemeClr w14:val="tx1"/>
            </w14:solidFill>
          </w14:textFill>
        </w:rPr>
        <w:t>环境质量现状</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项目所在地声环境质量满足《声环境质量标准》（GB3096-2008）中4a类区标准和2类标准，表明项目周边声环境质量现状良好。</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土壤</w:t>
      </w:r>
      <w:r>
        <w:rPr>
          <w:rFonts w:ascii="Times New Roman" w:hAnsi="Times New Roman" w:cs="Times New Roman" w:eastAsiaTheme="minorEastAsia"/>
          <w:caps w:val="0"/>
          <w:smallCaps w:val="0"/>
          <w:color w:val="000000" w:themeColor="text1"/>
          <w14:textFill>
            <w14:solidFill>
              <w14:schemeClr w14:val="tx1"/>
            </w14:solidFill>
          </w14:textFill>
        </w:rPr>
        <w:t>环境质量现状</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项目所在</w:t>
      </w:r>
      <w:r>
        <w:rPr>
          <w:rFonts w:ascii="Times New Roman" w:hAnsi="Times New Roman" w:cs="Times New Roman" w:eastAsiaTheme="minorEastAsia"/>
          <w:caps w:val="0"/>
          <w:smallCaps w:val="0"/>
          <w:sz w:val="24"/>
          <w:szCs w:val="24"/>
        </w:rPr>
        <w:t>地土壤监测数据能满足《土壤环境质量建设用地土壤污染风险管控标准》（GB36600-2018）中二类用地风险筛选值要求和《土壤环境质量农用地土壤污染风险管控标准》（GB15618-2018）中表1“其他”筛选值要求。</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所在地底泥监测数据能满足湖南省地方标准《重金属污染场地土壤修复标准》（DB43/T1165-2016）标准要求</w:t>
      </w:r>
      <w:r>
        <w:rPr>
          <w:rFonts w:ascii="Times New Roman" w:hAnsi="Times New Roman" w:cs="Times New Roman" w:eastAsiaTheme="minorEastAsia"/>
          <w:caps w:val="0"/>
          <w:smallCaps w:val="0"/>
          <w:sz w:val="24"/>
          <w:szCs w:val="24"/>
        </w:rPr>
        <w:t>中</w:t>
      </w:r>
      <w:r>
        <w:rPr>
          <w:rFonts w:hint="eastAsia" w:ascii="Times New Roman" w:hAnsi="Times New Roman" w:cs="Times New Roman" w:eastAsiaTheme="minorEastAsia"/>
          <w:caps w:val="0"/>
          <w:smallCaps w:val="0"/>
          <w:sz w:val="24"/>
          <w:szCs w:val="24"/>
        </w:rPr>
        <w:t>商业用地和工业用地要求。</w:t>
      </w:r>
    </w:p>
    <w:p>
      <w:pPr>
        <w:pStyle w:val="5"/>
        <w:rPr>
          <w:rFonts w:ascii="Times New Roman" w:hAnsi="Times New Roman" w:cs="Times New Roman" w:eastAsiaTheme="minorEastAsia"/>
          <w:b/>
          <w:caps w:val="0"/>
          <w:smallCaps w:val="0"/>
        </w:rPr>
      </w:pPr>
      <w:bookmarkStart w:id="250" w:name="_Toc31953"/>
      <w:r>
        <w:rPr>
          <w:rFonts w:hint="eastAsia" w:ascii="Times New Roman" w:hAnsi="Times New Roman" w:cs="Times New Roman" w:eastAsiaTheme="minorEastAsia"/>
          <w:b/>
          <w:caps w:val="0"/>
          <w:smallCaps w:val="0"/>
        </w:rPr>
        <w:t>环境影响评价</w:t>
      </w:r>
      <w:bookmarkEnd w:id="250"/>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生态影响</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项目对生态的影响主要来自码头。施工期水下施工将造成局部水域悬浮物浓度增加，对局部水生生态环境有一定的污染影响，导致施工期间航道内水生生物数量的减少。</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工程建设对水生生态环境影响是局部的、暂时的，随着施工期的结束影响也随之结束。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码头采用浮码头结构，不阻挡鱼类的洄游通道。工期影响主要是桩基施工作业对水生生物的驱赶效应，采取施工期避开鱼类产卵季节等措施后，施工对鱼类影响不大。</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工程所在江段现状为航道，工程运营后，码头水工结构对水生生物的分布区域和活动空间影响不大。在正常运营情况下，本工程不会对区域生态功能产生显著影响。</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评价区的陆生植物、陆生动物均为常见种，征地范围内不涉及需要保护的珍稀古树，工程建设不会对珍稀野生保护动物、植物资源产生不利影响。</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地表水环境影响</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w:t>
      </w:r>
      <w:r>
        <w:rPr>
          <w:rFonts w:hint="eastAsia" w:ascii="Times New Roman" w:hAnsi="Times New Roman" w:cs="Times New Roman" w:eastAsiaTheme="minorEastAsia"/>
          <w:b/>
          <w:caps w:val="0"/>
          <w:smallCaps w:val="0"/>
          <w:sz w:val="24"/>
          <w:szCs w:val="24"/>
        </w:rPr>
        <w:t>、施工期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码头施工对水环境的影响主要是水工建筑物施工作业引起局部水体悬浮物浓度升高，施工造成悬浮物浓度增加值超过10mg/L的范围为沿水流方向长约100~250m，垂直岸边宽约50~100m，影响范围有限，污染时间较短，随着施工结束污染影响也随之结束。施工船舶不得向施工水域排放舱底油污水或生活污水。施工船舶如需排放舱底油污水，应经船主收集后送海事部门指定单位处理。</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、营运期</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sz w:val="24"/>
          <w:szCs w:val="24"/>
        </w:rPr>
        <w:t>营运期废水主要为码头工作人员生活污水、趸船冲洗废水</w:t>
      </w:r>
      <w:r>
        <w:rPr>
          <w:rFonts w:hint="eastAsia" w:ascii="Times New Roman" w:hAnsi="Times New Roman" w:cs="Times New Roman" w:eastAsiaTheme="minorEastAsia"/>
          <w:caps w:val="0"/>
          <w:smallCaps w:val="0"/>
          <w:sz w:val="24"/>
          <w:szCs w:val="24"/>
          <w:lang w:eastAsia="zh-CN"/>
        </w:rPr>
        <w:t>、趸船初期雨水</w:t>
      </w:r>
      <w:r>
        <w:rPr>
          <w:rFonts w:hint="eastAsia" w:ascii="Times New Roman" w:hAnsi="Times New Roman" w:cs="Times New Roman" w:eastAsiaTheme="minorEastAsia"/>
          <w:caps w:val="0"/>
          <w:smallCaps w:val="0"/>
          <w:sz w:val="24"/>
          <w:szCs w:val="24"/>
        </w:rPr>
        <w:t>及到港船舶污水。</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趸船冲洗废水</w:t>
      </w:r>
      <w:r>
        <w:rPr>
          <w:rFonts w:hint="eastAsia" w:ascii="Times New Roman" w:hAnsi="Times New Roman" w:cs="Times New Roman" w:eastAsiaTheme="minorEastAsia"/>
          <w:caps w:val="0"/>
          <w:smallCaps w:val="0"/>
          <w:color w:val="000000" w:themeColor="text1"/>
          <w:sz w:val="24"/>
          <w:szCs w:val="24"/>
          <w:lang w:eastAsia="zh-CN"/>
          <w14:textFill>
            <w14:solidFill>
              <w14:schemeClr w14:val="tx1"/>
            </w14:solidFill>
          </w14:textFill>
        </w:rPr>
        <w:t>、初期雨水</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采用排水盖板明沟收集，趸船装卸区四周设收集坎，趸船内设1座容积为25m</w:t>
      </w:r>
      <w:r>
        <w:rPr>
          <w:rFonts w:hint="eastAsia" w:ascii="Times New Roman" w:hAnsi="Times New Roman" w:cs="Times New Roman" w:eastAsiaTheme="minorEastAsia"/>
          <w:caps w:val="0"/>
          <w:smallCaps w:val="0"/>
          <w:color w:val="000000" w:themeColor="text1"/>
          <w:sz w:val="24"/>
          <w:szCs w:val="24"/>
          <w:vertAlign w:val="superscript"/>
          <w14:textFill>
            <w14:solidFill>
              <w14:schemeClr w14:val="tx1"/>
            </w14:solidFill>
          </w14:textFill>
        </w:rPr>
        <w:t>3</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（5×2.5×2）污水收集箱，收集箱污水</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定期交</w:t>
      </w:r>
      <w:r>
        <w:rPr>
          <w:rFonts w:hint="eastAsia" w:ascii="Times New Roman" w:hAnsi="Times New Roman" w:cs="Times New Roman" w:eastAsiaTheme="minorEastAsia"/>
          <w:caps w:val="0"/>
          <w:smallCaps w:val="0"/>
          <w:sz w:val="24"/>
          <w:szCs w:val="24"/>
        </w:rPr>
        <w:t>给海事部门的环保船接收处理</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到港船舶污水不得在本码头水</w:t>
      </w:r>
      <w:r>
        <w:rPr>
          <w:rFonts w:hint="eastAsia" w:ascii="Times New Roman" w:hAnsi="Times New Roman" w:cs="Times New Roman" w:eastAsiaTheme="minorEastAsia"/>
          <w:caps w:val="0"/>
          <w:smallCaps w:val="0"/>
          <w:sz w:val="24"/>
          <w:szCs w:val="24"/>
        </w:rPr>
        <w:t>域排放，船底油污水经船舶自配的油水分离器处理后和船舶生活污水交给海事部门的环保船接收处理。</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地下水影响</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本项目已经根据相关防渗设计规范采取严格的防渗、防溢流、防泄漏、防腐蚀等措施，一般情况下污水不会渗漏和进入地下，对地下水不会造成污染，因此本项目运营期正常情况下对地下水影响较小。</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环境空气影响</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w:t>
      </w:r>
      <w:r>
        <w:rPr>
          <w:rFonts w:hint="eastAsia" w:ascii="Times New Roman" w:hAnsi="Times New Roman" w:cs="Times New Roman" w:eastAsiaTheme="minorEastAsia"/>
          <w:b/>
          <w:caps w:val="0"/>
          <w:smallCaps w:val="0"/>
          <w:sz w:val="24"/>
          <w:szCs w:val="24"/>
        </w:rPr>
        <w:t>、施工期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施工过程中产生的主要大气污染物是粉尘，包括沙石料堆存、卡车卸料、场地扬尘以及水泥拆包等起尘环节，施工场地及道路扬尘：施工船舶、运输车辆及载重车、挖掘机、装载机、推土机等施工机械排放少量燃油废气，均属无组织排放。</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lang w:val="en-US" w:eastAsia="zh-CN"/>
        </w:rPr>
        <w:t>根据类比分析</w:t>
      </w:r>
      <w:r>
        <w:rPr>
          <w:rFonts w:hint="eastAsia" w:ascii="Times New Roman" w:hAnsi="Times New Roman" w:cs="Times New Roman" w:eastAsiaTheme="minorEastAsia"/>
          <w:caps w:val="0"/>
          <w:smallCaps w:val="0"/>
          <w:sz w:val="24"/>
          <w:szCs w:val="24"/>
        </w:rPr>
        <w:t>，通常在距污染源100m处，各总悬浮微粒值在0.12~0.79mg/m</w:t>
      </w:r>
      <w:r>
        <w:rPr>
          <w:rFonts w:hint="eastAsia" w:ascii="Times New Roman" w:hAnsi="Times New Roman" w:cs="Times New Roman" w:eastAsiaTheme="minorEastAsia"/>
          <w:caps w:val="0"/>
          <w:smallCaps w:val="0"/>
          <w:sz w:val="24"/>
          <w:szCs w:val="24"/>
          <w:vertAlign w:val="superscript"/>
        </w:rPr>
        <w:t>3</w:t>
      </w:r>
      <w:r>
        <w:rPr>
          <w:rFonts w:hint="eastAsia" w:ascii="Times New Roman" w:hAnsi="Times New Roman" w:cs="Times New Roman" w:eastAsiaTheme="minorEastAsia"/>
          <w:caps w:val="0"/>
          <w:smallCaps w:val="0"/>
          <w:sz w:val="24"/>
          <w:szCs w:val="24"/>
        </w:rPr>
        <w:t>之间；浓度影响随风速的变化而变化，总的趋势是小风、静风天气作业时，影响范围较小。</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、营运期</w:t>
      </w:r>
    </w:p>
    <w:p>
      <w:pPr>
        <w:adjustRightInd w:val="0"/>
        <w:snapToGrid w:val="0"/>
        <w:spacing w:line="360" w:lineRule="auto"/>
        <w:ind w:firstLine="480" w:firstLineChars="200"/>
        <w:rPr>
          <w:rFonts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经预测，项目无组织排放的VOCs最大落地浓度为</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6.91</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μg/m</w:t>
      </w:r>
      <w:r>
        <w:rPr>
          <w:rFonts w:ascii="Times New Roman" w:hAnsi="Times New Roman" w:cs="Times New Roman" w:eastAsiaTheme="minorEastAsia"/>
          <w:caps w:val="0"/>
          <w:smallCaps w:val="0"/>
          <w:color w:val="000000" w:themeColor="text1"/>
          <w:sz w:val="24"/>
          <w:szCs w:val="24"/>
          <w:vertAlign w:val="superscript"/>
          <w14:textFill>
            <w14:solidFill>
              <w14:schemeClr w14:val="tx1"/>
            </w14:solidFill>
          </w14:textFill>
        </w:rPr>
        <w:t>3</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，对应的最大占标率为0.</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58</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%，不超过1%，满足《环境影响评价技术导则大气环境》（HJ2.2-2018）附录D中相应限值要求。</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因此，营运期港区码头装卸作业对环境空气将产生局部污染影响，仅局限在港区范围内，不会对周围环境及环境空气保护目标产生污染影响。</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声环境影响</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w:t>
      </w:r>
      <w:r>
        <w:rPr>
          <w:rFonts w:hint="eastAsia" w:ascii="Times New Roman" w:hAnsi="Times New Roman" w:cs="Times New Roman" w:eastAsiaTheme="minorEastAsia"/>
          <w:b/>
          <w:caps w:val="0"/>
          <w:smallCaps w:val="0"/>
          <w:sz w:val="24"/>
          <w:szCs w:val="24"/>
        </w:rPr>
        <w:t>、施工期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码头施工过程，单机噪声中打桩机昼间在300m外可满足《建筑施工场界环境噪声排放标准》中昼间70dB(A)的要求，夜间禁止打桩；挖掘机、起重机和卡车等昼间在60m，夜间在300m以外可满足《建筑施工场界环境噪声排放标准》中昼间70dB(A)，夜间55dB(A)的要求。</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、营运期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营运期噪声源主要来源于码头机械噪声、船舶鸣笛产生的交通噪声等。</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根据预测结果，码头作业噪声在预测点昼间、夜间噪声均符合《工业企业厂界环境噪声排放标准》（GB12348-2008）2、4类，叠加本底值后满足《声环境质量标准》（GB3096-2008）2、4类标准。</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固体废物环境影响</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w:t>
      </w:r>
      <w:r>
        <w:rPr>
          <w:rFonts w:hint="eastAsia" w:ascii="Times New Roman" w:hAnsi="Times New Roman" w:cs="Times New Roman" w:eastAsiaTheme="minorEastAsia"/>
          <w:b/>
          <w:caps w:val="0"/>
          <w:smallCaps w:val="0"/>
          <w:sz w:val="24"/>
          <w:szCs w:val="24"/>
        </w:rPr>
        <w:t>、施工期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施工过程中产生的固体废弃物主要为施工人员生活垃圾和施工垃圾。</w:t>
      </w:r>
    </w:p>
    <w:p>
      <w:pPr>
        <w:adjustRightInd w:val="0"/>
        <w:snapToGrid w:val="0"/>
        <w:spacing w:line="360" w:lineRule="auto"/>
        <w:ind w:firstLine="480" w:firstLineChars="200"/>
        <w:rPr>
          <w:rFonts w:hint="eastAsia"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生活垃圾在</w:t>
      </w:r>
      <w:r>
        <w:rPr>
          <w:rFonts w:hint="eastAsia" w:ascii="Times New Roman" w:hAnsi="Times New Roman" w:cs="Times New Roman" w:eastAsiaTheme="minorEastAsia"/>
          <w:caps w:val="0"/>
          <w:smallCaps w:val="0"/>
          <w:sz w:val="24"/>
          <w:szCs w:val="24"/>
          <w:lang w:eastAsia="zh-CN"/>
        </w:rPr>
        <w:t>趸船</w:t>
      </w:r>
      <w:r>
        <w:rPr>
          <w:rFonts w:hint="eastAsia" w:ascii="Times New Roman" w:hAnsi="Times New Roman" w:cs="Times New Roman" w:eastAsiaTheme="minorEastAsia"/>
          <w:caps w:val="0"/>
          <w:smallCaps w:val="0"/>
          <w:sz w:val="24"/>
          <w:szCs w:val="24"/>
        </w:rPr>
        <w:t>设有垃圾</w:t>
      </w:r>
      <w:r>
        <w:rPr>
          <w:rFonts w:hint="eastAsia" w:ascii="Times New Roman" w:hAnsi="Times New Roman" w:cs="Times New Roman" w:eastAsiaTheme="minorEastAsia"/>
          <w:caps w:val="0"/>
          <w:smallCaps w:val="0"/>
          <w:sz w:val="24"/>
          <w:szCs w:val="24"/>
          <w:lang w:eastAsia="zh-CN"/>
        </w:rPr>
        <w:t>收集装置</w:t>
      </w:r>
      <w:r>
        <w:rPr>
          <w:rFonts w:hint="eastAsia" w:ascii="Times New Roman" w:hAnsi="Times New Roman" w:cs="Times New Roman" w:eastAsiaTheme="minorEastAsia"/>
          <w:caps w:val="0"/>
          <w:smallCaps w:val="0"/>
          <w:sz w:val="24"/>
          <w:szCs w:val="24"/>
        </w:rPr>
        <w:t>，定期</w:t>
      </w:r>
      <w:r>
        <w:rPr>
          <w:rFonts w:hint="eastAsia" w:ascii="Times New Roman" w:hAnsi="Times New Roman" w:cs="Times New Roman" w:eastAsiaTheme="minorEastAsia"/>
          <w:caps w:val="0"/>
          <w:smallCaps w:val="0"/>
          <w:sz w:val="24"/>
          <w:szCs w:val="24"/>
          <w:lang w:eastAsia="zh-CN"/>
        </w:rPr>
        <w:t>由</w:t>
      </w:r>
      <w:r>
        <w:rPr>
          <w:rFonts w:hint="eastAsia" w:ascii="Times New Roman" w:hAnsi="Times New Roman" w:cs="Times New Roman" w:eastAsiaTheme="minorEastAsia"/>
          <w:caps w:val="0"/>
          <w:smallCaps w:val="0"/>
          <w:sz w:val="24"/>
          <w:szCs w:val="24"/>
        </w:rPr>
        <w:t>环卫部门清运统一处理:施工垃圾主要为施工建筑垃圾、管线工程挖沟围堰敷设后的弃土、弃渣等，建筑垃圾应及时清理，能回收利用的部分进行回收利用，不能回收的部分应运至指定地方清理。</w:t>
      </w:r>
    </w:p>
    <w:p>
      <w:pPr>
        <w:autoSpaceDE w:val="0"/>
        <w:autoSpaceDN w:val="0"/>
        <w:adjustRightInd w:val="0"/>
        <w:snapToGrid w:val="0"/>
        <w:spacing w:line="360" w:lineRule="auto"/>
        <w:ind w:firstLine="480" w:firstLineChars="200"/>
        <w:rPr>
          <w:rFonts w:ascii="Times New Roman" w:hAnsi="Times New Roman" w:cs="Times New Roman"/>
          <w:caps w:val="0"/>
          <w:smallCaps w:val="0"/>
          <w:kern w:val="0"/>
          <w:sz w:val="24"/>
          <w:szCs w:val="24"/>
        </w:rPr>
      </w:pPr>
      <w:r>
        <w:rPr>
          <w:rFonts w:hint="eastAsia" w:ascii="Times New Roman" w:hAnsi="Times New Roman" w:cs="Times New Roman" w:eastAsiaTheme="minorEastAsia"/>
          <w:caps w:val="0"/>
          <w:smallCaps w:val="0"/>
          <w:sz w:val="24"/>
          <w:szCs w:val="24"/>
        </w:rPr>
        <w:t>疏浚淤泥挖出后直接放入渣土运输</w:t>
      </w:r>
      <w:r>
        <w:rPr>
          <w:rFonts w:hint="eastAsia" w:ascii="Times New Roman" w:hAnsi="Times New Roman" w:cs="Times New Roman" w:eastAsiaTheme="minorEastAsia"/>
          <w:caps w:val="0"/>
          <w:smallCaps w:val="0"/>
          <w:sz w:val="24"/>
          <w:szCs w:val="24"/>
          <w:lang w:eastAsia="zh-CN"/>
        </w:rPr>
        <w:t>车</w:t>
      </w:r>
      <w:r>
        <w:rPr>
          <w:rFonts w:hint="eastAsia" w:ascii="Times New Roman" w:hAnsi="Times New Roman" w:cs="Times New Roman" w:eastAsiaTheme="minorEastAsia"/>
          <w:caps w:val="0"/>
          <w:smallCaps w:val="0"/>
          <w:sz w:val="24"/>
          <w:szCs w:val="24"/>
        </w:rPr>
        <w:t>运输至湖南平益高速公路建设工程进行</w:t>
      </w:r>
      <w:r>
        <w:rPr>
          <w:rFonts w:hint="eastAsia" w:ascii="Times New Roman" w:hAnsi="Times New Roman" w:cs="Times New Roman" w:eastAsiaTheme="minorEastAsia"/>
          <w:caps w:val="0"/>
          <w:smallCaps w:val="0"/>
          <w:sz w:val="24"/>
          <w:szCs w:val="24"/>
          <w:lang w:eastAsia="zh-CN"/>
        </w:rPr>
        <w:t>填方</w:t>
      </w:r>
      <w:r>
        <w:rPr>
          <w:rFonts w:hint="eastAsia" w:ascii="Times New Roman" w:hAnsi="Times New Roman" w:cs="Times New Roman" w:eastAsiaTheme="minorEastAsia"/>
          <w:caps w:val="0"/>
          <w:smallCaps w:val="0"/>
          <w:sz w:val="24"/>
          <w:szCs w:val="24"/>
        </w:rPr>
        <w:t>，不在码头处暂存。</w:t>
      </w:r>
      <w:r>
        <w:rPr>
          <w:rFonts w:ascii="Times New Roman" w:hAnsi="Times New Roman" w:cs="Times New Roman"/>
          <w:caps w:val="0"/>
          <w:smallCaps w:val="0"/>
          <w:kern w:val="0"/>
          <w:sz w:val="24"/>
          <w:szCs w:val="24"/>
        </w:rPr>
        <w:t>施工产生的弃土、弃渣不得堆放在河道内尤其是河道岸坡上，避免岸坡应荷载加大而失稳。施工单位应尽快清理施工场地内的建筑垃圾。疏浚淤泥运输车辆应严格密闭，防止泥沙散落道路对环境产生二次污染，且应当严格规划运输车辆行驶路线，运输过程中尽量避免车辆发生碰撞等交通事故。</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、营运期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项目营运期间产生的固体废物主要有生活垃圾、设备维修废油</w:t>
      </w: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lang w:val="en-US" w:eastAsia="zh-CN"/>
        </w:rPr>
        <w:t>废沥青</w:t>
      </w:r>
      <w:r>
        <w:rPr>
          <w:rFonts w:hint="eastAsia" w:ascii="Times New Roman" w:hAnsi="Times New Roman" w:cs="Times New Roman" w:eastAsiaTheme="minorEastAsia"/>
          <w:caps w:val="0"/>
          <w:smallCaps w:val="0"/>
          <w:sz w:val="24"/>
          <w:szCs w:val="24"/>
        </w:rPr>
        <w:t>等。</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营运期港区工作人员生活垃圾发生量为</w:t>
      </w:r>
      <w:r>
        <w:rPr>
          <w:rFonts w:hint="eastAsia" w:ascii="Times New Roman" w:hAnsi="Times New Roman" w:cs="Times New Roman" w:eastAsiaTheme="minorEastAsia"/>
          <w:caps w:val="0"/>
          <w:smallCaps w:val="0"/>
          <w:sz w:val="24"/>
          <w:szCs w:val="24"/>
          <w:lang w:val="en-US" w:eastAsia="zh-CN"/>
        </w:rPr>
        <w:t>2.475</w:t>
      </w:r>
      <w:r>
        <w:rPr>
          <w:rFonts w:hint="eastAsia" w:ascii="Times New Roman" w:hAnsi="Times New Roman" w:cs="Times New Roman" w:eastAsiaTheme="minorEastAsia"/>
          <w:caps w:val="0"/>
          <w:smallCaps w:val="0"/>
          <w:sz w:val="24"/>
          <w:szCs w:val="24"/>
        </w:rPr>
        <w:t>t/a，</w:t>
      </w:r>
      <w:r>
        <w:rPr>
          <w:rFonts w:hint="eastAsia" w:ascii="Times New Roman" w:hAnsi="Times New Roman" w:cs="Times New Roman" w:eastAsiaTheme="minorEastAsia"/>
          <w:caps w:val="0"/>
          <w:smallCaps w:val="0"/>
          <w:sz w:val="24"/>
          <w:szCs w:val="24"/>
          <w:lang w:val="en-US" w:eastAsia="zh-CN"/>
        </w:rPr>
        <w:t>库区</w:t>
      </w:r>
      <w:r>
        <w:rPr>
          <w:rFonts w:hint="eastAsia" w:ascii="Times New Roman" w:hAnsi="Times New Roman" w:cs="Times New Roman" w:eastAsiaTheme="minorEastAsia"/>
          <w:caps w:val="0"/>
          <w:smallCaps w:val="0"/>
          <w:sz w:val="24"/>
          <w:szCs w:val="24"/>
        </w:rPr>
        <w:t>设置垃圾桶、垃圾集中堆放场地，码头平台设置垃圾桶，码头作业区少量生活垃圾分别收集后委托环卫部门定期清运；到港船舶生活垃圾产生约为</w:t>
      </w:r>
      <w:r>
        <w:rPr>
          <w:rFonts w:hint="eastAsia" w:ascii="Times New Roman" w:hAnsi="Times New Roman" w:cs="Times New Roman" w:eastAsiaTheme="minorEastAsia"/>
          <w:caps w:val="0"/>
          <w:smallCaps w:val="0"/>
          <w:sz w:val="24"/>
          <w:szCs w:val="24"/>
          <w:lang w:val="en-US" w:eastAsia="zh-CN"/>
        </w:rPr>
        <w:t>1.44</w:t>
      </w:r>
      <w:r>
        <w:rPr>
          <w:rFonts w:hint="eastAsia" w:ascii="Times New Roman" w:hAnsi="Times New Roman" w:cs="Times New Roman" w:eastAsiaTheme="minorEastAsia"/>
          <w:caps w:val="0"/>
          <w:smallCaps w:val="0"/>
          <w:sz w:val="24"/>
          <w:szCs w:val="24"/>
        </w:rPr>
        <w:t>t/a，由</w:t>
      </w:r>
      <w:r>
        <w:rPr>
          <w:rFonts w:hint="eastAsia" w:ascii="Times New Roman" w:hAnsi="Times New Roman" w:cs="Times New Roman" w:eastAsiaTheme="minorEastAsia"/>
          <w:caps w:val="0"/>
          <w:smallCaps w:val="0"/>
          <w:sz w:val="24"/>
          <w:szCs w:val="24"/>
          <w:lang w:val="en-US" w:eastAsia="zh-CN"/>
        </w:rPr>
        <w:t>趸船垃圾接收装置接收，上岸后送环卫部门处理</w:t>
      </w:r>
      <w:r>
        <w:rPr>
          <w:rFonts w:hint="eastAsia" w:ascii="Times New Roman" w:hAnsi="Times New Roman" w:cs="Times New Roman" w:eastAsiaTheme="minorEastAsia"/>
          <w:caps w:val="0"/>
          <w:smallCaps w:val="0"/>
          <w:sz w:val="24"/>
          <w:szCs w:val="24"/>
        </w:rPr>
        <w:t>；</w:t>
      </w:r>
      <w:r>
        <w:rPr>
          <w:rFonts w:hint="eastAsia" w:ascii="Times New Roman" w:hAnsi="Times New Roman" w:cs="Times New Roman" w:eastAsiaTheme="minorEastAsia"/>
          <w:caps w:val="0"/>
          <w:smallCaps w:val="0"/>
          <w:sz w:val="24"/>
          <w:szCs w:val="24"/>
          <w:lang w:val="en-US" w:eastAsia="zh-CN"/>
        </w:rPr>
        <w:t>废矿物</w:t>
      </w:r>
      <w:r>
        <w:rPr>
          <w:rFonts w:hint="eastAsia" w:ascii="Times New Roman" w:hAnsi="Times New Roman" w:cs="Times New Roman" w:eastAsiaTheme="minorEastAsia"/>
          <w:caps w:val="0"/>
          <w:smallCaps w:val="0"/>
          <w:sz w:val="24"/>
          <w:szCs w:val="24"/>
        </w:rPr>
        <w:t>油产生量</w:t>
      </w:r>
      <w:r>
        <w:rPr>
          <w:rFonts w:hint="eastAsia" w:ascii="Times New Roman" w:hAnsi="Times New Roman" w:cs="Times New Roman" w:eastAsiaTheme="minorEastAsia"/>
          <w:caps w:val="0"/>
          <w:smallCaps w:val="0"/>
          <w:sz w:val="24"/>
          <w:szCs w:val="24"/>
          <w:lang w:val="en-US" w:eastAsia="zh-CN"/>
        </w:rPr>
        <w:t>1</w:t>
      </w:r>
      <w:r>
        <w:rPr>
          <w:rFonts w:ascii="Times New Roman" w:hAnsi="Times New Roman" w:cs="Times New Roman" w:eastAsiaTheme="minorEastAsia"/>
          <w:caps w:val="0"/>
          <w:smallCaps w:val="0"/>
          <w:sz w:val="24"/>
          <w:szCs w:val="24"/>
        </w:rPr>
        <w:t>00</w:t>
      </w:r>
      <w:r>
        <w:rPr>
          <w:rFonts w:hint="eastAsia" w:ascii="Times New Roman" w:hAnsi="Times New Roman" w:cs="Times New Roman" w:eastAsiaTheme="minorEastAsia"/>
          <w:caps w:val="0"/>
          <w:smallCaps w:val="0"/>
          <w:sz w:val="24"/>
          <w:szCs w:val="24"/>
        </w:rPr>
        <w:t>kg/a，收集后交由有资质的危废处置单位统一处理</w:t>
      </w: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lang w:val="en-US" w:eastAsia="zh-CN"/>
        </w:rPr>
        <w:t>废沥青融化后回收利用</w:t>
      </w:r>
      <w:r>
        <w:rPr>
          <w:rFonts w:hint="eastAsia" w:ascii="Times New Roman" w:hAnsi="Times New Roman" w:cs="Times New Roman" w:eastAsiaTheme="minorEastAsia"/>
          <w:caps w:val="0"/>
          <w:smallCaps w:val="0"/>
          <w:sz w:val="24"/>
          <w:szCs w:val="24"/>
        </w:rPr>
        <w:t>。</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工程固体废物经过上述措施处置后，不会对环境造成二次污染。</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土壤影响</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根据预测结果，项目运营</w:t>
      </w:r>
      <w:r>
        <w:rPr>
          <w:rFonts w:ascii="Times New Roman" w:hAnsi="Times New Roman" w:cs="Times New Roman" w:eastAsiaTheme="minorEastAsia"/>
          <w:caps w:val="0"/>
          <w:smallCaps w:val="0"/>
          <w:sz w:val="24"/>
          <w:szCs w:val="24"/>
        </w:rPr>
        <w:t>10</w:t>
      </w:r>
      <w:r>
        <w:rPr>
          <w:rFonts w:hint="eastAsia" w:ascii="Times New Roman" w:hAnsi="Times New Roman" w:cs="Times New Roman" w:eastAsiaTheme="minorEastAsia"/>
          <w:caps w:val="0"/>
          <w:smallCaps w:val="0"/>
          <w:sz w:val="24"/>
          <w:szCs w:val="24"/>
        </w:rPr>
        <w:t>~</w:t>
      </w:r>
      <w:r>
        <w:rPr>
          <w:rFonts w:ascii="Times New Roman" w:hAnsi="Times New Roman" w:cs="Times New Roman" w:eastAsiaTheme="minorEastAsia"/>
          <w:caps w:val="0"/>
          <w:smallCaps w:val="0"/>
          <w:sz w:val="24"/>
          <w:szCs w:val="24"/>
        </w:rPr>
        <w:t>3</w:t>
      </w:r>
      <w:r>
        <w:rPr>
          <w:rFonts w:hint="eastAsia" w:ascii="Times New Roman" w:hAnsi="Times New Roman" w:cs="Times New Roman" w:eastAsiaTheme="minorEastAsia"/>
          <w:caps w:val="0"/>
          <w:smallCaps w:val="0"/>
          <w:sz w:val="24"/>
          <w:szCs w:val="24"/>
        </w:rPr>
        <w:t>0年后周围影响区域土壤中石油烃累积量远小于《土壤环境质量建设用地土壤污染风险管控标准（试行）》（GB15618-2018）。项目在运营期采取分区防渗等措施后，对占地范围内及占地范围外</w:t>
      </w:r>
      <w:r>
        <w:rPr>
          <w:rFonts w:hint="eastAsia" w:ascii="Times New Roman" w:hAnsi="Times New Roman" w:cs="Times New Roman" w:eastAsiaTheme="minorEastAsia"/>
          <w:caps w:val="0"/>
          <w:smallCaps w:val="0"/>
          <w:sz w:val="24"/>
          <w:szCs w:val="24"/>
          <w:lang w:eastAsia="zh-CN"/>
        </w:rPr>
        <w:t>，</w:t>
      </w:r>
      <w:r>
        <w:rPr>
          <w:rFonts w:hint="eastAsia" w:ascii="Times New Roman" w:hAnsi="Times New Roman" w:cs="Times New Roman" w:eastAsiaTheme="minorEastAsia"/>
          <w:caps w:val="0"/>
          <w:smallCaps w:val="0"/>
          <w:sz w:val="24"/>
          <w:szCs w:val="24"/>
        </w:rPr>
        <w:t>土壤环境影响较小。</w:t>
      </w:r>
    </w:p>
    <w:p>
      <w:pPr>
        <w:pStyle w:val="5"/>
        <w:rPr>
          <w:rFonts w:ascii="Times New Roman" w:hAnsi="Times New Roman" w:cs="Times New Roman" w:eastAsiaTheme="minorEastAsia"/>
          <w:b/>
          <w:caps w:val="0"/>
          <w:smallCaps w:val="0"/>
        </w:rPr>
      </w:pPr>
      <w:bookmarkStart w:id="251" w:name="_Toc5988"/>
      <w:r>
        <w:rPr>
          <w:rFonts w:hint="eastAsia" w:ascii="Times New Roman" w:hAnsi="Times New Roman" w:cs="Times New Roman" w:eastAsiaTheme="minorEastAsia"/>
          <w:b/>
          <w:caps w:val="0"/>
          <w:smallCaps w:val="0"/>
        </w:rPr>
        <w:t>主要环境保护措施</w:t>
      </w:r>
      <w:bookmarkEnd w:id="251"/>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生态环境污染防治措施</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⑴加强对承包商、施工人员的宣传教育工作。</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⑵建设单位与施工单位所签定的承包合同中应有环境保护方面的条款，并附有环保要求的具体内容。</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⑶合理进行施工组织，工程水域施工应避开鱼类产卵繁殖期及鱼苗摄食育肥期，避开水生动物的活动高峰期。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⑷应优化施工工艺方案，控制施工作业、施工船舶污染物排放。抓紧施工进度，尽量缩短水上作业时间。加强施工区域通航管理工作，严防危险品运输船舶溢油事故。</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⑸施工期间尽可能减少噪音，采取低噪音设备施工，减少噪声对鱼类影响。</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⑹施工期的各种固体废物均进行收集处理，不得随意抛弃。</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⑺陆域施工区在施工结束后播撒草种以恢复植被。</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⑻码头岸线陆域施工结束后，立即对植被破环区域进行植被恢复。</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⑼渔政管理部门应加强项目施工期和运行期水生生物监测工作。</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水环境污染防治措施</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w:t>
      </w:r>
      <w:r>
        <w:rPr>
          <w:rFonts w:hint="eastAsia" w:ascii="Times New Roman" w:hAnsi="Times New Roman" w:cs="Times New Roman" w:eastAsiaTheme="minorEastAsia"/>
          <w:b/>
          <w:caps w:val="0"/>
          <w:smallCaps w:val="0"/>
          <w:sz w:val="24"/>
          <w:szCs w:val="24"/>
        </w:rPr>
        <w:t>、施工期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⑴施工现场因地制宜，建造旱厕等污水临时处理设施。</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⑵砂浆和石灰浆废液宜集中处理，干化后与固体废物一起进行处置。</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⑶水泥、黄沙、石灰类的建筑材料需集中堆放，并建造简易挡雨棚、挡土墙，及时清扫场内运输线上抛洒的上述粉料。</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⑷施工期船舶含油污水应当严格管理并禁止随意排放。船舶油污水应申报后送具有相应资质且在海事部门备案的接收单位。</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⑸施工船舶在水域内定点作业、船舶停泊，以保证不发生船舶污染水域的事故。</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、营运期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⑴严禁到港船舶在港区江段排放舱底油污水和生活污水。</w:t>
      </w:r>
      <w:r>
        <w:rPr>
          <w:rFonts w:hint="eastAsia" w:ascii="Times New Roman" w:hAnsi="Times New Roman" w:cs="Times New Roman" w:eastAsiaTheme="minorEastAsia"/>
          <w:caps w:val="0"/>
          <w:smallCaps w:val="0"/>
          <w:sz w:val="24"/>
          <w:szCs w:val="24"/>
        </w:rPr>
        <w:t>船底油污水经船舶自配的油水分离器处理后和船舶生活污水交给海事部门的环保船接收处理。</w:t>
      </w:r>
    </w:p>
    <w:p>
      <w:pPr>
        <w:adjustRightInd w:val="0"/>
        <w:snapToGrid w:val="0"/>
        <w:spacing w:line="360" w:lineRule="auto"/>
        <w:ind w:firstLine="480" w:firstLineChars="200"/>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pPr>
      <w:r>
        <w:rPr>
          <w:rFonts w:hint="eastAsia" w:ascii="Times New Roman" w:hAnsi="Times New Roman" w:cs="Times New Roman" w:eastAsiaTheme="minorEastAsia"/>
          <w:caps w:val="0"/>
          <w:smallCaps w:val="0"/>
          <w:sz w:val="24"/>
          <w:szCs w:val="24"/>
        </w:rPr>
        <w:t>⑵</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趸船冲洗废水采用排水盖板明沟收集，趸船装卸区四周设收集坎，每趸船内设1座容积为25m</w:t>
      </w:r>
      <w:r>
        <w:rPr>
          <w:rFonts w:hint="eastAsia" w:ascii="Times New Roman" w:hAnsi="Times New Roman" w:cs="Times New Roman" w:eastAsiaTheme="minorEastAsia"/>
          <w:caps w:val="0"/>
          <w:smallCaps w:val="0"/>
          <w:color w:val="000000" w:themeColor="text1"/>
          <w:sz w:val="24"/>
          <w:szCs w:val="24"/>
          <w:vertAlign w:val="superscript"/>
          <w14:textFill>
            <w14:solidFill>
              <w14:schemeClr w14:val="tx1"/>
            </w14:solidFill>
          </w14:textFill>
        </w:rPr>
        <w:t>3</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（5×2.5×2）污水收集箱，收集箱污水</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定期交</w:t>
      </w:r>
      <w:r>
        <w:rPr>
          <w:rFonts w:hint="eastAsia" w:ascii="Times New Roman" w:hAnsi="Times New Roman" w:cs="Times New Roman" w:eastAsiaTheme="minorEastAsia"/>
          <w:caps w:val="0"/>
          <w:smallCaps w:val="0"/>
          <w:sz w:val="24"/>
          <w:szCs w:val="24"/>
        </w:rPr>
        <w:t>交给海事部门的环保船接收处理</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环境空气污染防治措施</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w:t>
      </w:r>
      <w:r>
        <w:rPr>
          <w:rFonts w:hint="eastAsia" w:ascii="Times New Roman" w:hAnsi="Times New Roman" w:cs="Times New Roman" w:eastAsiaTheme="minorEastAsia"/>
          <w:b/>
          <w:caps w:val="0"/>
          <w:smallCaps w:val="0"/>
          <w:sz w:val="24"/>
          <w:szCs w:val="24"/>
        </w:rPr>
        <w:t>、施工期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⑴施工前先修筑厂界围墙或简易围屏，减少扬尘的逸散。</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⑵加强施工区的规划管理；建筑材料尽量不大量的堆存，少量堆存将其置于较为空旷的位置，并进行遮挡。</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⑶在施工现场和施工车辆运输道路每天应多次撒水。</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⑷对港区道路、码头面及时清扫并洒水。</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⑸运输易起尘物料车辆要加盖篷布、控制车速。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⑹加强对施工机械、车辆的维修保养。</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、营运期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⑴收货时尽量加大泵的流量，使油品来不及大量蒸发从而减少损耗。</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⑵采用先进的装卸设备设施与材料，确保阀门、法兰片、管道之间的密封性，并加强装卸设备设施的使用、管理和维护，使之经常处于良好状态，真正起到降低蒸发损失的作用。</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声环境污染防治措施</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hint="eastAsia" w:ascii="Times New Roman" w:hAnsi="Times New Roman" w:cs="Times New Roman" w:eastAsiaTheme="minorEastAsia"/>
          <w:b/>
          <w:caps w:val="0"/>
          <w:smallCaps w:val="0"/>
          <w:sz w:val="24"/>
          <w:szCs w:val="24"/>
        </w:rPr>
        <w:t>1、施工期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⑴施工机械采用低噪声设备，加强设备的日常维修保养；对高噪声设备，应在其附近加设可移动的简单围障，以降低其噪音辐射。</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⑵合理安排高噪声施工作业的时间。</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⑶认真执行《建筑施工场界环境噪声排放标准》（GB12523-2011）对施工阶段噪声的要求。</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、营运期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⑴选购低噪声高效的装卸机械和场内车辆。</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⑵个别高噪声源强设备安装消声器。</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⑶加强机械、车辆和设备的保养维修。</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⑷合理布置港区道路，各交通路口设置标志信号，使港内交通行使有序，减少鸣笛。</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⑸船舶发动机噪声主要采用停港即</w:t>
      </w:r>
      <w:r>
        <w:rPr>
          <w:rFonts w:hint="eastAsia" w:ascii="Times New Roman" w:hAnsi="Times New Roman" w:cs="Times New Roman" w:eastAsiaTheme="minorEastAsia"/>
          <w:caps w:val="0"/>
          <w:smallCaps w:val="0"/>
          <w:sz w:val="24"/>
          <w:szCs w:val="24"/>
          <w:lang w:val="en-US" w:eastAsia="zh-CN"/>
        </w:rPr>
        <w:t>使用岸电，不启动发动机</w:t>
      </w:r>
      <w:r>
        <w:rPr>
          <w:rFonts w:hint="eastAsia" w:ascii="Times New Roman" w:hAnsi="Times New Roman" w:cs="Times New Roman" w:eastAsiaTheme="minorEastAsia"/>
          <w:caps w:val="0"/>
          <w:smallCaps w:val="0"/>
          <w:sz w:val="24"/>
          <w:szCs w:val="24"/>
        </w:rPr>
        <w:t>。</w:t>
      </w:r>
    </w:p>
    <w:p>
      <w:pPr>
        <w:pStyle w:val="6"/>
        <w:rPr>
          <w:rFonts w:ascii="Times New Roman" w:hAnsi="Times New Roman" w:cs="Times New Roman" w:eastAsiaTheme="minorEastAsia"/>
          <w:caps w:val="0"/>
          <w:smallCaps w:val="0"/>
          <w:color w:val="000000" w:themeColor="text1"/>
          <w14:textFill>
            <w14:solidFill>
              <w14:schemeClr w14:val="tx1"/>
            </w14:solidFill>
          </w14:textFill>
        </w:rPr>
      </w:pPr>
      <w:r>
        <w:rPr>
          <w:rFonts w:hint="eastAsia" w:ascii="Times New Roman" w:hAnsi="Times New Roman" w:cs="Times New Roman" w:eastAsiaTheme="minorEastAsia"/>
          <w:caps w:val="0"/>
          <w:smallCaps w:val="0"/>
          <w:color w:val="000000" w:themeColor="text1"/>
          <w14:textFill>
            <w14:solidFill>
              <w14:schemeClr w14:val="tx1"/>
            </w14:solidFill>
          </w14:textFill>
        </w:rPr>
        <w:t>固体废物污染防治措施</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1</w:t>
      </w:r>
      <w:r>
        <w:rPr>
          <w:rFonts w:hint="eastAsia" w:ascii="Times New Roman" w:hAnsi="Times New Roman" w:cs="Times New Roman" w:eastAsiaTheme="minorEastAsia"/>
          <w:b/>
          <w:caps w:val="0"/>
          <w:smallCaps w:val="0"/>
          <w:sz w:val="24"/>
          <w:szCs w:val="24"/>
        </w:rPr>
        <w:t>、施工期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⑴生活垃圾在厂区设有垃圾桶，定期有环卫部门清运统一处理。</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⑵建筑垃圾应及时清理，能回收利用的部分进行回收利用，不能回收的部分应运至指定地方清理。</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⑶弃土、弃渣可就近用作公路、河流的岸坡防护或作业带迹地恢复。</w:t>
      </w:r>
    </w:p>
    <w:p>
      <w:pPr>
        <w:adjustRightInd w:val="0"/>
        <w:snapToGrid w:val="0"/>
        <w:spacing w:line="360" w:lineRule="auto"/>
        <w:ind w:firstLine="482" w:firstLineChars="200"/>
        <w:rPr>
          <w:rFonts w:ascii="Times New Roman" w:hAnsi="Times New Roman" w:cs="Times New Roman" w:eastAsiaTheme="minorEastAsia"/>
          <w:b/>
          <w:caps w:val="0"/>
          <w:smallCaps w:val="0"/>
          <w:sz w:val="24"/>
          <w:szCs w:val="24"/>
        </w:rPr>
      </w:pPr>
      <w:r>
        <w:rPr>
          <w:rFonts w:ascii="Times New Roman" w:hAnsi="Times New Roman" w:cs="Times New Roman" w:eastAsiaTheme="minorEastAsia"/>
          <w:b/>
          <w:caps w:val="0"/>
          <w:smallCaps w:val="0"/>
          <w:sz w:val="24"/>
          <w:szCs w:val="24"/>
        </w:rPr>
        <w:t>2</w:t>
      </w:r>
      <w:r>
        <w:rPr>
          <w:rFonts w:hint="eastAsia" w:ascii="Times New Roman" w:hAnsi="Times New Roman" w:cs="Times New Roman" w:eastAsiaTheme="minorEastAsia"/>
          <w:b/>
          <w:caps w:val="0"/>
          <w:smallCaps w:val="0"/>
          <w:sz w:val="24"/>
          <w:szCs w:val="24"/>
        </w:rPr>
        <w:t>、营运期</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⑴</w:t>
      </w:r>
      <w:r>
        <w:rPr>
          <w:rFonts w:hint="eastAsia" w:ascii="Times New Roman" w:hAnsi="Times New Roman" w:cs="Times New Roman" w:eastAsiaTheme="minorEastAsia"/>
          <w:caps w:val="0"/>
          <w:smallCaps w:val="0"/>
          <w:sz w:val="24"/>
          <w:szCs w:val="24"/>
          <w:lang w:val="en-US" w:eastAsia="zh-CN"/>
        </w:rPr>
        <w:t>趸船上</w:t>
      </w:r>
      <w:r>
        <w:rPr>
          <w:rFonts w:hint="eastAsia" w:ascii="Times New Roman" w:hAnsi="Times New Roman" w:cs="Times New Roman" w:eastAsiaTheme="minorEastAsia"/>
          <w:caps w:val="0"/>
          <w:smallCaps w:val="0"/>
          <w:sz w:val="24"/>
          <w:szCs w:val="24"/>
        </w:rPr>
        <w:t>设置垃圾</w:t>
      </w:r>
      <w:r>
        <w:rPr>
          <w:rFonts w:hint="eastAsia" w:ascii="Times New Roman" w:hAnsi="Times New Roman" w:cs="Times New Roman" w:eastAsiaTheme="minorEastAsia"/>
          <w:caps w:val="0"/>
          <w:smallCaps w:val="0"/>
          <w:sz w:val="24"/>
          <w:szCs w:val="24"/>
          <w:lang w:val="en-US" w:eastAsia="zh-CN"/>
        </w:rPr>
        <w:t>接收箱</w:t>
      </w:r>
      <w:r>
        <w:rPr>
          <w:rFonts w:hint="eastAsia" w:ascii="Times New Roman" w:hAnsi="Times New Roman" w:cs="Times New Roman" w:eastAsiaTheme="minorEastAsia"/>
          <w:caps w:val="0"/>
          <w:smallCaps w:val="0"/>
          <w:sz w:val="24"/>
          <w:szCs w:val="24"/>
        </w:rPr>
        <w:t>，到港船舶不得在本码头水域内排放船舶垃圾，船舶生活垃圾</w:t>
      </w:r>
      <w:r>
        <w:rPr>
          <w:rFonts w:hint="eastAsia" w:ascii="Times New Roman" w:hAnsi="Times New Roman" w:cs="Times New Roman" w:eastAsiaTheme="minorEastAsia"/>
          <w:caps w:val="0"/>
          <w:smallCaps w:val="0"/>
          <w:sz w:val="24"/>
          <w:szCs w:val="24"/>
          <w:lang w:val="en-US" w:eastAsia="zh-CN"/>
        </w:rPr>
        <w:t>上岸后</w:t>
      </w:r>
      <w:r>
        <w:rPr>
          <w:rFonts w:hint="eastAsia" w:ascii="Times New Roman" w:hAnsi="Times New Roman" w:cs="Times New Roman" w:eastAsiaTheme="minorEastAsia"/>
          <w:caps w:val="0"/>
          <w:smallCaps w:val="0"/>
          <w:sz w:val="24"/>
          <w:szCs w:val="24"/>
        </w:rPr>
        <w:t>委托环卫部门定期清运。</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⑵机械设备简单维修产生的机修废油收集后交由有资质的危废处置单位统一处理。</w:t>
      </w:r>
    </w:p>
    <w:p>
      <w:pPr>
        <w:pStyle w:val="5"/>
        <w:rPr>
          <w:rFonts w:ascii="Times New Roman" w:hAnsi="Times New Roman" w:cs="Times New Roman" w:eastAsiaTheme="minorEastAsia"/>
          <w:b/>
          <w:caps w:val="0"/>
          <w:smallCaps w:val="0"/>
        </w:rPr>
      </w:pPr>
      <w:bookmarkStart w:id="252" w:name="_Toc13819"/>
      <w:r>
        <w:rPr>
          <w:rFonts w:hint="eastAsia" w:ascii="Times New Roman" w:hAnsi="Times New Roman" w:cs="Times New Roman" w:eastAsiaTheme="minorEastAsia"/>
          <w:b/>
          <w:caps w:val="0"/>
          <w:smallCaps w:val="0"/>
        </w:rPr>
        <w:t>环境风险达到可控水平</w:t>
      </w:r>
      <w:bookmarkEnd w:id="252"/>
    </w:p>
    <w:p>
      <w:pPr>
        <w:adjustRightInd w:val="0"/>
        <w:snapToGrid w:val="0"/>
        <w:spacing w:line="360" w:lineRule="auto"/>
        <w:ind w:firstLine="482"/>
        <w:rPr>
          <w:rFonts w:ascii="Times New Roman" w:hAnsi="Times New Roman" w:cs="Times New Roman" w:eastAsiaTheme="minorEastAsia"/>
          <w:caps w:val="0"/>
          <w:smallCaps w:val="0"/>
          <w:color w:val="000000" w:themeColor="text1"/>
          <w:kern w:val="0"/>
          <w:sz w:val="24"/>
          <w:szCs w:val="24"/>
          <w14:textFill>
            <w14:solidFill>
              <w14:schemeClr w14:val="tx1"/>
            </w14:solidFill>
          </w14:textFill>
        </w:rPr>
      </w:pPr>
      <w:r>
        <w:rPr>
          <w:rFonts w:ascii="Times New Roman" w:hAnsi="Times New Roman" w:cs="Times New Roman" w:eastAsiaTheme="minorEastAsia"/>
          <w:caps w:val="0"/>
          <w:smallCaps w:val="0"/>
          <w:color w:val="000000" w:themeColor="text1"/>
          <w:sz w:val="24"/>
          <w:szCs w:val="24"/>
          <w14:textFill>
            <w14:solidFill>
              <w14:schemeClr w14:val="tx1"/>
            </w14:solidFill>
          </w14:textFill>
        </w:rPr>
        <w:t>本项目环境风险事故主要为船舶溢油事故、液体化学品泄漏事故，此类风险事故发生的概率较低，但一旦发生将对</w:t>
      </w:r>
      <w:r>
        <w:rPr>
          <w:rFonts w:hint="eastAsia" w:ascii="Times New Roman" w:hAnsi="Times New Roman" w:cs="Times New Roman" w:eastAsiaTheme="minorEastAsia"/>
          <w:caps w:val="0"/>
          <w:smallCaps w:val="0"/>
          <w:color w:val="000000" w:themeColor="text1"/>
          <w:sz w:val="24"/>
          <w:szCs w:val="24"/>
          <w:lang w:val="en-US" w:eastAsia="zh-CN"/>
          <w14:textFill>
            <w14:solidFill>
              <w14:schemeClr w14:val="tx1"/>
            </w14:solidFill>
          </w14:textFill>
        </w:rPr>
        <w:t>湘</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江的水质和水生生态环境产生影响。因此，必须采取必要的风险防范措施，加强码头和船舶进出港的管理，制定严格的码头巡护检查制度，进一步降低事故发生的概率</w:t>
      </w:r>
      <w:r>
        <w:rPr>
          <w:rFonts w:hint="eastAsia" w:ascii="Times New Roman" w:hAnsi="Times New Roman" w:cs="Times New Roman" w:eastAsiaTheme="minorEastAsia"/>
          <w:caps w:val="0"/>
          <w:smallCaps w:val="0"/>
          <w:color w:val="000000" w:themeColor="text1"/>
          <w:sz w:val="24"/>
          <w:szCs w:val="24"/>
          <w14:textFill>
            <w14:solidFill>
              <w14:schemeClr w14:val="tx1"/>
            </w14:solidFill>
          </w14:textFill>
        </w:rPr>
        <w:t>，</w:t>
      </w:r>
      <w:r>
        <w:rPr>
          <w:rFonts w:ascii="Times New Roman" w:hAnsi="Times New Roman" w:cs="Times New Roman" w:eastAsiaTheme="minorEastAsia"/>
          <w:caps w:val="0"/>
          <w:smallCaps w:val="0"/>
          <w:color w:val="000000" w:themeColor="text1"/>
          <w:sz w:val="24"/>
          <w:szCs w:val="24"/>
          <w14:textFill>
            <w14:solidFill>
              <w14:schemeClr w14:val="tx1"/>
            </w14:solidFill>
          </w14:textFill>
        </w:rPr>
        <w:t>制定应急预案，并准备必要的防护物资，减少事故发生时的环境危害。因此，采取必要的保护措施后，本项目船舶溢油事故的环境风险处于可接受的水平。</w:t>
      </w:r>
    </w:p>
    <w:p>
      <w:pPr>
        <w:pStyle w:val="5"/>
        <w:rPr>
          <w:rFonts w:ascii="Times New Roman" w:hAnsi="Times New Roman" w:cs="Times New Roman" w:eastAsiaTheme="minorEastAsia"/>
          <w:b/>
          <w:caps w:val="0"/>
          <w:smallCaps w:val="0"/>
        </w:rPr>
      </w:pPr>
      <w:bookmarkStart w:id="253" w:name="_Toc24310"/>
      <w:r>
        <w:rPr>
          <w:rFonts w:hint="eastAsia" w:ascii="Times New Roman" w:hAnsi="Times New Roman" w:cs="Times New Roman" w:eastAsiaTheme="minorEastAsia"/>
          <w:b/>
          <w:caps w:val="0"/>
          <w:smallCaps w:val="0"/>
        </w:rPr>
        <w:t>总量控制</w:t>
      </w:r>
      <w:bookmarkEnd w:id="253"/>
    </w:p>
    <w:p>
      <w:pPr>
        <w:adjustRightInd w:val="0"/>
        <w:snapToGrid w:val="0"/>
        <w:spacing w:line="360" w:lineRule="auto"/>
        <w:ind w:firstLine="496"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color w:val="000000" w:themeColor="text1"/>
          <w:spacing w:val="4"/>
          <w:sz w:val="24"/>
          <w:szCs w:val="24"/>
          <w14:textFill>
            <w14:solidFill>
              <w14:schemeClr w14:val="tx1"/>
            </w14:solidFill>
          </w14:textFill>
        </w:rPr>
        <w:t>本项目大气污染物VOCs无组织排放量为0.</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03125</w:t>
      </w:r>
      <w:r>
        <w:rPr>
          <w:rFonts w:hint="eastAsia" w:ascii="Times New Roman" w:hAnsi="Times New Roman" w:cs="Times New Roman" w:eastAsiaTheme="minorEastAsia"/>
          <w:caps w:val="0"/>
          <w:smallCaps w:val="0"/>
          <w:color w:val="000000" w:themeColor="text1"/>
          <w:spacing w:val="4"/>
          <w:sz w:val="24"/>
          <w:szCs w:val="24"/>
          <w14:textFill>
            <w14:solidFill>
              <w14:schemeClr w14:val="tx1"/>
            </w14:solidFill>
          </w14:textFill>
        </w:rPr>
        <w:t>t/a；设置大气总量控制指标：VOCs：0.</w:t>
      </w:r>
      <w:r>
        <w:rPr>
          <w:rFonts w:hint="eastAsia" w:ascii="Times New Roman" w:hAnsi="Times New Roman" w:cs="Times New Roman" w:eastAsiaTheme="minorEastAsia"/>
          <w:caps w:val="0"/>
          <w:smallCaps w:val="0"/>
          <w:color w:val="000000" w:themeColor="text1"/>
          <w:spacing w:val="4"/>
          <w:sz w:val="24"/>
          <w:szCs w:val="24"/>
          <w:lang w:val="en-US" w:eastAsia="zh-CN"/>
          <w14:textFill>
            <w14:solidFill>
              <w14:schemeClr w14:val="tx1"/>
            </w14:solidFill>
          </w14:textFill>
        </w:rPr>
        <w:t>03125</w:t>
      </w:r>
      <w:r>
        <w:rPr>
          <w:rFonts w:hint="eastAsia" w:ascii="Times New Roman" w:hAnsi="Times New Roman" w:cs="Times New Roman" w:eastAsiaTheme="minorEastAsia"/>
          <w:caps w:val="0"/>
          <w:smallCaps w:val="0"/>
          <w:color w:val="000000" w:themeColor="text1"/>
          <w:spacing w:val="4"/>
          <w:sz w:val="24"/>
          <w:szCs w:val="24"/>
          <w14:textFill>
            <w14:solidFill>
              <w14:schemeClr w14:val="tx1"/>
            </w14:solidFill>
          </w14:textFill>
        </w:rPr>
        <w:t>t/a。</w:t>
      </w:r>
    </w:p>
    <w:p>
      <w:pPr>
        <w:pStyle w:val="5"/>
        <w:rPr>
          <w:rFonts w:ascii="Times New Roman" w:hAnsi="Times New Roman" w:cs="Times New Roman" w:eastAsiaTheme="minorEastAsia"/>
          <w:b/>
          <w:caps w:val="0"/>
          <w:smallCaps w:val="0"/>
        </w:rPr>
      </w:pPr>
      <w:bookmarkStart w:id="254" w:name="_Toc9910"/>
      <w:r>
        <w:rPr>
          <w:rFonts w:hint="eastAsia" w:ascii="Times New Roman" w:hAnsi="Times New Roman" w:cs="Times New Roman" w:eastAsiaTheme="minorEastAsia"/>
          <w:b/>
          <w:caps w:val="0"/>
          <w:smallCaps w:val="0"/>
        </w:rPr>
        <w:t>公众参与</w:t>
      </w:r>
      <w:bookmarkEnd w:id="254"/>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根据公众参与调查结果，绝大多数人全面了解该项目的建设，本项目得到公众全部支持该项目的建设，该项目可以带动当地经济的发展，增加就业机会。被调查者希望本项目认真落实各项环境保护措施制度，尽可能减少对环境的污染。建设单位建设时应严格执行环保“三同时”制度，项目建成后加强管理，尽量减少污染物的排放对周围居民的影响。</w:t>
      </w:r>
    </w:p>
    <w:p>
      <w:pPr>
        <w:pStyle w:val="5"/>
        <w:rPr>
          <w:rFonts w:ascii="Times New Roman" w:hAnsi="Times New Roman" w:cs="Times New Roman" w:eastAsiaTheme="minorEastAsia"/>
          <w:b/>
          <w:caps w:val="0"/>
          <w:smallCaps w:val="0"/>
        </w:rPr>
      </w:pPr>
      <w:bookmarkStart w:id="255" w:name="_Toc21648"/>
      <w:r>
        <w:rPr>
          <w:rFonts w:hint="eastAsia" w:ascii="Times New Roman" w:hAnsi="Times New Roman" w:cs="Times New Roman" w:eastAsiaTheme="minorEastAsia"/>
          <w:b/>
          <w:caps w:val="0"/>
          <w:smallCaps w:val="0"/>
        </w:rPr>
        <w:t>总结论</w:t>
      </w:r>
      <w:bookmarkEnd w:id="255"/>
    </w:p>
    <w:p>
      <w:pPr>
        <w:adjustRightInd w:val="0"/>
        <w:snapToGrid w:val="0"/>
        <w:spacing w:line="360" w:lineRule="auto"/>
        <w:ind w:firstLine="480" w:firstLineChars="200"/>
        <w:rPr>
          <w:rFonts w:ascii="Times New Roman" w:hAnsi="Times New Roman" w:cs="Times New Roman" w:eastAsiaTheme="minorEastAsia"/>
          <w:caps w:val="0"/>
          <w:smallCaps w:val="0"/>
          <w:kern w:val="0"/>
          <w:sz w:val="24"/>
          <w:szCs w:val="24"/>
        </w:rPr>
      </w:pPr>
      <w:r>
        <w:rPr>
          <w:rFonts w:hint="eastAsia" w:ascii="Times New Roman" w:hAnsi="Times New Roman" w:cs="Times New Roman" w:eastAsiaTheme="minorEastAsia"/>
          <w:caps w:val="0"/>
          <w:smallCaps w:val="0"/>
          <w:kern w:val="0"/>
          <w:sz w:val="24"/>
          <w:szCs w:val="24"/>
        </w:rPr>
        <w:t>湖南海丰物流有限公司湖南海丰物流老码头提质改造技改项目的建设具有明显的经济效益、社会效益和环境效益。本项目</w:t>
      </w:r>
      <w:r>
        <w:rPr>
          <w:rFonts w:ascii="Times New Roman" w:hAnsi="Times New Roman" w:cs="Times New Roman" w:eastAsiaTheme="minorEastAsia"/>
          <w:caps w:val="0"/>
          <w:smallCaps w:val="0"/>
          <w:kern w:val="0"/>
          <w:sz w:val="24"/>
          <w:szCs w:val="24"/>
        </w:rPr>
        <w:t>与《长江干线航道总体规划纲要》、《长江干线航道建设规划》</w:t>
      </w:r>
      <w:r>
        <w:rPr>
          <w:rFonts w:hint="eastAsia" w:ascii="Times New Roman" w:hAnsi="Times New Roman" w:cs="Times New Roman" w:eastAsiaTheme="minorEastAsia"/>
          <w:caps w:val="0"/>
          <w:smallCaps w:val="0"/>
          <w:kern w:val="0"/>
          <w:sz w:val="24"/>
          <w:szCs w:val="24"/>
        </w:rPr>
        <w:t>及</w:t>
      </w:r>
      <w:r>
        <w:rPr>
          <w:rFonts w:ascii="Times New Roman" w:hAnsi="Times New Roman" w:cs="Times New Roman" w:eastAsiaTheme="minorEastAsia"/>
          <w:caps w:val="0"/>
          <w:smallCaps w:val="0"/>
          <w:kern w:val="0"/>
          <w:sz w:val="24"/>
          <w:szCs w:val="24"/>
        </w:rPr>
        <w:t>《长江岸线保护和开发利用总体规划》</w:t>
      </w:r>
      <w:r>
        <w:rPr>
          <w:rFonts w:hint="eastAsia" w:ascii="Times New Roman" w:hAnsi="Times New Roman" w:cs="Times New Roman" w:eastAsiaTheme="minorEastAsia"/>
          <w:caps w:val="0"/>
          <w:smallCaps w:val="0"/>
          <w:kern w:val="0"/>
          <w:sz w:val="24"/>
          <w:szCs w:val="24"/>
        </w:rPr>
        <w:t>是</w:t>
      </w:r>
      <w:r>
        <w:rPr>
          <w:rFonts w:ascii="Times New Roman" w:hAnsi="Times New Roman" w:cs="Times New Roman" w:eastAsiaTheme="minorEastAsia"/>
          <w:caps w:val="0"/>
          <w:smallCaps w:val="0"/>
          <w:kern w:val="0"/>
          <w:sz w:val="24"/>
          <w:szCs w:val="24"/>
        </w:rPr>
        <w:t>相协调的，</w:t>
      </w:r>
      <w:r>
        <w:rPr>
          <w:rFonts w:hint="eastAsia" w:ascii="Times New Roman" w:hAnsi="Times New Roman" w:cs="Times New Roman" w:eastAsiaTheme="minorEastAsia"/>
          <w:caps w:val="0"/>
          <w:smallCaps w:val="0"/>
          <w:kern w:val="0"/>
          <w:sz w:val="24"/>
          <w:szCs w:val="24"/>
        </w:rPr>
        <w:t>其建设与</w:t>
      </w:r>
      <w:r>
        <w:rPr>
          <w:rFonts w:ascii="Times New Roman" w:hAnsi="Times New Roman" w:cs="Times New Roman" w:eastAsiaTheme="minorEastAsia"/>
          <w:caps w:val="0"/>
          <w:smallCaps w:val="0"/>
          <w:kern w:val="0"/>
          <w:sz w:val="24"/>
          <w:szCs w:val="24"/>
        </w:rPr>
        <w:t>《湖南省交通运输“十三五”发展规划》</w:t>
      </w:r>
      <w:r>
        <w:rPr>
          <w:rFonts w:hint="eastAsia" w:ascii="Times New Roman" w:hAnsi="Times New Roman" w:cs="Times New Roman" w:eastAsiaTheme="minorEastAsia"/>
          <w:caps w:val="0"/>
          <w:smallCaps w:val="0"/>
          <w:kern w:val="0"/>
          <w:sz w:val="24"/>
          <w:szCs w:val="24"/>
        </w:rPr>
        <w:t>、</w:t>
      </w:r>
      <w:r>
        <w:rPr>
          <w:rFonts w:ascii="Times New Roman" w:hAnsi="Times New Roman" w:cs="Times New Roman" w:eastAsiaTheme="minorEastAsia"/>
          <w:caps w:val="0"/>
          <w:smallCaps w:val="0"/>
          <w:kern w:val="0"/>
          <w:sz w:val="24"/>
          <w:szCs w:val="24"/>
        </w:rPr>
        <w:t>《湖南省港口布局规划》</w:t>
      </w:r>
      <w:r>
        <w:rPr>
          <w:rFonts w:hint="eastAsia" w:ascii="Times New Roman" w:hAnsi="Times New Roman" w:cs="Times New Roman" w:eastAsiaTheme="minorEastAsia"/>
          <w:caps w:val="0"/>
          <w:smallCaps w:val="0"/>
          <w:kern w:val="0"/>
          <w:sz w:val="24"/>
          <w:szCs w:val="24"/>
        </w:rPr>
        <w:t>及新修编的</w:t>
      </w:r>
      <w:r>
        <w:rPr>
          <w:rFonts w:ascii="Times New Roman" w:hAnsi="Times New Roman" w:cs="Times New Roman" w:eastAsiaTheme="minorEastAsia"/>
          <w:caps w:val="0"/>
          <w:smallCaps w:val="0"/>
          <w:kern w:val="0"/>
          <w:sz w:val="24"/>
          <w:szCs w:val="24"/>
        </w:rPr>
        <w:t>《</w:t>
      </w:r>
      <w:r>
        <w:rPr>
          <w:rFonts w:hint="eastAsia" w:ascii="Times New Roman" w:hAnsi="Times New Roman" w:cs="Times New Roman" w:eastAsiaTheme="minorEastAsia"/>
          <w:caps w:val="0"/>
          <w:smallCaps w:val="0"/>
          <w:kern w:val="0"/>
          <w:sz w:val="24"/>
          <w:szCs w:val="24"/>
        </w:rPr>
        <w:t>岳阳港</w:t>
      </w:r>
      <w:r>
        <w:rPr>
          <w:rFonts w:ascii="Times New Roman" w:hAnsi="Times New Roman" w:cs="Times New Roman" w:eastAsiaTheme="minorEastAsia"/>
          <w:caps w:val="0"/>
          <w:smallCaps w:val="0"/>
          <w:kern w:val="0"/>
          <w:sz w:val="24"/>
          <w:szCs w:val="24"/>
        </w:rPr>
        <w:t>总体规划</w:t>
      </w:r>
      <w:r>
        <w:rPr>
          <w:rFonts w:hint="eastAsia" w:ascii="Times New Roman" w:hAnsi="Times New Roman" w:cs="Times New Roman" w:eastAsiaTheme="minorEastAsia"/>
          <w:caps w:val="0"/>
          <w:smallCaps w:val="0"/>
          <w:kern w:val="0"/>
          <w:sz w:val="24"/>
          <w:szCs w:val="24"/>
        </w:rPr>
        <w:t>》</w:t>
      </w:r>
      <w:r>
        <w:rPr>
          <w:rFonts w:ascii="Times New Roman" w:hAnsi="Times New Roman" w:cs="Times New Roman" w:eastAsiaTheme="minorEastAsia"/>
          <w:caps w:val="0"/>
          <w:smallCaps w:val="0"/>
          <w:kern w:val="0"/>
          <w:sz w:val="24"/>
          <w:szCs w:val="24"/>
        </w:rPr>
        <w:t>及规划环评</w:t>
      </w:r>
      <w:r>
        <w:rPr>
          <w:rFonts w:hint="eastAsia" w:ascii="Times New Roman" w:hAnsi="Times New Roman" w:cs="Times New Roman" w:eastAsiaTheme="minorEastAsia"/>
          <w:caps w:val="0"/>
          <w:smallCaps w:val="0"/>
          <w:kern w:val="0"/>
          <w:sz w:val="24"/>
          <w:szCs w:val="24"/>
        </w:rPr>
        <w:t>相符合，项目选址可行</w:t>
      </w:r>
      <w:r>
        <w:rPr>
          <w:rFonts w:ascii="Times New Roman" w:hAnsi="Times New Roman" w:cs="Times New Roman" w:eastAsiaTheme="minorEastAsia"/>
          <w:caps w:val="0"/>
          <w:smallCaps w:val="0"/>
          <w:kern w:val="0"/>
          <w:sz w:val="24"/>
          <w:szCs w:val="24"/>
        </w:rPr>
        <w:t>，工程布置</w:t>
      </w:r>
      <w:r>
        <w:rPr>
          <w:rFonts w:hint="eastAsia" w:ascii="Times New Roman" w:hAnsi="Times New Roman" w:cs="Times New Roman" w:eastAsiaTheme="minorEastAsia"/>
          <w:caps w:val="0"/>
          <w:smallCaps w:val="0"/>
          <w:kern w:val="0"/>
          <w:sz w:val="24"/>
          <w:szCs w:val="24"/>
        </w:rPr>
        <w:t>合理。拟采取的污染防治措施可将工程对环境的污染影响控制在最低程度。此外，项目属于《产业结构调整指导目录（201</w:t>
      </w:r>
      <w:r>
        <w:rPr>
          <w:rFonts w:ascii="Times New Roman" w:hAnsi="Times New Roman" w:cs="Times New Roman" w:eastAsiaTheme="minorEastAsia"/>
          <w:caps w:val="0"/>
          <w:smallCaps w:val="0"/>
          <w:kern w:val="0"/>
          <w:sz w:val="24"/>
          <w:szCs w:val="24"/>
        </w:rPr>
        <w:t>9</w:t>
      </w:r>
      <w:r>
        <w:rPr>
          <w:rFonts w:hint="eastAsia" w:ascii="Times New Roman" w:hAnsi="Times New Roman" w:cs="Times New Roman" w:eastAsiaTheme="minorEastAsia"/>
          <w:caps w:val="0"/>
          <w:smallCaps w:val="0"/>
          <w:kern w:val="0"/>
          <w:sz w:val="24"/>
          <w:szCs w:val="24"/>
        </w:rPr>
        <w:t>年本）》中鼓励类项目，符合国家有关法律、法规和政策规定。</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kern w:val="0"/>
          <w:sz w:val="24"/>
          <w:szCs w:val="24"/>
        </w:rPr>
        <w:t>工程建设单位应加强施工</w:t>
      </w:r>
      <w:r>
        <w:rPr>
          <w:rFonts w:hint="eastAsia" w:ascii="Times New Roman" w:hAnsi="Times New Roman" w:cs="Times New Roman" w:eastAsiaTheme="minorEastAsia"/>
          <w:caps w:val="0"/>
          <w:smallCaps w:val="0"/>
          <w:sz w:val="24"/>
          <w:szCs w:val="24"/>
        </w:rPr>
        <w:t>期的环境管理，工程承包商在签定工程承接合同中应有明确的条款，对施工期的污染防治措施予以承诺，并制定严格的违约处罚程序。</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监理单位应根据环评报告、设计图纸、招标文件等编制环境监理方案，严格按照环境监理方案执行监理工作。</w:t>
      </w:r>
    </w:p>
    <w:p>
      <w:pPr>
        <w:adjustRightInd w:val="0"/>
        <w:snapToGrid w:val="0"/>
        <w:spacing w:line="360" w:lineRule="auto"/>
        <w:ind w:firstLine="480" w:firstLineChars="200"/>
        <w:rPr>
          <w:rFonts w:ascii="Times New Roman" w:hAnsi="Times New Roman" w:cs="Times New Roman" w:eastAsiaTheme="minorEastAsia"/>
          <w:caps w:val="0"/>
          <w:smallCaps w:val="0"/>
          <w:sz w:val="24"/>
          <w:szCs w:val="24"/>
        </w:rPr>
      </w:pPr>
      <w:r>
        <w:rPr>
          <w:rFonts w:hint="eastAsia" w:ascii="Times New Roman" w:hAnsi="Times New Roman" w:cs="Times New Roman" w:eastAsiaTheme="minorEastAsia"/>
          <w:caps w:val="0"/>
          <w:smallCaps w:val="0"/>
          <w:sz w:val="24"/>
          <w:szCs w:val="24"/>
        </w:rPr>
        <w:t>营运期做好清洁生产和工程环境保护管理，严格控制污染物达标排放。评价认为工程设计已考虑了环境保护的要求，环境工程设计方案在技术上、经济上是可行的，具有较强的可操作性。在下一步的设计中应进一步落实报告书中提出的环境保护对策措施，可使工程建设对环境的不利影响得到较好的控制。</w:t>
      </w:r>
    </w:p>
    <w:sectPr>
      <w:headerReference r:id="rId22" w:type="default"/>
      <w:pgSz w:w="11906" w:h="16838"/>
      <w:pgMar w:top="1418" w:right="1418" w:bottom="1418" w:left="1418"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 Light">
    <w:altName w:val="Calibri"/>
    <w:panose1 w:val="020F0302020204030204"/>
    <w:charset w:val="00"/>
    <w:family w:val="swiss"/>
    <w:pitch w:val="default"/>
    <w:sig w:usb0="00000000" w:usb1="00000000" w:usb2="00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monospace">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Tahoma">
    <w:panose1 w:val="020B0604030504040204"/>
    <w:charset w:val="00"/>
    <w:family w:val="swiss"/>
    <w:pitch w:val="default"/>
    <w:sig w:usb0="E1002EFF" w:usb1="C000605B" w:usb2="00000029" w:usb3="00000000" w:csb0="200101FF" w:csb1="20280000"/>
  </w:font>
  <w:font w:name="CG Times (WN)">
    <w:altName w:val="Times New Roman"/>
    <w:panose1 w:val="00000000000000000000"/>
    <w:charset w:val="00"/>
    <w:family w:val="auto"/>
    <w:pitch w:val="default"/>
    <w:sig w:usb0="00000000" w:usb1="00000000" w:usb2="00000000" w:usb3="00000000" w:csb0="00000001" w:csb1="00000000"/>
  </w:font>
  <w:font w:name="Plotter">
    <w:altName w:val="Times New Roman"/>
    <w:panose1 w:val="00000000000000000000"/>
    <w:charset w:val="00"/>
    <w:family w:val="roman"/>
    <w:pitch w:val="default"/>
    <w:sig w:usb0="00000000" w:usb1="00000000" w:usb2="00000000" w:usb3="00000000" w:csb0="00040001" w:csb1="00000000"/>
  </w:font>
  <w:font w:name="Arial Unicode MS">
    <w:altName w:val="宋体"/>
    <w:panose1 w:val="020B0604020202020204"/>
    <w:charset w:val="86"/>
    <w:family w:val="swiss"/>
    <w:pitch w:val="default"/>
    <w:sig w:usb0="00000000" w:usb1="00000000" w:usb2="0000003F" w:usb3="00000000" w:csb0="603F01FF" w:csb1="FFFF0000"/>
  </w:font>
  <w:font w:name="新宋体">
    <w:panose1 w:val="02010609030101010101"/>
    <w:charset w:val="86"/>
    <w:family w:val="modern"/>
    <w:pitch w:val="default"/>
    <w:sig w:usb0="00000003" w:usb1="288F0000" w:usb2="00000006" w:usb3="00000000" w:csb0="00040001" w:csb1="00000000"/>
  </w:font>
  <w:font w:name="Tms Rmn">
    <w:altName w:val="Segoe Print"/>
    <w:panose1 w:val="02020603040505020304"/>
    <w:charset w:val="00"/>
    <w:family w:val="roman"/>
    <w:pitch w:val="default"/>
    <w:sig w:usb0="00000000" w:usb1="00000000" w:usb2="00000000" w:usb3="00000000" w:csb0="00000001" w:csb1="00000000"/>
  </w:font>
  <w:font w:name="Wingdings 2">
    <w:panose1 w:val="05020102010507070707"/>
    <w:charset w:val="02"/>
    <w:family w:val="roman"/>
    <w:pitch w:val="default"/>
    <w:sig w:usb0="00000000" w:usb1="00000000" w:usb2="00000000" w:usb3="00000000" w:csb0="80000000" w:csb1="00000000"/>
  </w:font>
  <w:font w:name="Cambria Math">
    <w:panose1 w:val="02040503050406030204"/>
    <w:charset w:val="00"/>
    <w:family w:val="auto"/>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adjustRightInd w:val="0"/>
      <w:spacing w:beforeLines="50"/>
      <w:jc w:val="center"/>
      <w:rPr>
        <w:rFonts w:ascii="Times New Roman" w:hAnsi="Times New Roman" w:cs="Times New Roman"/>
      </w:rPr>
    </w:pPr>
  </w:p>
  <w:p>
    <w:pPr>
      <w:pStyle w:val="41"/>
      <w:jc w:val="right"/>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adjustRightInd w:val="0"/>
      <w:spacing w:beforeLines="50"/>
      <w:jc w:val="center"/>
      <w:rPr>
        <w:rFonts w:ascii="Times New Roman" w:hAnsi="Times New Roman" w:cs="Times New Roman"/>
      </w:rPr>
    </w:pPr>
  </w:p>
  <w:p>
    <w:pPr>
      <w:pStyle w:val="41"/>
      <w:jc w:val="right"/>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adjustRightInd w:val="0"/>
      <w:spacing w:beforeLines="50"/>
      <w:jc w:val="center"/>
      <w:rPr>
        <w:rFonts w:ascii="Times New Roman" w:hAnsi="Times New Roman" w:cs="Times New Roman"/>
      </w:rPr>
    </w:pPr>
    <w:r>
      <w:rPr>
        <w:sz w:val="18"/>
      </w:rPr>
      <mc:AlternateContent>
        <mc:Choice Requires="wps">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98" name="文本框 1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1"/>
                            <w:adjustRightInd w:val="0"/>
                            <w:spacing w:beforeLines="50"/>
                            <w:jc w:val="cente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36</w:t>
                          </w:r>
                          <w:r>
                            <w:rPr>
                              <w:rFonts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920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MbcQsz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LMbcQszAgAAZQQAAA4AAAAAAAAAAQAgAAAAHwEAAGRycy9lMm9Eb2MueG1sUEsF&#10;BgAAAAAGAAYAWQEAAMQFAAAAAA==&#10;">
              <v:fill on="f" focussize="0,0"/>
              <v:stroke on="f" weight="0.5pt"/>
              <v:imagedata o:title=""/>
              <o:lock v:ext="edit" aspectratio="f"/>
              <v:textbox inset="0mm,0mm,0mm,0mm" style="mso-fit-shape-to-text:t;">
                <w:txbxContent>
                  <w:p>
                    <w:pPr>
                      <w:pStyle w:val="41"/>
                      <w:adjustRightInd w:val="0"/>
                      <w:spacing w:beforeLines="50"/>
                      <w:jc w:val="cente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36</w:t>
                    </w:r>
                    <w:r>
                      <w:rPr>
                        <w:rFonts w:ascii="Times New Roman" w:hAnsi="Times New Roman" w:cs="Times New Roman"/>
                      </w:rPr>
                      <w:fldChar w:fldCharType="end"/>
                    </w:r>
                  </w:p>
                </w:txbxContent>
              </v:textbox>
            </v:shape>
          </w:pict>
        </mc:Fallback>
      </mc:AlternateContent>
    </w:r>
  </w:p>
  <w:p>
    <w:pPr>
      <w:pStyle w:val="41"/>
      <w:jc w:val="right"/>
      <w:rPr>
        <w:rFonts w:ascii="Times New Roman" w:hAnsi="Times New Roman" w:cs="Times New Roma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1"/>
      <w:adjustRightInd w:val="0"/>
      <w:spacing w:beforeLines="50"/>
      <w:jc w:val="center"/>
      <w:rPr>
        <w:rFonts w:ascii="Times New Roman" w:hAnsi="Times New Roman" w:cs="Times New Roma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92" name="文本框 1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qT7tY0AgAAZQ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D6k+7WNAIAAGUEAAAOAAAAAAAAAAEAIAAAAB8BAABkcnMvZTJvRG9jLnhtbFBL&#10;BQYAAAAABgAGAFkBAADFBQAAAAA=&#10;">
              <v:fill on="f" focussize="0,0"/>
              <v:stroke on="f" weight="0.5pt"/>
              <v:imagedata o:title=""/>
              <o:lock v:ext="edit" aspectratio="f"/>
              <v:textbox inset="0mm,0mm,0mm,0mm" style="mso-fit-shape-to-text:t;">
                <w:txbxContent>
                  <w:p>
                    <w:pPr>
                      <w:pStyle w:val="41"/>
                    </w:pPr>
                    <w:r>
                      <w:fldChar w:fldCharType="begin"/>
                    </w:r>
                    <w:r>
                      <w:instrText xml:space="preserve"> PAGE  \* MERGEFORMAT </w:instrText>
                    </w:r>
                    <w:r>
                      <w:fldChar w:fldCharType="separate"/>
                    </w:r>
                    <w:r>
                      <w:t>1</w:t>
                    </w:r>
                    <w:r>
                      <w:fldChar w:fldCharType="end"/>
                    </w:r>
                  </w:p>
                </w:txbxContent>
              </v:textbox>
            </v:shape>
          </w:pict>
        </mc:Fallback>
      </mc:AlternateContent>
    </w:r>
  </w:p>
  <w:p>
    <w:pPr>
      <w:pStyle w:val="41"/>
      <w:jc w:val="right"/>
      <w:rPr>
        <w:rFonts w:ascii="Times New Roman" w:hAnsi="Times New Roman" w:cs="Times New Roma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line="200" w:lineRule="exact"/>
      <w:rPr>
        <w:sz w:val="20"/>
        <w:szCs w:val="20"/>
      </w:rPr>
    </w:pPr>
    <w:r>
      <w:rPr>
        <w:sz w:val="20"/>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93" name="文本框 1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1"/>
                          </w:pPr>
                          <w:r>
                            <w:fldChar w:fldCharType="begin"/>
                          </w:r>
                          <w:r>
                            <w:instrText xml:space="preserve"> PAGE  \* MERGEFORMAT </w:instrText>
                          </w:r>
                          <w:r>
                            <w:fldChar w:fldCharType="separate"/>
                          </w:r>
                          <w:r>
                            <w:t>125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EvcEo0AgAAZQQAAA4AAABkcnMvZTJvRG9jLnhtbK1UzY7TMBC+I/EO&#10;lu80aVes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95cUWKYRslP37+d&#10;fvw6/fxK0iEkalyYIfLBITa2b22L8OE84DAxbyuv0xecCPwQ+HgRWLSR8HRpOplOc7g4fMMG+Nnj&#10;dedDfCesJskoqEcFO2HZYRNiHzqEpGzGrqVSXRWVIU1Br69e59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CRL3BKNAIAAGUEAAAOAAAAAAAAAAEAIAAAAB8BAABkcnMvZTJvRG9jLnhtbFBL&#10;BQYAAAAABgAGAFkBAADFBQAAAAA=&#10;">
              <v:fill on="f" focussize="0,0"/>
              <v:stroke on="f" weight="0.5pt"/>
              <v:imagedata o:title=""/>
              <o:lock v:ext="edit" aspectratio="f"/>
              <v:textbox inset="0mm,0mm,0mm,0mm" style="mso-fit-shape-to-text:t;">
                <w:txbxContent>
                  <w:p>
                    <w:pPr>
                      <w:pStyle w:val="41"/>
                    </w:pPr>
                    <w:r>
                      <w:fldChar w:fldCharType="begin"/>
                    </w:r>
                    <w:r>
                      <w:instrText xml:space="preserve"> PAGE  \* MERGEFORMAT </w:instrText>
                    </w:r>
                    <w:r>
                      <w:fldChar w:fldCharType="separate"/>
                    </w:r>
                    <w:r>
                      <w:t>125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ind w:firstLine="560"/>
    </w:pPr>
    <w:r>
      <w:rPr>
        <w:sz w:val="24"/>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94" name="文本框 19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1"/>
                          </w:pPr>
                          <w:r>
                            <w:fldChar w:fldCharType="begin"/>
                          </w:r>
                          <w:r>
                            <w:instrText xml:space="preserve"> PAGE  \* MERGEFORMAT </w:instrText>
                          </w:r>
                          <w:r>
                            <w:fldChar w:fldCharType="separate"/>
                          </w:r>
                          <w:r>
                            <w:t>129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IWSys0AgAAZQQAAA4AAABkcnMvZTJvRG9jLnhtbK1UzY7TMBC+I/EO&#10;lu80aYFVqZ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CFksrNAIAAGUEAAAOAAAAAAAAAAEAIAAAAB8BAABkcnMvZTJvRG9jLnhtbFBL&#10;BQYAAAAABgAGAFkBAADFBQAAAAA=&#10;">
              <v:fill on="f" focussize="0,0"/>
              <v:stroke on="f" weight="0.5pt"/>
              <v:imagedata o:title=""/>
              <o:lock v:ext="edit" aspectratio="f"/>
              <v:textbox inset="0mm,0mm,0mm,0mm" style="mso-fit-shape-to-text:t;">
                <w:txbxContent>
                  <w:p>
                    <w:pPr>
                      <w:pStyle w:val="41"/>
                    </w:pPr>
                    <w:r>
                      <w:fldChar w:fldCharType="begin"/>
                    </w:r>
                    <w:r>
                      <w:instrText xml:space="preserve"> PAGE  \* MERGEFORMAT </w:instrText>
                    </w:r>
                    <w:r>
                      <w:fldChar w:fldCharType="separate"/>
                    </w:r>
                    <w:r>
                      <w:t>129</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line="200" w:lineRule="exact"/>
      <w:rPr>
        <w:sz w:val="20"/>
        <w:szCs w:val="20"/>
      </w:rPr>
    </w:pPr>
    <w:r>
      <w:rPr>
        <w:sz w:val="20"/>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5" name="文本框 19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1"/>
                          </w:pPr>
                          <w:r>
                            <w:fldChar w:fldCharType="begin"/>
                          </w:r>
                          <w:r>
                            <w:instrText xml:space="preserve"> PAGE  \* MERGEFORMAT </w:instrText>
                          </w:r>
                          <w:r>
                            <w:fldChar w:fldCharType="separate"/>
                          </w:r>
                          <w:r>
                            <w:t>175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mq1bc0AgAAZQ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BpqtW3NAIAAGUEAAAOAAAAAAAAAAEAIAAAAB8BAABkcnMvZTJvRG9jLnhtbFBL&#10;BQYAAAAABgAGAFkBAADFBQAAAAA=&#10;">
              <v:fill on="f" focussize="0,0"/>
              <v:stroke on="f" weight="0.5pt"/>
              <v:imagedata o:title=""/>
              <o:lock v:ext="edit" aspectratio="f"/>
              <v:textbox inset="0mm,0mm,0mm,0mm" style="mso-fit-shape-to-text:t;">
                <w:txbxContent>
                  <w:p>
                    <w:pPr>
                      <w:pStyle w:val="41"/>
                    </w:pPr>
                    <w:r>
                      <w:fldChar w:fldCharType="begin"/>
                    </w:r>
                    <w:r>
                      <w:instrText xml:space="preserve"> PAGE  \* MERGEFORMAT </w:instrText>
                    </w:r>
                    <w:r>
                      <w:fldChar w:fldCharType="separate"/>
                    </w:r>
                    <w:r>
                      <w:t>175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line="200" w:lineRule="exact"/>
      <w:rPr>
        <w:sz w:val="20"/>
        <w:szCs w:val="20"/>
      </w:rPr>
    </w:pPr>
    <w:r>
      <w:rPr>
        <w:sz w:val="20"/>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6" name="文本框 1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JVoB8kzAgAAZQQAAA4AAAAAAAAAAQAgAAAAHwEAAGRycy9lMm9Eb2MueG1sUEsF&#10;BgAAAAAGAAYAWQEAAMQFAAAAAA==&#10;">
              <v:fill on="f" focussize="0,0"/>
              <v:stroke on="f" weight="0.5pt"/>
              <v:imagedata o:title=""/>
              <o:lock v:ext="edit" aspectratio="f"/>
              <v:textbox inset="0mm,0mm,0mm,0mm" style="mso-fit-shape-to-text:t;">
                <w:txbxContent>
                  <w:p>
                    <w:pPr>
                      <w:pStyle w:val="4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r>
      <w:rPr>
        <w:rFonts w:hint="eastAsia"/>
      </w:rPr>
      <w:t>湖南海丰物流有限公司湖南海丰物流老码头提质改造技改项目环境影响报告书</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r>
      <w:rPr>
        <w:rFonts w:hint="eastAsia"/>
      </w:rPr>
      <w:t>湖南海丰物流有限公司湖南海丰物流老码头提质改造技改项目环境影响报告书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r>
      <w:rPr>
        <w:rFonts w:hint="eastAsia"/>
      </w:rPr>
      <w:t>湖南海丰物流有限公司湖南海丰物流老码头提质改造技改项目环境影响报告书</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r>
      <w:rPr>
        <w:rFonts w:hint="eastAsia"/>
      </w:rPr>
      <w:t>湖南海丰物流有限公司湖南海丰物流老码头提质改造技改项目环境影响报告书</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0" w:line="200" w:lineRule="exact"/>
      <w:rPr>
        <w:sz w:val="20"/>
        <w:szCs w:val="20"/>
      </w:rPr>
    </w:pPr>
    <w:r>
      <mc:AlternateContent>
        <mc:Choice Requires="wpg">
          <w:drawing>
            <wp:anchor distT="0" distB="0" distL="114300" distR="114300" simplePos="0" relativeHeight="251660288" behindDoc="1" locked="0" layoutInCell="1" allowOverlap="1">
              <wp:simplePos x="0" y="0"/>
              <wp:positionH relativeFrom="page">
                <wp:posOffset>1143000</wp:posOffset>
              </wp:positionH>
              <wp:positionV relativeFrom="page">
                <wp:posOffset>622300</wp:posOffset>
              </wp:positionV>
              <wp:extent cx="5486400" cy="1270"/>
              <wp:effectExtent l="0" t="0" r="0" b="0"/>
              <wp:wrapNone/>
              <wp:docPr id="12" name="组合 12"/>
              <wp:cNvGraphicFramePr/>
              <a:graphic xmlns:a="http://schemas.openxmlformats.org/drawingml/2006/main">
                <a:graphicData uri="http://schemas.microsoft.com/office/word/2010/wordprocessingGroup">
                  <wpg:wgp>
                    <wpg:cNvGrpSpPr/>
                    <wpg:grpSpPr>
                      <a:xfrm>
                        <a:off x="0" y="0"/>
                        <a:ext cx="5486400" cy="1270"/>
                        <a:chOff x="1800" y="980"/>
                        <a:chExt cx="8640" cy="2"/>
                      </a:xfrm>
                      <a:effectLst/>
                    </wpg:grpSpPr>
                    <wps:wsp>
                      <wps:cNvPr id="27" name="任意多边形 2"/>
                      <wps:cNvSpPr/>
                      <wps:spPr>
                        <a:xfrm>
                          <a:off x="1800" y="980"/>
                          <a:ext cx="8640" cy="2"/>
                        </a:xfrm>
                        <a:custGeom>
                          <a:avLst/>
                          <a:gdLst/>
                          <a:ahLst/>
                          <a:cxnLst/>
                          <a:pathLst>
                            <a:path w="8640">
                              <a:moveTo>
                                <a:pt x="0" y="0"/>
                              </a:moveTo>
                              <a:lnTo>
                                <a:pt x="8640" y="0"/>
                              </a:lnTo>
                            </a:path>
                          </a:pathLst>
                        </a:custGeom>
                        <a:noFill/>
                        <a:ln w="10414" cap="flat" cmpd="sng">
                          <a:solidFill>
                            <a:srgbClr val="000000"/>
                          </a:solidFill>
                          <a:prstDash val="solid"/>
                          <a:headEnd type="none" w="med" len="med"/>
                          <a:tailEnd type="none" w="med" len="med"/>
                        </a:ln>
                        <a:effectLst/>
                      </wps:spPr>
                      <wps:bodyPr vert="horz" anchor="t" anchorCtr="0" upright="1"/>
                    </wps:wsp>
                  </wpg:wgp>
                </a:graphicData>
              </a:graphic>
            </wp:anchor>
          </w:drawing>
        </mc:Choice>
        <mc:Fallback>
          <w:pict>
            <v:group id="_x0000_s1026" o:spid="_x0000_s1026" o:spt="203" style="position:absolute;left:0pt;margin-left:90pt;margin-top:49pt;height:0.1pt;width:432pt;mso-position-horizontal-relative:page;mso-position-vertical-relative:page;z-index:-251656192;mso-width-relative:page;mso-height-relative:page;" coordorigin="1800,980" coordsize="8640,2" o:gfxdata="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">
              <o:lock v:ext="edit" aspectratio="f"/>
              <v:shape id="任意多边形 2" o:spid="_x0000_s1026" o:spt="100" style="position:absolute;left:1800;top:980;height:2;width:8640;" filled="f" stroked="t" coordsize="8640,1" o:gfxdata="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6ncGW8AAAA&#10;2wAAAA8AAAAAAAAAAQAgAAAAIgAAAGRycy9kb3ducmV2LnhtbFBLAQIUABQAAAAIAIdO4kAzLwWe&#10;OwAAADkAAAAQAAAAAAAAAAEAIAAAAAsBAABkcnMvc2hhcGV4bWwueG1sUEsFBgAAAAAGAAYAWwEA&#10;ALUDAAAAAA==&#10;" path="m0,0l8640,0e">
                <v:fill on="f" focussize="0,0"/>
                <v:stroke weight="0.82pt" color="#000000" joinstyle="round"/>
                <v:imagedata o:title=""/>
                <o:lock v:ext="edit" aspectratio="f"/>
              </v:shape>
            </v:group>
          </w:pict>
        </mc:Fallback>
      </mc:AlternateContent>
    </w:r>
    <w:r>
      <mc:AlternateContent>
        <mc:Choice Requires="wps">
          <w:drawing>
            <wp:anchor distT="0" distB="0" distL="114300" distR="114300" simplePos="0" relativeHeight="251660288" behindDoc="1" locked="0" layoutInCell="1" allowOverlap="1">
              <wp:simplePos x="0" y="0"/>
              <wp:positionH relativeFrom="page">
                <wp:posOffset>1643380</wp:posOffset>
              </wp:positionH>
              <wp:positionV relativeFrom="page">
                <wp:posOffset>461010</wp:posOffset>
              </wp:positionV>
              <wp:extent cx="4711700" cy="139700"/>
              <wp:effectExtent l="0" t="0" r="0" b="0"/>
              <wp:wrapNone/>
              <wp:docPr id="28" name="文本框 23"/>
              <wp:cNvGraphicFramePr/>
              <a:graphic xmlns:a="http://schemas.openxmlformats.org/drawingml/2006/main">
                <a:graphicData uri="http://schemas.microsoft.com/office/word/2010/wordprocessingShape">
                  <wps:wsp>
                    <wps:cNvSpPr txBox="1"/>
                    <wps:spPr>
                      <a:xfrm>
                        <a:off x="0" y="0"/>
                        <a:ext cx="4711700" cy="139700"/>
                      </a:xfrm>
                      <a:prstGeom prst="rect">
                        <a:avLst/>
                      </a:prstGeom>
                      <a:noFill/>
                      <a:ln>
                        <a:noFill/>
                      </a:ln>
                      <a:effectLst/>
                    </wps:spPr>
                    <wps:txbx>
                      <w:txbxContent>
                        <w:p>
                          <w:pPr>
                            <w:spacing w:before="0" w:line="200" w:lineRule="exact"/>
                            <w:ind w:left="20" w:right="0" w:firstLine="0"/>
                            <w:jc w:val="left"/>
                            <w:rPr>
                              <w:rFonts w:ascii="宋体" w:hAnsi="宋体" w:eastAsia="宋体" w:cs="宋体"/>
                              <w:sz w:val="18"/>
                              <w:szCs w:val="18"/>
                            </w:rPr>
                          </w:pPr>
                          <w:r>
                            <w:rPr>
                              <w:rFonts w:ascii="宋体" w:hAnsi="宋体" w:eastAsia="宋体" w:cs="宋体"/>
                              <w:sz w:val="18"/>
                              <w:szCs w:val="18"/>
                            </w:rPr>
                            <w:t>湖南海丰物流老码头提质改造技改工程对岳阳东洞庭湖江豚市级自然保护区影响专题论证报告</w:t>
                          </w:r>
                        </w:p>
                      </w:txbxContent>
                    </wps:txbx>
                    <wps:bodyPr vert="horz" lIns="0" tIns="0" rIns="0" bIns="0" anchor="t" anchorCtr="0" upright="1"/>
                  </wps:wsp>
                </a:graphicData>
              </a:graphic>
            </wp:anchor>
          </w:drawing>
        </mc:Choice>
        <mc:Fallback>
          <w:pict>
            <v:shape id="文本框 23" o:spid="_x0000_s1026" o:spt="202" type="#_x0000_t202" style="position:absolute;left:0pt;margin-left:129.4pt;margin-top:36.3pt;height:11pt;width:371pt;mso-position-horizontal-relative:page;mso-position-vertical-relative:page;z-index:-251656192;mso-width-relative:page;mso-height-relative:page;" filled="f" stroked="f" coordsize="21600,21600" o:gfxdata="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6CMV+dkAAAAKAQAADwAAAAAAAAABACAA&#10;AAAiAAAAZHJzL2Rvd25yZXYueG1sUEsBAhQAFAAAAAgAh07iQFCY/ZLTAQAApwMAAA4AAAAAAAAA&#10;AQAgAAAAKAEAAGRycy9lMm9Eb2MueG1sUEsFBgAAAAAGAAYAWQEAAG0FAAAAAA==&#10;">
              <v:fill on="f" focussize="0,0"/>
              <v:stroke on="f"/>
              <v:imagedata o:title=""/>
              <o:lock v:ext="edit" aspectratio="f"/>
              <v:textbox inset="0mm,0mm,0mm,0mm">
                <w:txbxContent>
                  <w:p>
                    <w:pPr>
                      <w:spacing w:before="0" w:line="200" w:lineRule="exact"/>
                      <w:ind w:left="20" w:right="0" w:firstLine="0"/>
                      <w:jc w:val="left"/>
                      <w:rPr>
                        <w:rFonts w:ascii="宋体" w:hAnsi="宋体" w:eastAsia="宋体" w:cs="宋体"/>
                        <w:sz w:val="18"/>
                        <w:szCs w:val="18"/>
                      </w:rPr>
                    </w:pPr>
                    <w:r>
                      <w:rPr>
                        <w:rFonts w:ascii="宋体" w:hAnsi="宋体" w:eastAsia="宋体" w:cs="宋体"/>
                        <w:sz w:val="18"/>
                        <w:szCs w:val="18"/>
                      </w:rPr>
                      <w:t>湖南海丰物流老码头提质改造技改工程对岳阳东洞庭湖江豚市级自然保护区影响专题论证报告</w:t>
                    </w:r>
                  </w:p>
                </w:txbxContent>
              </v:textbox>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r>
      <w:rPr>
        <w:rFonts w:hint="eastAsia"/>
      </w:rPr>
      <w:t>湖南海丰物流有限公司湖南海丰物流老码头提质改造技改项目环境影响报告书</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5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r>
      <w:rPr>
        <w:rFonts w:hint="eastAsia"/>
      </w:rPr>
      <w:t>湖南海丰物流有限公司湖南海丰物流老码头提质改造技改项目环境影响报告书</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r>
      <w:rPr>
        <w:rFonts w:hint="eastAsia"/>
      </w:rPr>
      <w:t>湖南海丰物流有限公司湖南海丰物流老码头提质改造技改项目环境影响报告书</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2"/>
    </w:pPr>
    <w:r>
      <w:rPr>
        <w:rFonts w:hint="eastAsia"/>
      </w:rPr>
      <w:t>湖南海丰物流有限公司湖南海丰物流老码头提质改造技改项目环境影响报告书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9DECBD9"/>
    <w:multiLevelType w:val="singleLevel"/>
    <w:tmpl w:val="D9DECBD9"/>
    <w:lvl w:ilvl="0" w:tentative="0">
      <w:start w:val="1"/>
      <w:numFmt w:val="decimal"/>
      <w:suff w:val="nothing"/>
      <w:lvlText w:val="（%1）"/>
      <w:lvlJc w:val="left"/>
    </w:lvl>
  </w:abstractNum>
  <w:abstractNum w:abstractNumId="1">
    <w:nsid w:val="FFFFFF89"/>
    <w:multiLevelType w:val="singleLevel"/>
    <w:tmpl w:val="FFFFFF89"/>
    <w:lvl w:ilvl="0" w:tentative="0">
      <w:start w:val="1"/>
      <w:numFmt w:val="bullet"/>
      <w:pStyle w:val="20"/>
      <w:lvlText w:val=""/>
      <w:lvlJc w:val="left"/>
      <w:pPr>
        <w:tabs>
          <w:tab w:val="left" w:pos="360"/>
        </w:tabs>
        <w:ind w:left="360" w:hanging="360"/>
      </w:pPr>
      <w:rPr>
        <w:rFonts w:hint="default" w:ascii="Wingdings" w:hAnsi="Wingdings"/>
      </w:rPr>
    </w:lvl>
  </w:abstractNum>
  <w:abstractNum w:abstractNumId="2">
    <w:nsid w:val="4F302902"/>
    <w:multiLevelType w:val="multilevel"/>
    <w:tmpl w:val="4F302902"/>
    <w:lvl w:ilvl="0" w:tentative="0">
      <w:start w:val="1"/>
      <w:numFmt w:val="none"/>
      <w:pStyle w:val="359"/>
      <w:lvlText w:val="表"/>
      <w:lvlJc w:val="left"/>
      <w:pPr>
        <w:tabs>
          <w:tab w:val="left" w:pos="360"/>
        </w:tabs>
        <w:ind w:left="0" w:firstLine="0"/>
      </w:pPr>
      <w:rPr>
        <w:rFonts w:hint="eastAsia" w:ascii="黑体" w:eastAsia="黑体"/>
        <w:b w:val="0"/>
        <w:i w:val="0"/>
        <w:sz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52FF3823"/>
    <w:multiLevelType w:val="multilevel"/>
    <w:tmpl w:val="52FF3823"/>
    <w:lvl w:ilvl="0" w:tentative="0">
      <w:start w:val="1"/>
      <w:numFmt w:val="decimal"/>
      <w:pStyle w:val="307"/>
      <w:lvlText w:val="%1"/>
      <w:lvlJc w:val="left"/>
      <w:pPr>
        <w:tabs>
          <w:tab w:val="left" w:pos="851"/>
        </w:tabs>
        <w:ind w:left="851" w:hanging="454"/>
      </w:pPr>
      <w:rPr>
        <w:rFonts w:hint="eastAsia"/>
      </w:rPr>
    </w:lvl>
    <w:lvl w:ilvl="1" w:tentative="0">
      <w:start w:val="1"/>
      <w:numFmt w:val="lowerLetter"/>
      <w:lvlText w:val="%2)"/>
      <w:lvlJc w:val="left"/>
      <w:pPr>
        <w:tabs>
          <w:tab w:val="left" w:pos="840"/>
        </w:tabs>
        <w:ind w:left="840" w:hanging="420"/>
      </w:pPr>
    </w:lvl>
    <w:lvl w:ilvl="2" w:tentative="0">
      <w:start w:val="1"/>
      <w:numFmt w:val="lowerRoman"/>
      <w:pStyle w:val="306"/>
      <w:lvlText w:val="%3."/>
      <w:lvlJc w:val="right"/>
      <w:pPr>
        <w:tabs>
          <w:tab w:val="left" w:pos="1260"/>
        </w:tabs>
        <w:ind w:left="1260" w:hanging="420"/>
      </w:pPr>
    </w:lvl>
    <w:lvl w:ilvl="3" w:tentative="0">
      <w:start w:val="1"/>
      <w:numFmt w:val="decimal"/>
      <w:pStyle w:val="305"/>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5CE87392"/>
    <w:multiLevelType w:val="singleLevel"/>
    <w:tmpl w:val="5CE87392"/>
    <w:lvl w:ilvl="0" w:tentative="0">
      <w:start w:val="1"/>
      <w:numFmt w:val="decimal"/>
      <w:pStyle w:val="309"/>
      <w:lvlText w:val="(%1)"/>
      <w:lvlJc w:val="left"/>
      <w:pPr>
        <w:tabs>
          <w:tab w:val="left" w:pos="851"/>
        </w:tabs>
        <w:ind w:left="851" w:hanging="454"/>
      </w:pPr>
      <w:rPr>
        <w:rFonts w:hint="eastAsia"/>
        <w:sz w:val="24"/>
        <w:szCs w:val="24"/>
      </w:rPr>
    </w:lvl>
  </w:abstractNum>
  <w:abstractNum w:abstractNumId="5">
    <w:nsid w:val="794D532E"/>
    <w:multiLevelType w:val="multilevel"/>
    <w:tmpl w:val="794D532E"/>
    <w:lvl w:ilvl="0" w:tentative="0">
      <w:start w:val="1"/>
      <w:numFmt w:val="decimal"/>
      <w:pStyle w:val="4"/>
      <w:lvlText w:val="%1"/>
      <w:lvlJc w:val="left"/>
      <w:pPr>
        <w:ind w:left="432" w:hanging="432"/>
      </w:pPr>
      <w:rPr>
        <w:rFonts w:hint="eastAsia"/>
      </w:rPr>
    </w:lvl>
    <w:lvl w:ilvl="1" w:tentative="0">
      <w:start w:val="1"/>
      <w:numFmt w:val="decimal"/>
      <w:pStyle w:val="5"/>
      <w:lvlText w:val="%1.%2"/>
      <w:lvlJc w:val="left"/>
      <w:pPr>
        <w:ind w:left="576" w:hanging="576"/>
      </w:pPr>
      <w:rPr>
        <w:rFonts w:hint="eastAsia"/>
      </w:rPr>
    </w:lvl>
    <w:lvl w:ilvl="2" w:tentative="0">
      <w:start w:val="1"/>
      <w:numFmt w:val="decimal"/>
      <w:pStyle w:val="6"/>
      <w:lvlText w:val="%1.%2.%3"/>
      <w:lvlJc w:val="left"/>
      <w:pPr>
        <w:ind w:left="720" w:hanging="720"/>
      </w:pPr>
      <w:rPr>
        <w:rFonts w:ascii="Times New Roman" w:hAnsi="Times New Roman"/>
        <w:b/>
        <w:bCs w:val="0"/>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pStyle w:val="7"/>
      <w:lvlText w:val="%1.%2.%3.%4"/>
      <w:lvlJc w:val="left"/>
      <w:pPr>
        <w:ind w:left="864" w:hanging="864"/>
      </w:pPr>
      <w:rPr>
        <w:b/>
        <w:bCs w:val="0"/>
        <w:i w:val="0"/>
        <w:iCs w:val="0"/>
        <w:caps w:val="0"/>
        <w:smallCaps w:val="0"/>
        <w:strike w:val="0"/>
        <w:dstrike w:val="0"/>
        <w:outline w:val="0"/>
        <w:shadow w:val="0"/>
        <w:emboss w:val="0"/>
        <w:imprint w:val="0"/>
        <w:vanish w:val="0"/>
        <w:spacing w:val="0"/>
        <w:position w:val="0"/>
        <w:u w:val="none"/>
        <w:vertAlign w:val="baseline"/>
      </w:rPr>
    </w:lvl>
    <w:lvl w:ilvl="4" w:tentative="0">
      <w:start w:val="1"/>
      <w:numFmt w:val="decimal"/>
      <w:pStyle w:val="8"/>
      <w:lvlText w:val="%1.%2.%3.%4.%5"/>
      <w:lvlJc w:val="left"/>
      <w:pPr>
        <w:ind w:left="1008" w:hanging="1008"/>
      </w:pPr>
      <w:rPr>
        <w:rFonts w:hint="eastAsia"/>
      </w:rPr>
    </w:lvl>
    <w:lvl w:ilvl="5" w:tentative="0">
      <w:start w:val="1"/>
      <w:numFmt w:val="decimal"/>
      <w:pStyle w:val="9"/>
      <w:lvlText w:val="%1.%2.%3.%4.%5.%6"/>
      <w:lvlJc w:val="left"/>
      <w:pPr>
        <w:ind w:left="1152" w:hanging="1152"/>
      </w:pPr>
      <w:rPr>
        <w:rFonts w:hint="eastAsia"/>
      </w:rPr>
    </w:lvl>
    <w:lvl w:ilvl="6" w:tentative="0">
      <w:start w:val="1"/>
      <w:numFmt w:val="decimal"/>
      <w:pStyle w:val="10"/>
      <w:lvlText w:val="%1.%2.%3.%4.%5.%6.%7"/>
      <w:lvlJc w:val="left"/>
      <w:pPr>
        <w:ind w:left="2005" w:hanging="1296"/>
      </w:pPr>
      <w:rPr>
        <w:rFonts w:hint="eastAsia"/>
      </w:rPr>
    </w:lvl>
    <w:lvl w:ilvl="7" w:tentative="0">
      <w:start w:val="1"/>
      <w:numFmt w:val="decimal"/>
      <w:pStyle w:val="11"/>
      <w:lvlText w:val="%1.%2.%3.%4.%5.%6.%7.%8"/>
      <w:lvlJc w:val="left"/>
      <w:pPr>
        <w:ind w:left="1440" w:hanging="1440"/>
      </w:pPr>
      <w:rPr>
        <w:rFonts w:hint="eastAsia"/>
      </w:rPr>
    </w:lvl>
    <w:lvl w:ilvl="8" w:tentative="0">
      <w:start w:val="1"/>
      <w:numFmt w:val="decimal"/>
      <w:pStyle w:val="12"/>
      <w:lvlText w:val="%1.%2.%3.%4.%5.%6.%7.%8.%9"/>
      <w:lvlJc w:val="left"/>
      <w:pPr>
        <w:ind w:left="1584" w:hanging="1584"/>
      </w:pPr>
      <w:rPr>
        <w:rFonts w:hint="eastAsia"/>
      </w:rPr>
    </w:lvl>
  </w:abstractNum>
  <w:num w:numId="1">
    <w:abstractNumId w:val="5"/>
  </w:num>
  <w:num w:numId="2">
    <w:abstractNumId w:val="1"/>
  </w:num>
  <w:num w:numId="3">
    <w:abstractNumId w:val="3"/>
  </w:num>
  <w:num w:numId="4">
    <w:abstractNumId w:val="4"/>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2"/>
  <w:mirrorMargins w:val="1"/>
  <w:bordersDoNotSurroundHeader w:val="0"/>
  <w:bordersDoNotSurroundFooter w:val="0"/>
  <w:hideSpellingErrors/>
  <w:hideGrammaticalErrors/>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kwODIwOWJmNmZjODE0MjZjNWZmMDhkNzE2ZmQ5YmYifQ=="/>
  </w:docVars>
  <w:rsids>
    <w:rsidRoot w:val="00172A27"/>
    <w:rsid w:val="000021EA"/>
    <w:rsid w:val="0000238B"/>
    <w:rsid w:val="00002818"/>
    <w:rsid w:val="0000427C"/>
    <w:rsid w:val="00005873"/>
    <w:rsid w:val="00005914"/>
    <w:rsid w:val="00007365"/>
    <w:rsid w:val="0000741E"/>
    <w:rsid w:val="00010FAB"/>
    <w:rsid w:val="00011E94"/>
    <w:rsid w:val="000124E4"/>
    <w:rsid w:val="00012C63"/>
    <w:rsid w:val="000133AA"/>
    <w:rsid w:val="000134C6"/>
    <w:rsid w:val="00013D13"/>
    <w:rsid w:val="000146B7"/>
    <w:rsid w:val="00014EE2"/>
    <w:rsid w:val="0001677D"/>
    <w:rsid w:val="0001679D"/>
    <w:rsid w:val="00017FAB"/>
    <w:rsid w:val="00022929"/>
    <w:rsid w:val="0002520F"/>
    <w:rsid w:val="00025AE4"/>
    <w:rsid w:val="000269B1"/>
    <w:rsid w:val="00026BC7"/>
    <w:rsid w:val="0003066E"/>
    <w:rsid w:val="00030799"/>
    <w:rsid w:val="000334CE"/>
    <w:rsid w:val="00033DD6"/>
    <w:rsid w:val="00034989"/>
    <w:rsid w:val="00034FBC"/>
    <w:rsid w:val="00037E7D"/>
    <w:rsid w:val="00041173"/>
    <w:rsid w:val="0004502B"/>
    <w:rsid w:val="00045AC1"/>
    <w:rsid w:val="0004637A"/>
    <w:rsid w:val="000501F9"/>
    <w:rsid w:val="00051622"/>
    <w:rsid w:val="00053AC7"/>
    <w:rsid w:val="00055818"/>
    <w:rsid w:val="00055F61"/>
    <w:rsid w:val="00057865"/>
    <w:rsid w:val="00057BFF"/>
    <w:rsid w:val="00057F31"/>
    <w:rsid w:val="00060621"/>
    <w:rsid w:val="000608DC"/>
    <w:rsid w:val="0006192F"/>
    <w:rsid w:val="000654DD"/>
    <w:rsid w:val="000656F8"/>
    <w:rsid w:val="00067934"/>
    <w:rsid w:val="000728AF"/>
    <w:rsid w:val="00073473"/>
    <w:rsid w:val="00075285"/>
    <w:rsid w:val="00076086"/>
    <w:rsid w:val="000768E5"/>
    <w:rsid w:val="0008020F"/>
    <w:rsid w:val="00081F6D"/>
    <w:rsid w:val="00082134"/>
    <w:rsid w:val="00082474"/>
    <w:rsid w:val="0008387C"/>
    <w:rsid w:val="00084069"/>
    <w:rsid w:val="00084315"/>
    <w:rsid w:val="00090250"/>
    <w:rsid w:val="00090DB1"/>
    <w:rsid w:val="000922A3"/>
    <w:rsid w:val="00092562"/>
    <w:rsid w:val="00093879"/>
    <w:rsid w:val="00093DFE"/>
    <w:rsid w:val="0009456E"/>
    <w:rsid w:val="000965FD"/>
    <w:rsid w:val="000A2542"/>
    <w:rsid w:val="000A2592"/>
    <w:rsid w:val="000A2C0C"/>
    <w:rsid w:val="000A4609"/>
    <w:rsid w:val="000A4C37"/>
    <w:rsid w:val="000A506F"/>
    <w:rsid w:val="000A5861"/>
    <w:rsid w:val="000A7766"/>
    <w:rsid w:val="000B04AA"/>
    <w:rsid w:val="000B06E7"/>
    <w:rsid w:val="000B1F82"/>
    <w:rsid w:val="000B23B8"/>
    <w:rsid w:val="000B452D"/>
    <w:rsid w:val="000B4ACB"/>
    <w:rsid w:val="000B54B0"/>
    <w:rsid w:val="000B5F31"/>
    <w:rsid w:val="000B76EB"/>
    <w:rsid w:val="000B7FC4"/>
    <w:rsid w:val="000C1684"/>
    <w:rsid w:val="000C1887"/>
    <w:rsid w:val="000C1AE7"/>
    <w:rsid w:val="000C47C9"/>
    <w:rsid w:val="000C5554"/>
    <w:rsid w:val="000C61EF"/>
    <w:rsid w:val="000C6BD5"/>
    <w:rsid w:val="000C77AC"/>
    <w:rsid w:val="000D1D10"/>
    <w:rsid w:val="000D222C"/>
    <w:rsid w:val="000D2962"/>
    <w:rsid w:val="000D2EF7"/>
    <w:rsid w:val="000D657F"/>
    <w:rsid w:val="000E191E"/>
    <w:rsid w:val="000E25FB"/>
    <w:rsid w:val="000E436D"/>
    <w:rsid w:val="000E43E8"/>
    <w:rsid w:val="000E548C"/>
    <w:rsid w:val="000E5890"/>
    <w:rsid w:val="000E6B9D"/>
    <w:rsid w:val="000F312C"/>
    <w:rsid w:val="000F314C"/>
    <w:rsid w:val="000F74E8"/>
    <w:rsid w:val="00102BF2"/>
    <w:rsid w:val="00103FA6"/>
    <w:rsid w:val="0010420A"/>
    <w:rsid w:val="0010452D"/>
    <w:rsid w:val="00104E7E"/>
    <w:rsid w:val="00105131"/>
    <w:rsid w:val="00105CDE"/>
    <w:rsid w:val="0010718C"/>
    <w:rsid w:val="001111C2"/>
    <w:rsid w:val="00111476"/>
    <w:rsid w:val="001147D4"/>
    <w:rsid w:val="00114B89"/>
    <w:rsid w:val="001160A9"/>
    <w:rsid w:val="001162B3"/>
    <w:rsid w:val="0011635A"/>
    <w:rsid w:val="001170F3"/>
    <w:rsid w:val="0012007B"/>
    <w:rsid w:val="0012138E"/>
    <w:rsid w:val="0012285E"/>
    <w:rsid w:val="00122A92"/>
    <w:rsid w:val="001239C5"/>
    <w:rsid w:val="0012665B"/>
    <w:rsid w:val="00126B72"/>
    <w:rsid w:val="00130E7C"/>
    <w:rsid w:val="00131558"/>
    <w:rsid w:val="001322CD"/>
    <w:rsid w:val="00132EF5"/>
    <w:rsid w:val="00133394"/>
    <w:rsid w:val="00134332"/>
    <w:rsid w:val="00136650"/>
    <w:rsid w:val="0013694D"/>
    <w:rsid w:val="00136F80"/>
    <w:rsid w:val="001371BB"/>
    <w:rsid w:val="001373D2"/>
    <w:rsid w:val="00137F4F"/>
    <w:rsid w:val="00140AFA"/>
    <w:rsid w:val="00141286"/>
    <w:rsid w:val="00141F40"/>
    <w:rsid w:val="00143DBF"/>
    <w:rsid w:val="00144A25"/>
    <w:rsid w:val="00145769"/>
    <w:rsid w:val="0014591C"/>
    <w:rsid w:val="001459A3"/>
    <w:rsid w:val="00146855"/>
    <w:rsid w:val="001478ED"/>
    <w:rsid w:val="00151EE4"/>
    <w:rsid w:val="001522EC"/>
    <w:rsid w:val="001539D8"/>
    <w:rsid w:val="00154D6B"/>
    <w:rsid w:val="00157C8D"/>
    <w:rsid w:val="0016049A"/>
    <w:rsid w:val="00162F8B"/>
    <w:rsid w:val="001656A7"/>
    <w:rsid w:val="00165D83"/>
    <w:rsid w:val="00166128"/>
    <w:rsid w:val="0016756B"/>
    <w:rsid w:val="00170C8E"/>
    <w:rsid w:val="00170FAA"/>
    <w:rsid w:val="00171DA2"/>
    <w:rsid w:val="001726E4"/>
    <w:rsid w:val="00172A27"/>
    <w:rsid w:val="0017341C"/>
    <w:rsid w:val="001735D5"/>
    <w:rsid w:val="00173744"/>
    <w:rsid w:val="00174508"/>
    <w:rsid w:val="00175AE9"/>
    <w:rsid w:val="00175BE8"/>
    <w:rsid w:val="00176CD0"/>
    <w:rsid w:val="0018137B"/>
    <w:rsid w:val="0018213F"/>
    <w:rsid w:val="00183FA7"/>
    <w:rsid w:val="001865D0"/>
    <w:rsid w:val="00187089"/>
    <w:rsid w:val="00192DEE"/>
    <w:rsid w:val="00194814"/>
    <w:rsid w:val="001A1307"/>
    <w:rsid w:val="001A403F"/>
    <w:rsid w:val="001A4B9A"/>
    <w:rsid w:val="001A5CDF"/>
    <w:rsid w:val="001A65E0"/>
    <w:rsid w:val="001B0233"/>
    <w:rsid w:val="001B2EC0"/>
    <w:rsid w:val="001B4B9C"/>
    <w:rsid w:val="001B740C"/>
    <w:rsid w:val="001B7F1D"/>
    <w:rsid w:val="001C142C"/>
    <w:rsid w:val="001C17D7"/>
    <w:rsid w:val="001C33A1"/>
    <w:rsid w:val="001C4237"/>
    <w:rsid w:val="001C4C77"/>
    <w:rsid w:val="001C4E35"/>
    <w:rsid w:val="001C5001"/>
    <w:rsid w:val="001C569B"/>
    <w:rsid w:val="001C625D"/>
    <w:rsid w:val="001C788E"/>
    <w:rsid w:val="001D4762"/>
    <w:rsid w:val="001D47CB"/>
    <w:rsid w:val="001D5A74"/>
    <w:rsid w:val="001D5B2B"/>
    <w:rsid w:val="001D7C28"/>
    <w:rsid w:val="001E065D"/>
    <w:rsid w:val="001E1632"/>
    <w:rsid w:val="001E30CF"/>
    <w:rsid w:val="001E5096"/>
    <w:rsid w:val="001E5D0A"/>
    <w:rsid w:val="001E5DFB"/>
    <w:rsid w:val="001E65A9"/>
    <w:rsid w:val="001E74E1"/>
    <w:rsid w:val="001F1973"/>
    <w:rsid w:val="001F1989"/>
    <w:rsid w:val="001F202C"/>
    <w:rsid w:val="001F28BB"/>
    <w:rsid w:val="001F30C3"/>
    <w:rsid w:val="001F3E82"/>
    <w:rsid w:val="001F5764"/>
    <w:rsid w:val="001F67D6"/>
    <w:rsid w:val="001F68B7"/>
    <w:rsid w:val="00200F99"/>
    <w:rsid w:val="002029B5"/>
    <w:rsid w:val="00204AA6"/>
    <w:rsid w:val="00204E20"/>
    <w:rsid w:val="0020580A"/>
    <w:rsid w:val="00206A8F"/>
    <w:rsid w:val="00206EF5"/>
    <w:rsid w:val="00210424"/>
    <w:rsid w:val="00211F17"/>
    <w:rsid w:val="00212634"/>
    <w:rsid w:val="00213F38"/>
    <w:rsid w:val="00215834"/>
    <w:rsid w:val="00216437"/>
    <w:rsid w:val="00216BA3"/>
    <w:rsid w:val="00217989"/>
    <w:rsid w:val="00220EAF"/>
    <w:rsid w:val="0022181A"/>
    <w:rsid w:val="002239AD"/>
    <w:rsid w:val="002241B8"/>
    <w:rsid w:val="002244C4"/>
    <w:rsid w:val="00231049"/>
    <w:rsid w:val="00233188"/>
    <w:rsid w:val="00233A91"/>
    <w:rsid w:val="00234C8F"/>
    <w:rsid w:val="00235CB0"/>
    <w:rsid w:val="00236BB6"/>
    <w:rsid w:val="00236CC9"/>
    <w:rsid w:val="00240586"/>
    <w:rsid w:val="00241926"/>
    <w:rsid w:val="002428B7"/>
    <w:rsid w:val="00242E5C"/>
    <w:rsid w:val="002441C4"/>
    <w:rsid w:val="00246833"/>
    <w:rsid w:val="002503DA"/>
    <w:rsid w:val="002504D0"/>
    <w:rsid w:val="002504D2"/>
    <w:rsid w:val="002513C5"/>
    <w:rsid w:val="00251E19"/>
    <w:rsid w:val="00253E75"/>
    <w:rsid w:val="00254056"/>
    <w:rsid w:val="00254284"/>
    <w:rsid w:val="002553D7"/>
    <w:rsid w:val="002572AF"/>
    <w:rsid w:val="00260506"/>
    <w:rsid w:val="00261966"/>
    <w:rsid w:val="00262D9E"/>
    <w:rsid w:val="00264AA4"/>
    <w:rsid w:val="00265547"/>
    <w:rsid w:val="00265549"/>
    <w:rsid w:val="00270694"/>
    <w:rsid w:val="00270EF3"/>
    <w:rsid w:val="002731D3"/>
    <w:rsid w:val="002732EA"/>
    <w:rsid w:val="00273A2B"/>
    <w:rsid w:val="0027783C"/>
    <w:rsid w:val="00280ED4"/>
    <w:rsid w:val="002811DB"/>
    <w:rsid w:val="002821FC"/>
    <w:rsid w:val="00282663"/>
    <w:rsid w:val="00287832"/>
    <w:rsid w:val="00291056"/>
    <w:rsid w:val="00292D2B"/>
    <w:rsid w:val="00293D72"/>
    <w:rsid w:val="0029488A"/>
    <w:rsid w:val="002965CB"/>
    <w:rsid w:val="00296C0B"/>
    <w:rsid w:val="002974EB"/>
    <w:rsid w:val="002A0C1E"/>
    <w:rsid w:val="002A2B70"/>
    <w:rsid w:val="002A5815"/>
    <w:rsid w:val="002B148D"/>
    <w:rsid w:val="002B1977"/>
    <w:rsid w:val="002B3819"/>
    <w:rsid w:val="002B4433"/>
    <w:rsid w:val="002B5B56"/>
    <w:rsid w:val="002B75D6"/>
    <w:rsid w:val="002C0089"/>
    <w:rsid w:val="002C0A6B"/>
    <w:rsid w:val="002C11A7"/>
    <w:rsid w:val="002C1D2E"/>
    <w:rsid w:val="002C2096"/>
    <w:rsid w:val="002C2D59"/>
    <w:rsid w:val="002C3B16"/>
    <w:rsid w:val="002C4A6C"/>
    <w:rsid w:val="002C556A"/>
    <w:rsid w:val="002C5685"/>
    <w:rsid w:val="002C67E1"/>
    <w:rsid w:val="002D081D"/>
    <w:rsid w:val="002D173D"/>
    <w:rsid w:val="002D20E8"/>
    <w:rsid w:val="002D2C29"/>
    <w:rsid w:val="002D57FD"/>
    <w:rsid w:val="002E19E4"/>
    <w:rsid w:val="002E1C52"/>
    <w:rsid w:val="002E43E8"/>
    <w:rsid w:val="002E473D"/>
    <w:rsid w:val="002E521B"/>
    <w:rsid w:val="002F2E8D"/>
    <w:rsid w:val="002F38E6"/>
    <w:rsid w:val="002F5F31"/>
    <w:rsid w:val="002F72FB"/>
    <w:rsid w:val="003030AA"/>
    <w:rsid w:val="0030362D"/>
    <w:rsid w:val="003041AB"/>
    <w:rsid w:val="0030494E"/>
    <w:rsid w:val="003049E8"/>
    <w:rsid w:val="0030513B"/>
    <w:rsid w:val="00305FB6"/>
    <w:rsid w:val="003072A4"/>
    <w:rsid w:val="0031121E"/>
    <w:rsid w:val="00311B40"/>
    <w:rsid w:val="00311E9F"/>
    <w:rsid w:val="00314C04"/>
    <w:rsid w:val="0031537D"/>
    <w:rsid w:val="003161C8"/>
    <w:rsid w:val="0031633D"/>
    <w:rsid w:val="00316FA1"/>
    <w:rsid w:val="00317F0D"/>
    <w:rsid w:val="00320770"/>
    <w:rsid w:val="003213B6"/>
    <w:rsid w:val="003241A1"/>
    <w:rsid w:val="003241E9"/>
    <w:rsid w:val="00326448"/>
    <w:rsid w:val="00326CEE"/>
    <w:rsid w:val="00331EAF"/>
    <w:rsid w:val="00332D1D"/>
    <w:rsid w:val="003331CC"/>
    <w:rsid w:val="003345D8"/>
    <w:rsid w:val="003403D5"/>
    <w:rsid w:val="00341FBE"/>
    <w:rsid w:val="00343592"/>
    <w:rsid w:val="003435C6"/>
    <w:rsid w:val="00343D40"/>
    <w:rsid w:val="0034483E"/>
    <w:rsid w:val="00344D49"/>
    <w:rsid w:val="003450C4"/>
    <w:rsid w:val="00346C2A"/>
    <w:rsid w:val="0035008E"/>
    <w:rsid w:val="00353F09"/>
    <w:rsid w:val="0035409F"/>
    <w:rsid w:val="0035433C"/>
    <w:rsid w:val="00354F52"/>
    <w:rsid w:val="0035541C"/>
    <w:rsid w:val="00355FC1"/>
    <w:rsid w:val="003563AB"/>
    <w:rsid w:val="003578E5"/>
    <w:rsid w:val="00357DB8"/>
    <w:rsid w:val="003606B6"/>
    <w:rsid w:val="00360C31"/>
    <w:rsid w:val="0036280F"/>
    <w:rsid w:val="00362BEB"/>
    <w:rsid w:val="003643C9"/>
    <w:rsid w:val="0036790E"/>
    <w:rsid w:val="00370352"/>
    <w:rsid w:val="003731CC"/>
    <w:rsid w:val="003751AE"/>
    <w:rsid w:val="00375607"/>
    <w:rsid w:val="003812FF"/>
    <w:rsid w:val="00381919"/>
    <w:rsid w:val="0038241A"/>
    <w:rsid w:val="00384AF9"/>
    <w:rsid w:val="00385146"/>
    <w:rsid w:val="00385907"/>
    <w:rsid w:val="00385F6D"/>
    <w:rsid w:val="00390395"/>
    <w:rsid w:val="00390DF6"/>
    <w:rsid w:val="0039318B"/>
    <w:rsid w:val="003936E2"/>
    <w:rsid w:val="00393DCD"/>
    <w:rsid w:val="00393F97"/>
    <w:rsid w:val="003961F3"/>
    <w:rsid w:val="00396DAE"/>
    <w:rsid w:val="003A1036"/>
    <w:rsid w:val="003A21BD"/>
    <w:rsid w:val="003A2F4F"/>
    <w:rsid w:val="003A54EE"/>
    <w:rsid w:val="003B4B84"/>
    <w:rsid w:val="003C1DFA"/>
    <w:rsid w:val="003C3CBB"/>
    <w:rsid w:val="003C4746"/>
    <w:rsid w:val="003C62BF"/>
    <w:rsid w:val="003C66BA"/>
    <w:rsid w:val="003C6DD3"/>
    <w:rsid w:val="003D18D4"/>
    <w:rsid w:val="003D1EC9"/>
    <w:rsid w:val="003D1FBC"/>
    <w:rsid w:val="003D5249"/>
    <w:rsid w:val="003D55D9"/>
    <w:rsid w:val="003D6D72"/>
    <w:rsid w:val="003E0BC3"/>
    <w:rsid w:val="003E11BB"/>
    <w:rsid w:val="003E1726"/>
    <w:rsid w:val="003E6702"/>
    <w:rsid w:val="003E70EE"/>
    <w:rsid w:val="003F029F"/>
    <w:rsid w:val="003F0D9E"/>
    <w:rsid w:val="003F2857"/>
    <w:rsid w:val="003F5910"/>
    <w:rsid w:val="003F5EAA"/>
    <w:rsid w:val="003F6850"/>
    <w:rsid w:val="003F7199"/>
    <w:rsid w:val="003F7DFA"/>
    <w:rsid w:val="0040302C"/>
    <w:rsid w:val="0040398B"/>
    <w:rsid w:val="00404251"/>
    <w:rsid w:val="00405241"/>
    <w:rsid w:val="004052CF"/>
    <w:rsid w:val="00406C38"/>
    <w:rsid w:val="004108FF"/>
    <w:rsid w:val="004116DA"/>
    <w:rsid w:val="004135F3"/>
    <w:rsid w:val="0041482C"/>
    <w:rsid w:val="004159B5"/>
    <w:rsid w:val="00416225"/>
    <w:rsid w:val="00416B3E"/>
    <w:rsid w:val="0041734D"/>
    <w:rsid w:val="00417FEF"/>
    <w:rsid w:val="004205CF"/>
    <w:rsid w:val="00420632"/>
    <w:rsid w:val="00420EA1"/>
    <w:rsid w:val="004219E1"/>
    <w:rsid w:val="00421AF0"/>
    <w:rsid w:val="004224B5"/>
    <w:rsid w:val="00422A39"/>
    <w:rsid w:val="00423ED4"/>
    <w:rsid w:val="00424676"/>
    <w:rsid w:val="00425698"/>
    <w:rsid w:val="0042761D"/>
    <w:rsid w:val="00431738"/>
    <w:rsid w:val="0043499D"/>
    <w:rsid w:val="0043755B"/>
    <w:rsid w:val="004414CE"/>
    <w:rsid w:val="0044254E"/>
    <w:rsid w:val="00442C77"/>
    <w:rsid w:val="00446458"/>
    <w:rsid w:val="00446C82"/>
    <w:rsid w:val="00447649"/>
    <w:rsid w:val="00450CE1"/>
    <w:rsid w:val="00450FBB"/>
    <w:rsid w:val="0045142A"/>
    <w:rsid w:val="00451AB0"/>
    <w:rsid w:val="00451EA1"/>
    <w:rsid w:val="00451EDD"/>
    <w:rsid w:val="0045250D"/>
    <w:rsid w:val="00452E6A"/>
    <w:rsid w:val="0045313A"/>
    <w:rsid w:val="00453E0F"/>
    <w:rsid w:val="004557EE"/>
    <w:rsid w:val="00455BEE"/>
    <w:rsid w:val="00455F73"/>
    <w:rsid w:val="004561D2"/>
    <w:rsid w:val="0045729A"/>
    <w:rsid w:val="004573B2"/>
    <w:rsid w:val="0045740E"/>
    <w:rsid w:val="00457996"/>
    <w:rsid w:val="00460BCA"/>
    <w:rsid w:val="00466178"/>
    <w:rsid w:val="0046672A"/>
    <w:rsid w:val="00467BC8"/>
    <w:rsid w:val="00471AF2"/>
    <w:rsid w:val="00472327"/>
    <w:rsid w:val="00473100"/>
    <w:rsid w:val="004742AB"/>
    <w:rsid w:val="0047475E"/>
    <w:rsid w:val="004753FE"/>
    <w:rsid w:val="0047540A"/>
    <w:rsid w:val="004775EE"/>
    <w:rsid w:val="004814EA"/>
    <w:rsid w:val="00481BDF"/>
    <w:rsid w:val="00481ED2"/>
    <w:rsid w:val="00482CA9"/>
    <w:rsid w:val="0048317C"/>
    <w:rsid w:val="004839C4"/>
    <w:rsid w:val="00483DA8"/>
    <w:rsid w:val="00486010"/>
    <w:rsid w:val="00486031"/>
    <w:rsid w:val="004871A5"/>
    <w:rsid w:val="004871C3"/>
    <w:rsid w:val="00490B98"/>
    <w:rsid w:val="004910DB"/>
    <w:rsid w:val="00493619"/>
    <w:rsid w:val="00493D2D"/>
    <w:rsid w:val="0049524C"/>
    <w:rsid w:val="00496136"/>
    <w:rsid w:val="00497902"/>
    <w:rsid w:val="004A148E"/>
    <w:rsid w:val="004A2D44"/>
    <w:rsid w:val="004A452D"/>
    <w:rsid w:val="004A4774"/>
    <w:rsid w:val="004A4F74"/>
    <w:rsid w:val="004A52CE"/>
    <w:rsid w:val="004A5ECA"/>
    <w:rsid w:val="004A7E27"/>
    <w:rsid w:val="004B01E5"/>
    <w:rsid w:val="004B0ADA"/>
    <w:rsid w:val="004B2896"/>
    <w:rsid w:val="004B2ED9"/>
    <w:rsid w:val="004B34FF"/>
    <w:rsid w:val="004B45EB"/>
    <w:rsid w:val="004B58E1"/>
    <w:rsid w:val="004B6748"/>
    <w:rsid w:val="004B7203"/>
    <w:rsid w:val="004C047A"/>
    <w:rsid w:val="004C0618"/>
    <w:rsid w:val="004D0027"/>
    <w:rsid w:val="004D0DC3"/>
    <w:rsid w:val="004D0EF6"/>
    <w:rsid w:val="004D162B"/>
    <w:rsid w:val="004D1893"/>
    <w:rsid w:val="004D24A6"/>
    <w:rsid w:val="004D2BBC"/>
    <w:rsid w:val="004D37CD"/>
    <w:rsid w:val="004E2A19"/>
    <w:rsid w:val="004E2BFF"/>
    <w:rsid w:val="004E3EE1"/>
    <w:rsid w:val="004E3F4B"/>
    <w:rsid w:val="004E45DA"/>
    <w:rsid w:val="004E46C3"/>
    <w:rsid w:val="004E4C6A"/>
    <w:rsid w:val="004E5A0A"/>
    <w:rsid w:val="004E68F2"/>
    <w:rsid w:val="004E783F"/>
    <w:rsid w:val="004E7B60"/>
    <w:rsid w:val="004F13E6"/>
    <w:rsid w:val="004F24C2"/>
    <w:rsid w:val="004F4CDC"/>
    <w:rsid w:val="004F5771"/>
    <w:rsid w:val="004F59A8"/>
    <w:rsid w:val="004F5BF3"/>
    <w:rsid w:val="004F6A2E"/>
    <w:rsid w:val="005008E7"/>
    <w:rsid w:val="00501597"/>
    <w:rsid w:val="00501AEB"/>
    <w:rsid w:val="005030C9"/>
    <w:rsid w:val="00504C64"/>
    <w:rsid w:val="00511CB4"/>
    <w:rsid w:val="0051264C"/>
    <w:rsid w:val="00512CB9"/>
    <w:rsid w:val="00512F78"/>
    <w:rsid w:val="0051306F"/>
    <w:rsid w:val="00517AF6"/>
    <w:rsid w:val="005205AE"/>
    <w:rsid w:val="0052160A"/>
    <w:rsid w:val="00522F46"/>
    <w:rsid w:val="00524359"/>
    <w:rsid w:val="00525CF1"/>
    <w:rsid w:val="00531A11"/>
    <w:rsid w:val="00532AC1"/>
    <w:rsid w:val="005343C7"/>
    <w:rsid w:val="005365D0"/>
    <w:rsid w:val="0053759F"/>
    <w:rsid w:val="005376D9"/>
    <w:rsid w:val="00540EF6"/>
    <w:rsid w:val="0054105C"/>
    <w:rsid w:val="005426B7"/>
    <w:rsid w:val="00542A5B"/>
    <w:rsid w:val="00543BBE"/>
    <w:rsid w:val="00545019"/>
    <w:rsid w:val="005453CD"/>
    <w:rsid w:val="00546C90"/>
    <w:rsid w:val="005510DF"/>
    <w:rsid w:val="0055146F"/>
    <w:rsid w:val="00553C37"/>
    <w:rsid w:val="005562F9"/>
    <w:rsid w:val="0055725B"/>
    <w:rsid w:val="005573DE"/>
    <w:rsid w:val="00562C78"/>
    <w:rsid w:val="00564216"/>
    <w:rsid w:val="00564C65"/>
    <w:rsid w:val="00565339"/>
    <w:rsid w:val="005657F7"/>
    <w:rsid w:val="0056737C"/>
    <w:rsid w:val="00571D29"/>
    <w:rsid w:val="00571D89"/>
    <w:rsid w:val="00573230"/>
    <w:rsid w:val="00574C55"/>
    <w:rsid w:val="0057590E"/>
    <w:rsid w:val="00582E64"/>
    <w:rsid w:val="0058371B"/>
    <w:rsid w:val="00584572"/>
    <w:rsid w:val="00584CE2"/>
    <w:rsid w:val="00585313"/>
    <w:rsid w:val="005866B7"/>
    <w:rsid w:val="00586740"/>
    <w:rsid w:val="00586925"/>
    <w:rsid w:val="00587EA9"/>
    <w:rsid w:val="00594004"/>
    <w:rsid w:val="00594AEC"/>
    <w:rsid w:val="005971F5"/>
    <w:rsid w:val="005A421C"/>
    <w:rsid w:val="005A571F"/>
    <w:rsid w:val="005A71C4"/>
    <w:rsid w:val="005B12E6"/>
    <w:rsid w:val="005B2A4F"/>
    <w:rsid w:val="005B2C55"/>
    <w:rsid w:val="005B3437"/>
    <w:rsid w:val="005B40EF"/>
    <w:rsid w:val="005C0A65"/>
    <w:rsid w:val="005C0F02"/>
    <w:rsid w:val="005C2DAF"/>
    <w:rsid w:val="005C5A24"/>
    <w:rsid w:val="005C7BDB"/>
    <w:rsid w:val="005D034F"/>
    <w:rsid w:val="005D251A"/>
    <w:rsid w:val="005D2702"/>
    <w:rsid w:val="005D278B"/>
    <w:rsid w:val="005D374B"/>
    <w:rsid w:val="005D41EC"/>
    <w:rsid w:val="005D64C1"/>
    <w:rsid w:val="005E1AE7"/>
    <w:rsid w:val="005E2732"/>
    <w:rsid w:val="005E3744"/>
    <w:rsid w:val="005E41DE"/>
    <w:rsid w:val="005F167D"/>
    <w:rsid w:val="005F1960"/>
    <w:rsid w:val="005F29CF"/>
    <w:rsid w:val="005F3013"/>
    <w:rsid w:val="005F41D4"/>
    <w:rsid w:val="005F4B38"/>
    <w:rsid w:val="005F5C35"/>
    <w:rsid w:val="005F764B"/>
    <w:rsid w:val="00600308"/>
    <w:rsid w:val="00600ECF"/>
    <w:rsid w:val="00601273"/>
    <w:rsid w:val="00601E20"/>
    <w:rsid w:val="006021E4"/>
    <w:rsid w:val="00602903"/>
    <w:rsid w:val="0060636A"/>
    <w:rsid w:val="00606B92"/>
    <w:rsid w:val="006122A8"/>
    <w:rsid w:val="00613257"/>
    <w:rsid w:val="0061432A"/>
    <w:rsid w:val="006160FB"/>
    <w:rsid w:val="006163FD"/>
    <w:rsid w:val="00617D8F"/>
    <w:rsid w:val="006203E3"/>
    <w:rsid w:val="006208E7"/>
    <w:rsid w:val="0062347A"/>
    <w:rsid w:val="00623733"/>
    <w:rsid w:val="00626BF9"/>
    <w:rsid w:val="00626D59"/>
    <w:rsid w:val="0062727B"/>
    <w:rsid w:val="00631900"/>
    <w:rsid w:val="00633AAF"/>
    <w:rsid w:val="006348D7"/>
    <w:rsid w:val="0063551B"/>
    <w:rsid w:val="006366ED"/>
    <w:rsid w:val="00636C89"/>
    <w:rsid w:val="00640467"/>
    <w:rsid w:val="0064063B"/>
    <w:rsid w:val="00641B62"/>
    <w:rsid w:val="00641D17"/>
    <w:rsid w:val="00641F19"/>
    <w:rsid w:val="00643C9F"/>
    <w:rsid w:val="00643DFE"/>
    <w:rsid w:val="006456BC"/>
    <w:rsid w:val="00646716"/>
    <w:rsid w:val="006532F2"/>
    <w:rsid w:val="00653A8F"/>
    <w:rsid w:val="0065555C"/>
    <w:rsid w:val="00657B69"/>
    <w:rsid w:val="006608F1"/>
    <w:rsid w:val="00663EBF"/>
    <w:rsid w:val="00664611"/>
    <w:rsid w:val="006700CA"/>
    <w:rsid w:val="006702E6"/>
    <w:rsid w:val="006716A4"/>
    <w:rsid w:val="00673031"/>
    <w:rsid w:val="00674039"/>
    <w:rsid w:val="00676067"/>
    <w:rsid w:val="006761BE"/>
    <w:rsid w:val="00676411"/>
    <w:rsid w:val="00677B50"/>
    <w:rsid w:val="00681527"/>
    <w:rsid w:val="00682804"/>
    <w:rsid w:val="006833F2"/>
    <w:rsid w:val="00684D7A"/>
    <w:rsid w:val="00687055"/>
    <w:rsid w:val="00690155"/>
    <w:rsid w:val="0069017F"/>
    <w:rsid w:val="006909A4"/>
    <w:rsid w:val="00690C97"/>
    <w:rsid w:val="00692DEA"/>
    <w:rsid w:val="006A04A2"/>
    <w:rsid w:val="006A0B87"/>
    <w:rsid w:val="006A1F25"/>
    <w:rsid w:val="006A24FD"/>
    <w:rsid w:val="006A3395"/>
    <w:rsid w:val="006A3CD2"/>
    <w:rsid w:val="006A4DCB"/>
    <w:rsid w:val="006A64CA"/>
    <w:rsid w:val="006A6C5F"/>
    <w:rsid w:val="006A7106"/>
    <w:rsid w:val="006A726C"/>
    <w:rsid w:val="006A78F4"/>
    <w:rsid w:val="006A7FF9"/>
    <w:rsid w:val="006B0A80"/>
    <w:rsid w:val="006B0C37"/>
    <w:rsid w:val="006B27BC"/>
    <w:rsid w:val="006B32D9"/>
    <w:rsid w:val="006B3C43"/>
    <w:rsid w:val="006B4299"/>
    <w:rsid w:val="006B4638"/>
    <w:rsid w:val="006B4DD9"/>
    <w:rsid w:val="006B5E3D"/>
    <w:rsid w:val="006B6939"/>
    <w:rsid w:val="006C0D0C"/>
    <w:rsid w:val="006C208C"/>
    <w:rsid w:val="006C2628"/>
    <w:rsid w:val="006C2CA7"/>
    <w:rsid w:val="006C46A5"/>
    <w:rsid w:val="006C535C"/>
    <w:rsid w:val="006C6E2A"/>
    <w:rsid w:val="006C7E9F"/>
    <w:rsid w:val="006D007F"/>
    <w:rsid w:val="006D00A2"/>
    <w:rsid w:val="006D139A"/>
    <w:rsid w:val="006D3621"/>
    <w:rsid w:val="006D39AF"/>
    <w:rsid w:val="006D3E2E"/>
    <w:rsid w:val="006D3F87"/>
    <w:rsid w:val="006D6151"/>
    <w:rsid w:val="006D6F58"/>
    <w:rsid w:val="006D7782"/>
    <w:rsid w:val="006E0137"/>
    <w:rsid w:val="006E2116"/>
    <w:rsid w:val="006E4C80"/>
    <w:rsid w:val="006E67FD"/>
    <w:rsid w:val="006F246D"/>
    <w:rsid w:val="006F2AFF"/>
    <w:rsid w:val="006F36A7"/>
    <w:rsid w:val="006F41F7"/>
    <w:rsid w:val="006F4579"/>
    <w:rsid w:val="006F4815"/>
    <w:rsid w:val="006F5373"/>
    <w:rsid w:val="006F568D"/>
    <w:rsid w:val="006F6548"/>
    <w:rsid w:val="007002AE"/>
    <w:rsid w:val="0070451A"/>
    <w:rsid w:val="00707FFC"/>
    <w:rsid w:val="00711E92"/>
    <w:rsid w:val="0071507A"/>
    <w:rsid w:val="00715740"/>
    <w:rsid w:val="00716B18"/>
    <w:rsid w:val="00717EDF"/>
    <w:rsid w:val="00724E59"/>
    <w:rsid w:val="0072521C"/>
    <w:rsid w:val="007262A5"/>
    <w:rsid w:val="007266FA"/>
    <w:rsid w:val="00730178"/>
    <w:rsid w:val="0073098D"/>
    <w:rsid w:val="00732D72"/>
    <w:rsid w:val="0073389B"/>
    <w:rsid w:val="00735285"/>
    <w:rsid w:val="00735A47"/>
    <w:rsid w:val="00736BD9"/>
    <w:rsid w:val="00741A4B"/>
    <w:rsid w:val="00743BFB"/>
    <w:rsid w:val="00743CDD"/>
    <w:rsid w:val="00744F9F"/>
    <w:rsid w:val="00746C7D"/>
    <w:rsid w:val="00752FD8"/>
    <w:rsid w:val="00753AC3"/>
    <w:rsid w:val="007561BC"/>
    <w:rsid w:val="007562C0"/>
    <w:rsid w:val="0075649D"/>
    <w:rsid w:val="00756B22"/>
    <w:rsid w:val="0075754C"/>
    <w:rsid w:val="0076054A"/>
    <w:rsid w:val="007631D6"/>
    <w:rsid w:val="00765425"/>
    <w:rsid w:val="00766F71"/>
    <w:rsid w:val="007707E5"/>
    <w:rsid w:val="00770E3E"/>
    <w:rsid w:val="00771A85"/>
    <w:rsid w:val="00773DB2"/>
    <w:rsid w:val="00773ED7"/>
    <w:rsid w:val="007762A0"/>
    <w:rsid w:val="00777DC9"/>
    <w:rsid w:val="007800E3"/>
    <w:rsid w:val="00781C00"/>
    <w:rsid w:val="007825BD"/>
    <w:rsid w:val="00783C60"/>
    <w:rsid w:val="00783CE6"/>
    <w:rsid w:val="00784E05"/>
    <w:rsid w:val="00785124"/>
    <w:rsid w:val="00786CAC"/>
    <w:rsid w:val="00790EE8"/>
    <w:rsid w:val="007912A9"/>
    <w:rsid w:val="00792E6D"/>
    <w:rsid w:val="00794930"/>
    <w:rsid w:val="00796330"/>
    <w:rsid w:val="00797CED"/>
    <w:rsid w:val="007A1432"/>
    <w:rsid w:val="007A144C"/>
    <w:rsid w:val="007A2254"/>
    <w:rsid w:val="007A371D"/>
    <w:rsid w:val="007A3F09"/>
    <w:rsid w:val="007A48B6"/>
    <w:rsid w:val="007A4DD9"/>
    <w:rsid w:val="007A52A7"/>
    <w:rsid w:val="007A6487"/>
    <w:rsid w:val="007B056B"/>
    <w:rsid w:val="007B12B5"/>
    <w:rsid w:val="007B4B07"/>
    <w:rsid w:val="007B51F7"/>
    <w:rsid w:val="007B556D"/>
    <w:rsid w:val="007B5787"/>
    <w:rsid w:val="007B60DB"/>
    <w:rsid w:val="007B70C7"/>
    <w:rsid w:val="007C104E"/>
    <w:rsid w:val="007C1396"/>
    <w:rsid w:val="007C390C"/>
    <w:rsid w:val="007C7385"/>
    <w:rsid w:val="007C7C8D"/>
    <w:rsid w:val="007D08E0"/>
    <w:rsid w:val="007D21F8"/>
    <w:rsid w:val="007D22FD"/>
    <w:rsid w:val="007D35A4"/>
    <w:rsid w:val="007D3F11"/>
    <w:rsid w:val="007D4FD8"/>
    <w:rsid w:val="007D511D"/>
    <w:rsid w:val="007D6BCE"/>
    <w:rsid w:val="007D735A"/>
    <w:rsid w:val="007D7EAD"/>
    <w:rsid w:val="007E185D"/>
    <w:rsid w:val="007E3839"/>
    <w:rsid w:val="007E4A24"/>
    <w:rsid w:val="007E677E"/>
    <w:rsid w:val="007E7CF7"/>
    <w:rsid w:val="007F0CFB"/>
    <w:rsid w:val="007F11E6"/>
    <w:rsid w:val="007F1EE2"/>
    <w:rsid w:val="007F53A2"/>
    <w:rsid w:val="007F7EB0"/>
    <w:rsid w:val="00803C3D"/>
    <w:rsid w:val="00803EA7"/>
    <w:rsid w:val="008048A1"/>
    <w:rsid w:val="0080520D"/>
    <w:rsid w:val="008054D3"/>
    <w:rsid w:val="00807588"/>
    <w:rsid w:val="008107FD"/>
    <w:rsid w:val="008123A8"/>
    <w:rsid w:val="00815748"/>
    <w:rsid w:val="008170A5"/>
    <w:rsid w:val="00817C39"/>
    <w:rsid w:val="00820D26"/>
    <w:rsid w:val="00820EDB"/>
    <w:rsid w:val="00821E44"/>
    <w:rsid w:val="0082384E"/>
    <w:rsid w:val="008248B8"/>
    <w:rsid w:val="00826E0D"/>
    <w:rsid w:val="0082755B"/>
    <w:rsid w:val="00827D24"/>
    <w:rsid w:val="00830B3B"/>
    <w:rsid w:val="008318C6"/>
    <w:rsid w:val="00834BFC"/>
    <w:rsid w:val="00837DB4"/>
    <w:rsid w:val="00842808"/>
    <w:rsid w:val="00842E04"/>
    <w:rsid w:val="008435D2"/>
    <w:rsid w:val="00843CD8"/>
    <w:rsid w:val="00850EA7"/>
    <w:rsid w:val="008519B1"/>
    <w:rsid w:val="00852A9D"/>
    <w:rsid w:val="008547E4"/>
    <w:rsid w:val="00854A51"/>
    <w:rsid w:val="0085512A"/>
    <w:rsid w:val="00856D0C"/>
    <w:rsid w:val="008574E1"/>
    <w:rsid w:val="00860297"/>
    <w:rsid w:val="00866100"/>
    <w:rsid w:val="00866CEC"/>
    <w:rsid w:val="00866F94"/>
    <w:rsid w:val="0086736B"/>
    <w:rsid w:val="00867A2C"/>
    <w:rsid w:val="00872A20"/>
    <w:rsid w:val="00880675"/>
    <w:rsid w:val="008826EE"/>
    <w:rsid w:val="00884336"/>
    <w:rsid w:val="00884ED7"/>
    <w:rsid w:val="00885410"/>
    <w:rsid w:val="00886A09"/>
    <w:rsid w:val="00891BC9"/>
    <w:rsid w:val="00895F85"/>
    <w:rsid w:val="00897AA8"/>
    <w:rsid w:val="00897E7F"/>
    <w:rsid w:val="008A1774"/>
    <w:rsid w:val="008A2954"/>
    <w:rsid w:val="008A31C2"/>
    <w:rsid w:val="008A389E"/>
    <w:rsid w:val="008A4054"/>
    <w:rsid w:val="008A7B0E"/>
    <w:rsid w:val="008B308F"/>
    <w:rsid w:val="008B3314"/>
    <w:rsid w:val="008B37A7"/>
    <w:rsid w:val="008B7BC8"/>
    <w:rsid w:val="008C2AED"/>
    <w:rsid w:val="008C3887"/>
    <w:rsid w:val="008C4640"/>
    <w:rsid w:val="008C4BE0"/>
    <w:rsid w:val="008C502A"/>
    <w:rsid w:val="008C5B81"/>
    <w:rsid w:val="008C6752"/>
    <w:rsid w:val="008D06EC"/>
    <w:rsid w:val="008D0EE0"/>
    <w:rsid w:val="008D35B4"/>
    <w:rsid w:val="008D5D60"/>
    <w:rsid w:val="008D6049"/>
    <w:rsid w:val="008D68A2"/>
    <w:rsid w:val="008E2442"/>
    <w:rsid w:val="008E627E"/>
    <w:rsid w:val="008E7358"/>
    <w:rsid w:val="008E7637"/>
    <w:rsid w:val="008F0FDA"/>
    <w:rsid w:val="008F183E"/>
    <w:rsid w:val="008F399A"/>
    <w:rsid w:val="008F5E17"/>
    <w:rsid w:val="008F6380"/>
    <w:rsid w:val="008F7723"/>
    <w:rsid w:val="008F7FFB"/>
    <w:rsid w:val="00900A3F"/>
    <w:rsid w:val="00900C0A"/>
    <w:rsid w:val="0090144B"/>
    <w:rsid w:val="00901A5A"/>
    <w:rsid w:val="009020DE"/>
    <w:rsid w:val="00904943"/>
    <w:rsid w:val="00904CF3"/>
    <w:rsid w:val="00905D56"/>
    <w:rsid w:val="00907CBB"/>
    <w:rsid w:val="00911664"/>
    <w:rsid w:val="00914581"/>
    <w:rsid w:val="009169EA"/>
    <w:rsid w:val="00920517"/>
    <w:rsid w:val="00920A68"/>
    <w:rsid w:val="0092139E"/>
    <w:rsid w:val="009239E4"/>
    <w:rsid w:val="00924757"/>
    <w:rsid w:val="00925EA7"/>
    <w:rsid w:val="00926C09"/>
    <w:rsid w:val="0093572E"/>
    <w:rsid w:val="0093750D"/>
    <w:rsid w:val="009403DB"/>
    <w:rsid w:val="00941353"/>
    <w:rsid w:val="009414F1"/>
    <w:rsid w:val="0094165B"/>
    <w:rsid w:val="00941894"/>
    <w:rsid w:val="00944504"/>
    <w:rsid w:val="0094547A"/>
    <w:rsid w:val="00947B77"/>
    <w:rsid w:val="00950B48"/>
    <w:rsid w:val="00951477"/>
    <w:rsid w:val="0095158D"/>
    <w:rsid w:val="009552F2"/>
    <w:rsid w:val="00956173"/>
    <w:rsid w:val="00956C2B"/>
    <w:rsid w:val="00957021"/>
    <w:rsid w:val="00961944"/>
    <w:rsid w:val="00962115"/>
    <w:rsid w:val="00964708"/>
    <w:rsid w:val="0096488F"/>
    <w:rsid w:val="00965521"/>
    <w:rsid w:val="00966971"/>
    <w:rsid w:val="009710DD"/>
    <w:rsid w:val="009719FA"/>
    <w:rsid w:val="00971D99"/>
    <w:rsid w:val="00975622"/>
    <w:rsid w:val="0098172F"/>
    <w:rsid w:val="00982242"/>
    <w:rsid w:val="009824D2"/>
    <w:rsid w:val="00982BA1"/>
    <w:rsid w:val="00983A88"/>
    <w:rsid w:val="00983C3A"/>
    <w:rsid w:val="00983D57"/>
    <w:rsid w:val="00984CD5"/>
    <w:rsid w:val="00984E40"/>
    <w:rsid w:val="009854A2"/>
    <w:rsid w:val="00985950"/>
    <w:rsid w:val="0098694D"/>
    <w:rsid w:val="009871A1"/>
    <w:rsid w:val="00987596"/>
    <w:rsid w:val="00991DE0"/>
    <w:rsid w:val="00992214"/>
    <w:rsid w:val="00992485"/>
    <w:rsid w:val="009927EA"/>
    <w:rsid w:val="009934B7"/>
    <w:rsid w:val="009947AC"/>
    <w:rsid w:val="00995821"/>
    <w:rsid w:val="00997A62"/>
    <w:rsid w:val="009A1332"/>
    <w:rsid w:val="009A3D70"/>
    <w:rsid w:val="009A5399"/>
    <w:rsid w:val="009A5E44"/>
    <w:rsid w:val="009A729D"/>
    <w:rsid w:val="009B3C65"/>
    <w:rsid w:val="009C04F1"/>
    <w:rsid w:val="009C3085"/>
    <w:rsid w:val="009C36DD"/>
    <w:rsid w:val="009C3FF7"/>
    <w:rsid w:val="009C4EEE"/>
    <w:rsid w:val="009C5D2E"/>
    <w:rsid w:val="009D057B"/>
    <w:rsid w:val="009D0971"/>
    <w:rsid w:val="009D17EE"/>
    <w:rsid w:val="009D1E69"/>
    <w:rsid w:val="009D24B2"/>
    <w:rsid w:val="009D32B5"/>
    <w:rsid w:val="009D331B"/>
    <w:rsid w:val="009D4229"/>
    <w:rsid w:val="009D5675"/>
    <w:rsid w:val="009D5FE7"/>
    <w:rsid w:val="009D6A6E"/>
    <w:rsid w:val="009D6D71"/>
    <w:rsid w:val="009E0CDF"/>
    <w:rsid w:val="009E154F"/>
    <w:rsid w:val="009E27C8"/>
    <w:rsid w:val="009E388E"/>
    <w:rsid w:val="009E3D40"/>
    <w:rsid w:val="009E5614"/>
    <w:rsid w:val="009E6A93"/>
    <w:rsid w:val="009F0AC5"/>
    <w:rsid w:val="009F0BBE"/>
    <w:rsid w:val="009F110F"/>
    <w:rsid w:val="009F1BA0"/>
    <w:rsid w:val="009F3404"/>
    <w:rsid w:val="009F432B"/>
    <w:rsid w:val="009F4A21"/>
    <w:rsid w:val="009F5350"/>
    <w:rsid w:val="009F5874"/>
    <w:rsid w:val="009F5A1D"/>
    <w:rsid w:val="009F621F"/>
    <w:rsid w:val="00A005BB"/>
    <w:rsid w:val="00A02365"/>
    <w:rsid w:val="00A039BB"/>
    <w:rsid w:val="00A040CF"/>
    <w:rsid w:val="00A0483D"/>
    <w:rsid w:val="00A05E6E"/>
    <w:rsid w:val="00A06DEC"/>
    <w:rsid w:val="00A12E0E"/>
    <w:rsid w:val="00A138E9"/>
    <w:rsid w:val="00A13F66"/>
    <w:rsid w:val="00A15A29"/>
    <w:rsid w:val="00A17032"/>
    <w:rsid w:val="00A17B4F"/>
    <w:rsid w:val="00A17E22"/>
    <w:rsid w:val="00A20A82"/>
    <w:rsid w:val="00A2135D"/>
    <w:rsid w:val="00A21FF0"/>
    <w:rsid w:val="00A2369B"/>
    <w:rsid w:val="00A23CBF"/>
    <w:rsid w:val="00A2477B"/>
    <w:rsid w:val="00A27967"/>
    <w:rsid w:val="00A32EF0"/>
    <w:rsid w:val="00A35458"/>
    <w:rsid w:val="00A365F0"/>
    <w:rsid w:val="00A36A68"/>
    <w:rsid w:val="00A37C4C"/>
    <w:rsid w:val="00A41ACD"/>
    <w:rsid w:val="00A420B6"/>
    <w:rsid w:val="00A45708"/>
    <w:rsid w:val="00A459CC"/>
    <w:rsid w:val="00A50AAF"/>
    <w:rsid w:val="00A50CFC"/>
    <w:rsid w:val="00A51012"/>
    <w:rsid w:val="00A510B8"/>
    <w:rsid w:val="00A52439"/>
    <w:rsid w:val="00A525FC"/>
    <w:rsid w:val="00A5262D"/>
    <w:rsid w:val="00A5677D"/>
    <w:rsid w:val="00A56860"/>
    <w:rsid w:val="00A60986"/>
    <w:rsid w:val="00A60DE8"/>
    <w:rsid w:val="00A60E8B"/>
    <w:rsid w:val="00A61EFE"/>
    <w:rsid w:val="00A63100"/>
    <w:rsid w:val="00A64366"/>
    <w:rsid w:val="00A64B08"/>
    <w:rsid w:val="00A65085"/>
    <w:rsid w:val="00A65C40"/>
    <w:rsid w:val="00A65F60"/>
    <w:rsid w:val="00A666B1"/>
    <w:rsid w:val="00A728BB"/>
    <w:rsid w:val="00A72F89"/>
    <w:rsid w:val="00A75E39"/>
    <w:rsid w:val="00A814EC"/>
    <w:rsid w:val="00A81849"/>
    <w:rsid w:val="00A818B7"/>
    <w:rsid w:val="00A83B11"/>
    <w:rsid w:val="00A87D34"/>
    <w:rsid w:val="00A901AD"/>
    <w:rsid w:val="00A91640"/>
    <w:rsid w:val="00A92D01"/>
    <w:rsid w:val="00A94C8E"/>
    <w:rsid w:val="00A94CF1"/>
    <w:rsid w:val="00A9672D"/>
    <w:rsid w:val="00AA29E1"/>
    <w:rsid w:val="00AA2F21"/>
    <w:rsid w:val="00AA41D7"/>
    <w:rsid w:val="00AA4B28"/>
    <w:rsid w:val="00AA4C91"/>
    <w:rsid w:val="00AA6428"/>
    <w:rsid w:val="00AA6463"/>
    <w:rsid w:val="00AB0538"/>
    <w:rsid w:val="00AB4F8B"/>
    <w:rsid w:val="00AC0974"/>
    <w:rsid w:val="00AC258F"/>
    <w:rsid w:val="00AC2D91"/>
    <w:rsid w:val="00AD0158"/>
    <w:rsid w:val="00AD0593"/>
    <w:rsid w:val="00AD0E11"/>
    <w:rsid w:val="00AD11A4"/>
    <w:rsid w:val="00AD1556"/>
    <w:rsid w:val="00AD1562"/>
    <w:rsid w:val="00AD2495"/>
    <w:rsid w:val="00AD2E1F"/>
    <w:rsid w:val="00AD3443"/>
    <w:rsid w:val="00AD346A"/>
    <w:rsid w:val="00AD653A"/>
    <w:rsid w:val="00AD744D"/>
    <w:rsid w:val="00AE1600"/>
    <w:rsid w:val="00AE161E"/>
    <w:rsid w:val="00AE2233"/>
    <w:rsid w:val="00AE3620"/>
    <w:rsid w:val="00AE55FC"/>
    <w:rsid w:val="00AF1204"/>
    <w:rsid w:val="00AF16BD"/>
    <w:rsid w:val="00AF1923"/>
    <w:rsid w:val="00AF371D"/>
    <w:rsid w:val="00AF3CE1"/>
    <w:rsid w:val="00AF4928"/>
    <w:rsid w:val="00AF4A60"/>
    <w:rsid w:val="00AF4C00"/>
    <w:rsid w:val="00AF50E7"/>
    <w:rsid w:val="00AF7181"/>
    <w:rsid w:val="00AF7244"/>
    <w:rsid w:val="00B002BF"/>
    <w:rsid w:val="00B025DF"/>
    <w:rsid w:val="00B02748"/>
    <w:rsid w:val="00B033D4"/>
    <w:rsid w:val="00B04C3F"/>
    <w:rsid w:val="00B118EC"/>
    <w:rsid w:val="00B11D50"/>
    <w:rsid w:val="00B122DC"/>
    <w:rsid w:val="00B13085"/>
    <w:rsid w:val="00B14156"/>
    <w:rsid w:val="00B15F7D"/>
    <w:rsid w:val="00B17D18"/>
    <w:rsid w:val="00B223FE"/>
    <w:rsid w:val="00B226B2"/>
    <w:rsid w:val="00B22B06"/>
    <w:rsid w:val="00B22C89"/>
    <w:rsid w:val="00B2587A"/>
    <w:rsid w:val="00B26107"/>
    <w:rsid w:val="00B26E12"/>
    <w:rsid w:val="00B27D64"/>
    <w:rsid w:val="00B317FA"/>
    <w:rsid w:val="00B32996"/>
    <w:rsid w:val="00B3378F"/>
    <w:rsid w:val="00B34F30"/>
    <w:rsid w:val="00B35D1A"/>
    <w:rsid w:val="00B35DED"/>
    <w:rsid w:val="00B36BE1"/>
    <w:rsid w:val="00B406EB"/>
    <w:rsid w:val="00B415FE"/>
    <w:rsid w:val="00B4203D"/>
    <w:rsid w:val="00B42098"/>
    <w:rsid w:val="00B42C4B"/>
    <w:rsid w:val="00B42FC4"/>
    <w:rsid w:val="00B44B0B"/>
    <w:rsid w:val="00B47132"/>
    <w:rsid w:val="00B4727F"/>
    <w:rsid w:val="00B50D6F"/>
    <w:rsid w:val="00B52F6A"/>
    <w:rsid w:val="00B5425C"/>
    <w:rsid w:val="00B577DD"/>
    <w:rsid w:val="00B57BB9"/>
    <w:rsid w:val="00B613A8"/>
    <w:rsid w:val="00B6222A"/>
    <w:rsid w:val="00B65856"/>
    <w:rsid w:val="00B662D5"/>
    <w:rsid w:val="00B66C2C"/>
    <w:rsid w:val="00B66C2D"/>
    <w:rsid w:val="00B7024F"/>
    <w:rsid w:val="00B70AC9"/>
    <w:rsid w:val="00B7319D"/>
    <w:rsid w:val="00B73AB9"/>
    <w:rsid w:val="00B76F7A"/>
    <w:rsid w:val="00B803CD"/>
    <w:rsid w:val="00B8191C"/>
    <w:rsid w:val="00B82888"/>
    <w:rsid w:val="00B837B4"/>
    <w:rsid w:val="00B8529B"/>
    <w:rsid w:val="00B85B5E"/>
    <w:rsid w:val="00B8645D"/>
    <w:rsid w:val="00B8659E"/>
    <w:rsid w:val="00B86774"/>
    <w:rsid w:val="00B872A0"/>
    <w:rsid w:val="00B878A4"/>
    <w:rsid w:val="00B878A5"/>
    <w:rsid w:val="00B91DA0"/>
    <w:rsid w:val="00B94311"/>
    <w:rsid w:val="00B94D26"/>
    <w:rsid w:val="00B950CF"/>
    <w:rsid w:val="00B9524E"/>
    <w:rsid w:val="00B970B6"/>
    <w:rsid w:val="00B97B3A"/>
    <w:rsid w:val="00BA111A"/>
    <w:rsid w:val="00BA7B56"/>
    <w:rsid w:val="00BB0CF2"/>
    <w:rsid w:val="00BB159C"/>
    <w:rsid w:val="00BB1D9F"/>
    <w:rsid w:val="00BB212B"/>
    <w:rsid w:val="00BB4C41"/>
    <w:rsid w:val="00BB52FC"/>
    <w:rsid w:val="00BB6451"/>
    <w:rsid w:val="00BC15C7"/>
    <w:rsid w:val="00BC30B2"/>
    <w:rsid w:val="00BC55BC"/>
    <w:rsid w:val="00BC596F"/>
    <w:rsid w:val="00BD082F"/>
    <w:rsid w:val="00BD0A95"/>
    <w:rsid w:val="00BD30A8"/>
    <w:rsid w:val="00BD4949"/>
    <w:rsid w:val="00BD5B7F"/>
    <w:rsid w:val="00BD676C"/>
    <w:rsid w:val="00BE07BE"/>
    <w:rsid w:val="00BE30EB"/>
    <w:rsid w:val="00BE4DD4"/>
    <w:rsid w:val="00BE7ABB"/>
    <w:rsid w:val="00BE7B07"/>
    <w:rsid w:val="00BF04BD"/>
    <w:rsid w:val="00BF08BE"/>
    <w:rsid w:val="00BF14CE"/>
    <w:rsid w:val="00BF2627"/>
    <w:rsid w:val="00BF39A8"/>
    <w:rsid w:val="00BF3DEB"/>
    <w:rsid w:val="00BF58B7"/>
    <w:rsid w:val="00BF5A0C"/>
    <w:rsid w:val="00BF60DD"/>
    <w:rsid w:val="00C00708"/>
    <w:rsid w:val="00C02813"/>
    <w:rsid w:val="00C032BC"/>
    <w:rsid w:val="00C050C8"/>
    <w:rsid w:val="00C0691D"/>
    <w:rsid w:val="00C1059F"/>
    <w:rsid w:val="00C11110"/>
    <w:rsid w:val="00C13138"/>
    <w:rsid w:val="00C1451F"/>
    <w:rsid w:val="00C14E86"/>
    <w:rsid w:val="00C252C7"/>
    <w:rsid w:val="00C25478"/>
    <w:rsid w:val="00C25488"/>
    <w:rsid w:val="00C27AF8"/>
    <w:rsid w:val="00C34008"/>
    <w:rsid w:val="00C34374"/>
    <w:rsid w:val="00C36A24"/>
    <w:rsid w:val="00C44BCA"/>
    <w:rsid w:val="00C45079"/>
    <w:rsid w:val="00C4584E"/>
    <w:rsid w:val="00C45DC2"/>
    <w:rsid w:val="00C46023"/>
    <w:rsid w:val="00C46EFB"/>
    <w:rsid w:val="00C47B51"/>
    <w:rsid w:val="00C51B31"/>
    <w:rsid w:val="00C542A7"/>
    <w:rsid w:val="00C5497C"/>
    <w:rsid w:val="00C574DC"/>
    <w:rsid w:val="00C600CB"/>
    <w:rsid w:val="00C60FC9"/>
    <w:rsid w:val="00C62FE1"/>
    <w:rsid w:val="00C632A7"/>
    <w:rsid w:val="00C63A98"/>
    <w:rsid w:val="00C66087"/>
    <w:rsid w:val="00C67F7B"/>
    <w:rsid w:val="00C70440"/>
    <w:rsid w:val="00C716A8"/>
    <w:rsid w:val="00C73136"/>
    <w:rsid w:val="00C73A37"/>
    <w:rsid w:val="00C74DC9"/>
    <w:rsid w:val="00C75EF9"/>
    <w:rsid w:val="00C764A8"/>
    <w:rsid w:val="00C76D05"/>
    <w:rsid w:val="00C81FFD"/>
    <w:rsid w:val="00C825DD"/>
    <w:rsid w:val="00C8265E"/>
    <w:rsid w:val="00C82970"/>
    <w:rsid w:val="00C82EF5"/>
    <w:rsid w:val="00C84074"/>
    <w:rsid w:val="00C85869"/>
    <w:rsid w:val="00C860E2"/>
    <w:rsid w:val="00C87A00"/>
    <w:rsid w:val="00C9271E"/>
    <w:rsid w:val="00C9272C"/>
    <w:rsid w:val="00C92C3A"/>
    <w:rsid w:val="00C9334A"/>
    <w:rsid w:val="00C951D7"/>
    <w:rsid w:val="00C96093"/>
    <w:rsid w:val="00C97D58"/>
    <w:rsid w:val="00CA022F"/>
    <w:rsid w:val="00CA222B"/>
    <w:rsid w:val="00CA36A2"/>
    <w:rsid w:val="00CA494F"/>
    <w:rsid w:val="00CA75D9"/>
    <w:rsid w:val="00CA780F"/>
    <w:rsid w:val="00CA7FCC"/>
    <w:rsid w:val="00CB0610"/>
    <w:rsid w:val="00CB362E"/>
    <w:rsid w:val="00CB52F8"/>
    <w:rsid w:val="00CB606A"/>
    <w:rsid w:val="00CB63A4"/>
    <w:rsid w:val="00CC0542"/>
    <w:rsid w:val="00CC1DB6"/>
    <w:rsid w:val="00CC239D"/>
    <w:rsid w:val="00CC595E"/>
    <w:rsid w:val="00CC7C3F"/>
    <w:rsid w:val="00CD1BE0"/>
    <w:rsid w:val="00CD3716"/>
    <w:rsid w:val="00CD3C1A"/>
    <w:rsid w:val="00CE2DFD"/>
    <w:rsid w:val="00CE42C7"/>
    <w:rsid w:val="00CE430A"/>
    <w:rsid w:val="00CE4E85"/>
    <w:rsid w:val="00CE67D9"/>
    <w:rsid w:val="00CE69EA"/>
    <w:rsid w:val="00CF26F3"/>
    <w:rsid w:val="00CF3C7C"/>
    <w:rsid w:val="00D00F85"/>
    <w:rsid w:val="00D0178F"/>
    <w:rsid w:val="00D029C6"/>
    <w:rsid w:val="00D04607"/>
    <w:rsid w:val="00D04C67"/>
    <w:rsid w:val="00D10238"/>
    <w:rsid w:val="00D1043E"/>
    <w:rsid w:val="00D14531"/>
    <w:rsid w:val="00D15970"/>
    <w:rsid w:val="00D15C11"/>
    <w:rsid w:val="00D201DC"/>
    <w:rsid w:val="00D20A78"/>
    <w:rsid w:val="00D21175"/>
    <w:rsid w:val="00D21AF5"/>
    <w:rsid w:val="00D23259"/>
    <w:rsid w:val="00D23869"/>
    <w:rsid w:val="00D238DE"/>
    <w:rsid w:val="00D24B49"/>
    <w:rsid w:val="00D24F7D"/>
    <w:rsid w:val="00D25CF2"/>
    <w:rsid w:val="00D3212F"/>
    <w:rsid w:val="00D34590"/>
    <w:rsid w:val="00D36FFD"/>
    <w:rsid w:val="00D370B2"/>
    <w:rsid w:val="00D37301"/>
    <w:rsid w:val="00D40B47"/>
    <w:rsid w:val="00D40E0D"/>
    <w:rsid w:val="00D420B2"/>
    <w:rsid w:val="00D422CF"/>
    <w:rsid w:val="00D449AE"/>
    <w:rsid w:val="00D45405"/>
    <w:rsid w:val="00D4735B"/>
    <w:rsid w:val="00D5243C"/>
    <w:rsid w:val="00D52AF4"/>
    <w:rsid w:val="00D5393C"/>
    <w:rsid w:val="00D55CC2"/>
    <w:rsid w:val="00D5648F"/>
    <w:rsid w:val="00D5655C"/>
    <w:rsid w:val="00D62EB4"/>
    <w:rsid w:val="00D63274"/>
    <w:rsid w:val="00D66A93"/>
    <w:rsid w:val="00D7050A"/>
    <w:rsid w:val="00D72CFC"/>
    <w:rsid w:val="00D7353D"/>
    <w:rsid w:val="00D757C2"/>
    <w:rsid w:val="00D75F90"/>
    <w:rsid w:val="00D761B5"/>
    <w:rsid w:val="00D76360"/>
    <w:rsid w:val="00D828F3"/>
    <w:rsid w:val="00D82B46"/>
    <w:rsid w:val="00D82D96"/>
    <w:rsid w:val="00D83728"/>
    <w:rsid w:val="00D837E0"/>
    <w:rsid w:val="00D85735"/>
    <w:rsid w:val="00D8749E"/>
    <w:rsid w:val="00D87644"/>
    <w:rsid w:val="00D9191C"/>
    <w:rsid w:val="00D9350B"/>
    <w:rsid w:val="00D947F5"/>
    <w:rsid w:val="00D96DC3"/>
    <w:rsid w:val="00D9774D"/>
    <w:rsid w:val="00DA17CB"/>
    <w:rsid w:val="00DA2E53"/>
    <w:rsid w:val="00DA3629"/>
    <w:rsid w:val="00DA4A1C"/>
    <w:rsid w:val="00DA59A9"/>
    <w:rsid w:val="00DA5EDA"/>
    <w:rsid w:val="00DA659B"/>
    <w:rsid w:val="00DA6620"/>
    <w:rsid w:val="00DA7D0F"/>
    <w:rsid w:val="00DB0537"/>
    <w:rsid w:val="00DB0C7C"/>
    <w:rsid w:val="00DB172F"/>
    <w:rsid w:val="00DB2A63"/>
    <w:rsid w:val="00DB2C0A"/>
    <w:rsid w:val="00DB3084"/>
    <w:rsid w:val="00DB34BA"/>
    <w:rsid w:val="00DB3763"/>
    <w:rsid w:val="00DB4F5D"/>
    <w:rsid w:val="00DB66B5"/>
    <w:rsid w:val="00DB77DD"/>
    <w:rsid w:val="00DC0481"/>
    <w:rsid w:val="00DC05D6"/>
    <w:rsid w:val="00DC165A"/>
    <w:rsid w:val="00DC2A47"/>
    <w:rsid w:val="00DC2BDA"/>
    <w:rsid w:val="00DC5125"/>
    <w:rsid w:val="00DC572E"/>
    <w:rsid w:val="00DC5DDB"/>
    <w:rsid w:val="00DC6999"/>
    <w:rsid w:val="00DC6E3F"/>
    <w:rsid w:val="00DD0275"/>
    <w:rsid w:val="00DD09DB"/>
    <w:rsid w:val="00DD138E"/>
    <w:rsid w:val="00DD28AA"/>
    <w:rsid w:val="00DD5624"/>
    <w:rsid w:val="00DD5D14"/>
    <w:rsid w:val="00DD76BA"/>
    <w:rsid w:val="00DE04F9"/>
    <w:rsid w:val="00DE164D"/>
    <w:rsid w:val="00DE29D5"/>
    <w:rsid w:val="00DE3892"/>
    <w:rsid w:val="00DE5242"/>
    <w:rsid w:val="00DE57A1"/>
    <w:rsid w:val="00DE65DC"/>
    <w:rsid w:val="00DE68B1"/>
    <w:rsid w:val="00DF1919"/>
    <w:rsid w:val="00DF3720"/>
    <w:rsid w:val="00DF39A5"/>
    <w:rsid w:val="00DF4531"/>
    <w:rsid w:val="00DF47E6"/>
    <w:rsid w:val="00DF7947"/>
    <w:rsid w:val="00E00E29"/>
    <w:rsid w:val="00E00EB6"/>
    <w:rsid w:val="00E011D0"/>
    <w:rsid w:val="00E015AC"/>
    <w:rsid w:val="00E035ED"/>
    <w:rsid w:val="00E03FB0"/>
    <w:rsid w:val="00E040B3"/>
    <w:rsid w:val="00E06382"/>
    <w:rsid w:val="00E12642"/>
    <w:rsid w:val="00E14384"/>
    <w:rsid w:val="00E1721A"/>
    <w:rsid w:val="00E174F6"/>
    <w:rsid w:val="00E2186F"/>
    <w:rsid w:val="00E218DA"/>
    <w:rsid w:val="00E22A51"/>
    <w:rsid w:val="00E23D39"/>
    <w:rsid w:val="00E23F56"/>
    <w:rsid w:val="00E240B2"/>
    <w:rsid w:val="00E25197"/>
    <w:rsid w:val="00E25EDC"/>
    <w:rsid w:val="00E27A78"/>
    <w:rsid w:val="00E27EE9"/>
    <w:rsid w:val="00E30657"/>
    <w:rsid w:val="00E32111"/>
    <w:rsid w:val="00E3222D"/>
    <w:rsid w:val="00E32D91"/>
    <w:rsid w:val="00E32E3B"/>
    <w:rsid w:val="00E34078"/>
    <w:rsid w:val="00E34F5E"/>
    <w:rsid w:val="00E354FA"/>
    <w:rsid w:val="00E35519"/>
    <w:rsid w:val="00E361F3"/>
    <w:rsid w:val="00E366BA"/>
    <w:rsid w:val="00E36D42"/>
    <w:rsid w:val="00E419F5"/>
    <w:rsid w:val="00E43058"/>
    <w:rsid w:val="00E432FB"/>
    <w:rsid w:val="00E43810"/>
    <w:rsid w:val="00E43ABD"/>
    <w:rsid w:val="00E446E8"/>
    <w:rsid w:val="00E44E4B"/>
    <w:rsid w:val="00E456BA"/>
    <w:rsid w:val="00E46368"/>
    <w:rsid w:val="00E504C7"/>
    <w:rsid w:val="00E522AB"/>
    <w:rsid w:val="00E5312B"/>
    <w:rsid w:val="00E5543F"/>
    <w:rsid w:val="00E55865"/>
    <w:rsid w:val="00E563D2"/>
    <w:rsid w:val="00E57109"/>
    <w:rsid w:val="00E5763A"/>
    <w:rsid w:val="00E60358"/>
    <w:rsid w:val="00E6095C"/>
    <w:rsid w:val="00E636C3"/>
    <w:rsid w:val="00E66C15"/>
    <w:rsid w:val="00E70F31"/>
    <w:rsid w:val="00E71AE3"/>
    <w:rsid w:val="00E71D64"/>
    <w:rsid w:val="00E728B4"/>
    <w:rsid w:val="00E7563F"/>
    <w:rsid w:val="00E817B4"/>
    <w:rsid w:val="00E82CCD"/>
    <w:rsid w:val="00E83236"/>
    <w:rsid w:val="00E86028"/>
    <w:rsid w:val="00E87044"/>
    <w:rsid w:val="00E87A33"/>
    <w:rsid w:val="00E9004E"/>
    <w:rsid w:val="00E90533"/>
    <w:rsid w:val="00E90C02"/>
    <w:rsid w:val="00E922D6"/>
    <w:rsid w:val="00E923C8"/>
    <w:rsid w:val="00E92545"/>
    <w:rsid w:val="00E925B0"/>
    <w:rsid w:val="00E926D9"/>
    <w:rsid w:val="00E936A5"/>
    <w:rsid w:val="00E93C0C"/>
    <w:rsid w:val="00E95180"/>
    <w:rsid w:val="00E951FB"/>
    <w:rsid w:val="00E96CB3"/>
    <w:rsid w:val="00E97891"/>
    <w:rsid w:val="00EA10FD"/>
    <w:rsid w:val="00EA1BEF"/>
    <w:rsid w:val="00EA3193"/>
    <w:rsid w:val="00EA36BB"/>
    <w:rsid w:val="00EA36F0"/>
    <w:rsid w:val="00EB19CA"/>
    <w:rsid w:val="00EB1C28"/>
    <w:rsid w:val="00EB2C88"/>
    <w:rsid w:val="00EB4664"/>
    <w:rsid w:val="00EB777C"/>
    <w:rsid w:val="00EC093D"/>
    <w:rsid w:val="00EC0B83"/>
    <w:rsid w:val="00EC1889"/>
    <w:rsid w:val="00EC2B44"/>
    <w:rsid w:val="00EC33DC"/>
    <w:rsid w:val="00EC4BB1"/>
    <w:rsid w:val="00EC627A"/>
    <w:rsid w:val="00EC6BCF"/>
    <w:rsid w:val="00ED29DF"/>
    <w:rsid w:val="00ED4865"/>
    <w:rsid w:val="00ED4A4A"/>
    <w:rsid w:val="00ED5EFF"/>
    <w:rsid w:val="00ED6FB4"/>
    <w:rsid w:val="00ED7FB6"/>
    <w:rsid w:val="00EE00D6"/>
    <w:rsid w:val="00EE2D15"/>
    <w:rsid w:val="00EE40EA"/>
    <w:rsid w:val="00EE706C"/>
    <w:rsid w:val="00EE7410"/>
    <w:rsid w:val="00EE7FC1"/>
    <w:rsid w:val="00EE7FF9"/>
    <w:rsid w:val="00EF0712"/>
    <w:rsid w:val="00EF3333"/>
    <w:rsid w:val="00EF3F11"/>
    <w:rsid w:val="00EF523C"/>
    <w:rsid w:val="00F01217"/>
    <w:rsid w:val="00F04517"/>
    <w:rsid w:val="00F04922"/>
    <w:rsid w:val="00F06605"/>
    <w:rsid w:val="00F12CEE"/>
    <w:rsid w:val="00F139EE"/>
    <w:rsid w:val="00F201AD"/>
    <w:rsid w:val="00F2043B"/>
    <w:rsid w:val="00F22A38"/>
    <w:rsid w:val="00F23C05"/>
    <w:rsid w:val="00F23CDC"/>
    <w:rsid w:val="00F26680"/>
    <w:rsid w:val="00F30284"/>
    <w:rsid w:val="00F305DE"/>
    <w:rsid w:val="00F31682"/>
    <w:rsid w:val="00F33AA6"/>
    <w:rsid w:val="00F35A37"/>
    <w:rsid w:val="00F36400"/>
    <w:rsid w:val="00F37196"/>
    <w:rsid w:val="00F379A3"/>
    <w:rsid w:val="00F40042"/>
    <w:rsid w:val="00F40343"/>
    <w:rsid w:val="00F405A4"/>
    <w:rsid w:val="00F40CFF"/>
    <w:rsid w:val="00F42BB3"/>
    <w:rsid w:val="00F43D8B"/>
    <w:rsid w:val="00F45196"/>
    <w:rsid w:val="00F46350"/>
    <w:rsid w:val="00F46559"/>
    <w:rsid w:val="00F46DA0"/>
    <w:rsid w:val="00F47D48"/>
    <w:rsid w:val="00F47DE2"/>
    <w:rsid w:val="00F52D26"/>
    <w:rsid w:val="00F53786"/>
    <w:rsid w:val="00F5590D"/>
    <w:rsid w:val="00F57548"/>
    <w:rsid w:val="00F57F77"/>
    <w:rsid w:val="00F6214E"/>
    <w:rsid w:val="00F6297A"/>
    <w:rsid w:val="00F654FB"/>
    <w:rsid w:val="00F662F9"/>
    <w:rsid w:val="00F6777F"/>
    <w:rsid w:val="00F70077"/>
    <w:rsid w:val="00F7024D"/>
    <w:rsid w:val="00F70D93"/>
    <w:rsid w:val="00F72369"/>
    <w:rsid w:val="00F73619"/>
    <w:rsid w:val="00F7413E"/>
    <w:rsid w:val="00F75719"/>
    <w:rsid w:val="00F76DA0"/>
    <w:rsid w:val="00F8236C"/>
    <w:rsid w:val="00F83772"/>
    <w:rsid w:val="00F84B61"/>
    <w:rsid w:val="00F87A7E"/>
    <w:rsid w:val="00F9036D"/>
    <w:rsid w:val="00F91BA9"/>
    <w:rsid w:val="00F9582B"/>
    <w:rsid w:val="00FA0695"/>
    <w:rsid w:val="00FA1335"/>
    <w:rsid w:val="00FA17F5"/>
    <w:rsid w:val="00FA18EE"/>
    <w:rsid w:val="00FA2A36"/>
    <w:rsid w:val="00FA2AD2"/>
    <w:rsid w:val="00FA4E01"/>
    <w:rsid w:val="00FA530C"/>
    <w:rsid w:val="00FA54BF"/>
    <w:rsid w:val="00FA5B82"/>
    <w:rsid w:val="00FA7F34"/>
    <w:rsid w:val="00FB0B46"/>
    <w:rsid w:val="00FB23EE"/>
    <w:rsid w:val="00FB2677"/>
    <w:rsid w:val="00FB2C15"/>
    <w:rsid w:val="00FB304F"/>
    <w:rsid w:val="00FB3411"/>
    <w:rsid w:val="00FB486B"/>
    <w:rsid w:val="00FB625B"/>
    <w:rsid w:val="00FB6275"/>
    <w:rsid w:val="00FC1343"/>
    <w:rsid w:val="00FC5769"/>
    <w:rsid w:val="00FC6190"/>
    <w:rsid w:val="00FC6F07"/>
    <w:rsid w:val="00FD0567"/>
    <w:rsid w:val="00FD2039"/>
    <w:rsid w:val="00FD25AC"/>
    <w:rsid w:val="00FD3753"/>
    <w:rsid w:val="00FD4990"/>
    <w:rsid w:val="00FD5317"/>
    <w:rsid w:val="00FE0144"/>
    <w:rsid w:val="00FE09A1"/>
    <w:rsid w:val="00FE102B"/>
    <w:rsid w:val="00FE1432"/>
    <w:rsid w:val="00FE2407"/>
    <w:rsid w:val="00FE2A4B"/>
    <w:rsid w:val="00FE2EAF"/>
    <w:rsid w:val="00FE39A1"/>
    <w:rsid w:val="00FE5554"/>
    <w:rsid w:val="00FE670B"/>
    <w:rsid w:val="00FF1692"/>
    <w:rsid w:val="00FF1A2F"/>
    <w:rsid w:val="00FF1ADA"/>
    <w:rsid w:val="00FF1DD8"/>
    <w:rsid w:val="00FF2D06"/>
    <w:rsid w:val="00FF3660"/>
    <w:rsid w:val="00FF36F7"/>
    <w:rsid w:val="00FF43FA"/>
    <w:rsid w:val="00FF5155"/>
    <w:rsid w:val="00FF63C2"/>
    <w:rsid w:val="016109F9"/>
    <w:rsid w:val="01674F12"/>
    <w:rsid w:val="020F59C3"/>
    <w:rsid w:val="022D5222"/>
    <w:rsid w:val="02630514"/>
    <w:rsid w:val="02862379"/>
    <w:rsid w:val="02AD2317"/>
    <w:rsid w:val="02C26676"/>
    <w:rsid w:val="02EF53FF"/>
    <w:rsid w:val="03D64C63"/>
    <w:rsid w:val="04670F3E"/>
    <w:rsid w:val="04E4490C"/>
    <w:rsid w:val="056445BF"/>
    <w:rsid w:val="056D0A0C"/>
    <w:rsid w:val="05C513B3"/>
    <w:rsid w:val="065E02D4"/>
    <w:rsid w:val="06751294"/>
    <w:rsid w:val="068F66EE"/>
    <w:rsid w:val="06994D39"/>
    <w:rsid w:val="06F81F6A"/>
    <w:rsid w:val="07785C9F"/>
    <w:rsid w:val="07F76D0F"/>
    <w:rsid w:val="089E1C79"/>
    <w:rsid w:val="09293E02"/>
    <w:rsid w:val="092B41DA"/>
    <w:rsid w:val="093323A4"/>
    <w:rsid w:val="09417AAA"/>
    <w:rsid w:val="0955078F"/>
    <w:rsid w:val="095B47F1"/>
    <w:rsid w:val="0A0657CE"/>
    <w:rsid w:val="0A96361D"/>
    <w:rsid w:val="0ACE0CE7"/>
    <w:rsid w:val="0B813B6C"/>
    <w:rsid w:val="0BA45BD5"/>
    <w:rsid w:val="0C504CE9"/>
    <w:rsid w:val="0CF31EFD"/>
    <w:rsid w:val="0D1F2522"/>
    <w:rsid w:val="0D3C296E"/>
    <w:rsid w:val="0D5151A2"/>
    <w:rsid w:val="0DBF6C6F"/>
    <w:rsid w:val="0DD9188C"/>
    <w:rsid w:val="0E0470FD"/>
    <w:rsid w:val="0E192FC0"/>
    <w:rsid w:val="0F375CB2"/>
    <w:rsid w:val="0F4B6CF6"/>
    <w:rsid w:val="0F9B6A7C"/>
    <w:rsid w:val="0FB37906"/>
    <w:rsid w:val="100C32DF"/>
    <w:rsid w:val="10144369"/>
    <w:rsid w:val="102F7D69"/>
    <w:rsid w:val="11780129"/>
    <w:rsid w:val="12605AFC"/>
    <w:rsid w:val="1274593D"/>
    <w:rsid w:val="12B85A6A"/>
    <w:rsid w:val="12F94FEA"/>
    <w:rsid w:val="133D76BE"/>
    <w:rsid w:val="138A0588"/>
    <w:rsid w:val="13E6384B"/>
    <w:rsid w:val="13E91BDB"/>
    <w:rsid w:val="142928B3"/>
    <w:rsid w:val="1451472D"/>
    <w:rsid w:val="148C6CE3"/>
    <w:rsid w:val="152264A0"/>
    <w:rsid w:val="1544781C"/>
    <w:rsid w:val="15470661"/>
    <w:rsid w:val="15580BD1"/>
    <w:rsid w:val="15AC14D9"/>
    <w:rsid w:val="15F97456"/>
    <w:rsid w:val="15FE19F1"/>
    <w:rsid w:val="16274A1C"/>
    <w:rsid w:val="166D63C4"/>
    <w:rsid w:val="16780E00"/>
    <w:rsid w:val="16EF0D7B"/>
    <w:rsid w:val="177C2B39"/>
    <w:rsid w:val="17814A04"/>
    <w:rsid w:val="17891AA2"/>
    <w:rsid w:val="185571E6"/>
    <w:rsid w:val="18A412A6"/>
    <w:rsid w:val="18B218DC"/>
    <w:rsid w:val="18B72EE5"/>
    <w:rsid w:val="194C138C"/>
    <w:rsid w:val="1997447C"/>
    <w:rsid w:val="1A233354"/>
    <w:rsid w:val="1A297349"/>
    <w:rsid w:val="1A4210D3"/>
    <w:rsid w:val="1A441638"/>
    <w:rsid w:val="1A7D59E4"/>
    <w:rsid w:val="1AB67C74"/>
    <w:rsid w:val="1ABD21F7"/>
    <w:rsid w:val="1B183385"/>
    <w:rsid w:val="1B4A1C31"/>
    <w:rsid w:val="1B867718"/>
    <w:rsid w:val="1BD2436F"/>
    <w:rsid w:val="1BF13E80"/>
    <w:rsid w:val="1C26480E"/>
    <w:rsid w:val="1C660FE6"/>
    <w:rsid w:val="1CC53860"/>
    <w:rsid w:val="1CDB35F9"/>
    <w:rsid w:val="1D110E1F"/>
    <w:rsid w:val="1D2742B4"/>
    <w:rsid w:val="1D640997"/>
    <w:rsid w:val="1E451FF1"/>
    <w:rsid w:val="1E8171B8"/>
    <w:rsid w:val="1E9B6F7A"/>
    <w:rsid w:val="1EE61B62"/>
    <w:rsid w:val="1F5549D2"/>
    <w:rsid w:val="1F5A1594"/>
    <w:rsid w:val="1F627C8E"/>
    <w:rsid w:val="1F8033A4"/>
    <w:rsid w:val="1FA30777"/>
    <w:rsid w:val="1FC97BA1"/>
    <w:rsid w:val="1FDC5C9D"/>
    <w:rsid w:val="2003101C"/>
    <w:rsid w:val="20701AFF"/>
    <w:rsid w:val="20C73942"/>
    <w:rsid w:val="20CB0126"/>
    <w:rsid w:val="21D77340"/>
    <w:rsid w:val="21DE4F22"/>
    <w:rsid w:val="21E90FA6"/>
    <w:rsid w:val="225E426A"/>
    <w:rsid w:val="22E72C0C"/>
    <w:rsid w:val="230410BF"/>
    <w:rsid w:val="237602C0"/>
    <w:rsid w:val="239561C2"/>
    <w:rsid w:val="250F7D12"/>
    <w:rsid w:val="25196A17"/>
    <w:rsid w:val="256C627A"/>
    <w:rsid w:val="256E1B9A"/>
    <w:rsid w:val="25A96290"/>
    <w:rsid w:val="25DA196D"/>
    <w:rsid w:val="26D35BAD"/>
    <w:rsid w:val="27105D19"/>
    <w:rsid w:val="27AC39BE"/>
    <w:rsid w:val="281449FD"/>
    <w:rsid w:val="282A4288"/>
    <w:rsid w:val="285A62E8"/>
    <w:rsid w:val="28BC3105"/>
    <w:rsid w:val="2A297DB1"/>
    <w:rsid w:val="2A993132"/>
    <w:rsid w:val="2B2133D5"/>
    <w:rsid w:val="2B3577F1"/>
    <w:rsid w:val="2B58020F"/>
    <w:rsid w:val="2BEA0143"/>
    <w:rsid w:val="2BF77149"/>
    <w:rsid w:val="2C201900"/>
    <w:rsid w:val="2C56385E"/>
    <w:rsid w:val="2CB502E5"/>
    <w:rsid w:val="2CC02C0E"/>
    <w:rsid w:val="2CEE0BD3"/>
    <w:rsid w:val="2CF3687A"/>
    <w:rsid w:val="2D2B23E0"/>
    <w:rsid w:val="2D2F58F3"/>
    <w:rsid w:val="2DAB11CD"/>
    <w:rsid w:val="2DC542C1"/>
    <w:rsid w:val="2DD05DC8"/>
    <w:rsid w:val="2DFB7085"/>
    <w:rsid w:val="2E733E74"/>
    <w:rsid w:val="2EA52367"/>
    <w:rsid w:val="2EAC3436"/>
    <w:rsid w:val="2F12370E"/>
    <w:rsid w:val="2F7E1B39"/>
    <w:rsid w:val="2FA2190A"/>
    <w:rsid w:val="2FC12F5E"/>
    <w:rsid w:val="2FF70596"/>
    <w:rsid w:val="2FFF0CE3"/>
    <w:rsid w:val="305B61D1"/>
    <w:rsid w:val="30B310C4"/>
    <w:rsid w:val="31085C5D"/>
    <w:rsid w:val="3116031A"/>
    <w:rsid w:val="311F18F7"/>
    <w:rsid w:val="319D4C7A"/>
    <w:rsid w:val="31B7523D"/>
    <w:rsid w:val="31D26B3C"/>
    <w:rsid w:val="324C5FA9"/>
    <w:rsid w:val="329B602E"/>
    <w:rsid w:val="32A4450F"/>
    <w:rsid w:val="32B5511A"/>
    <w:rsid w:val="32C11286"/>
    <w:rsid w:val="3310087E"/>
    <w:rsid w:val="3333619C"/>
    <w:rsid w:val="33780B8B"/>
    <w:rsid w:val="33B647EC"/>
    <w:rsid w:val="34357298"/>
    <w:rsid w:val="344F3FD1"/>
    <w:rsid w:val="34B65F08"/>
    <w:rsid w:val="34F60B6E"/>
    <w:rsid w:val="34F7370A"/>
    <w:rsid w:val="358B320D"/>
    <w:rsid w:val="35DD0E14"/>
    <w:rsid w:val="35F619D9"/>
    <w:rsid w:val="363139B1"/>
    <w:rsid w:val="365D3024"/>
    <w:rsid w:val="365F62E2"/>
    <w:rsid w:val="371511D1"/>
    <w:rsid w:val="379154B7"/>
    <w:rsid w:val="37916109"/>
    <w:rsid w:val="37A51DD4"/>
    <w:rsid w:val="37EA06CE"/>
    <w:rsid w:val="384A488E"/>
    <w:rsid w:val="38882AAA"/>
    <w:rsid w:val="38C718CC"/>
    <w:rsid w:val="38DC2FFA"/>
    <w:rsid w:val="38EC0256"/>
    <w:rsid w:val="39A60313"/>
    <w:rsid w:val="3A331D82"/>
    <w:rsid w:val="3A4203D5"/>
    <w:rsid w:val="3A6825C4"/>
    <w:rsid w:val="3AA91409"/>
    <w:rsid w:val="3AFE3F5D"/>
    <w:rsid w:val="3BE3248D"/>
    <w:rsid w:val="3C120CBE"/>
    <w:rsid w:val="3C4F3C48"/>
    <w:rsid w:val="3CEE5BB1"/>
    <w:rsid w:val="3CFC7B37"/>
    <w:rsid w:val="3D3F2C80"/>
    <w:rsid w:val="3E621885"/>
    <w:rsid w:val="3E676B9B"/>
    <w:rsid w:val="3FBA59B4"/>
    <w:rsid w:val="3FE93AD3"/>
    <w:rsid w:val="402708E0"/>
    <w:rsid w:val="403F3A2B"/>
    <w:rsid w:val="406148FC"/>
    <w:rsid w:val="40912B20"/>
    <w:rsid w:val="418D2F4E"/>
    <w:rsid w:val="41997F9B"/>
    <w:rsid w:val="41AC5170"/>
    <w:rsid w:val="41BB6CFE"/>
    <w:rsid w:val="41EE707F"/>
    <w:rsid w:val="421F7A2F"/>
    <w:rsid w:val="42A86197"/>
    <w:rsid w:val="42E967CD"/>
    <w:rsid w:val="43644072"/>
    <w:rsid w:val="43DD0440"/>
    <w:rsid w:val="44656AA6"/>
    <w:rsid w:val="456E2424"/>
    <w:rsid w:val="45743597"/>
    <w:rsid w:val="45983FEF"/>
    <w:rsid w:val="459A5B2F"/>
    <w:rsid w:val="4633700B"/>
    <w:rsid w:val="46407C83"/>
    <w:rsid w:val="46F55D33"/>
    <w:rsid w:val="47115E78"/>
    <w:rsid w:val="471B6D1C"/>
    <w:rsid w:val="474E4474"/>
    <w:rsid w:val="47AD7126"/>
    <w:rsid w:val="47AE4EA9"/>
    <w:rsid w:val="47FE2C4C"/>
    <w:rsid w:val="482C183B"/>
    <w:rsid w:val="484159A3"/>
    <w:rsid w:val="488D2220"/>
    <w:rsid w:val="49141183"/>
    <w:rsid w:val="49A7374A"/>
    <w:rsid w:val="49F3182A"/>
    <w:rsid w:val="4A3A6D12"/>
    <w:rsid w:val="4A4A677C"/>
    <w:rsid w:val="4A964CD5"/>
    <w:rsid w:val="4AAB2150"/>
    <w:rsid w:val="4B0B25E4"/>
    <w:rsid w:val="4B0E095E"/>
    <w:rsid w:val="4C012C52"/>
    <w:rsid w:val="4C521514"/>
    <w:rsid w:val="4C5E7A00"/>
    <w:rsid w:val="4C7D6862"/>
    <w:rsid w:val="4C882AB7"/>
    <w:rsid w:val="4CAA289B"/>
    <w:rsid w:val="4D1A3EA5"/>
    <w:rsid w:val="4D233424"/>
    <w:rsid w:val="4D2F451A"/>
    <w:rsid w:val="4D38495C"/>
    <w:rsid w:val="4D6E62CD"/>
    <w:rsid w:val="4E1A224C"/>
    <w:rsid w:val="4E6B0487"/>
    <w:rsid w:val="4E8D1727"/>
    <w:rsid w:val="4EC54366"/>
    <w:rsid w:val="4EDA759B"/>
    <w:rsid w:val="4F4C553B"/>
    <w:rsid w:val="4F643BFF"/>
    <w:rsid w:val="4FB775CF"/>
    <w:rsid w:val="500958D9"/>
    <w:rsid w:val="50292D76"/>
    <w:rsid w:val="502F594F"/>
    <w:rsid w:val="50A53401"/>
    <w:rsid w:val="50AE2508"/>
    <w:rsid w:val="50BF03A1"/>
    <w:rsid w:val="51041C05"/>
    <w:rsid w:val="510D6018"/>
    <w:rsid w:val="51565696"/>
    <w:rsid w:val="51803691"/>
    <w:rsid w:val="51A972AE"/>
    <w:rsid w:val="51B51D1B"/>
    <w:rsid w:val="51EA30D9"/>
    <w:rsid w:val="52BF6E9E"/>
    <w:rsid w:val="52C9199C"/>
    <w:rsid w:val="53312D81"/>
    <w:rsid w:val="536A3CCC"/>
    <w:rsid w:val="53B72F10"/>
    <w:rsid w:val="54007FA4"/>
    <w:rsid w:val="54021074"/>
    <w:rsid w:val="542F4CCE"/>
    <w:rsid w:val="54C14F22"/>
    <w:rsid w:val="54DC5CBA"/>
    <w:rsid w:val="55B74AE4"/>
    <w:rsid w:val="55CA3608"/>
    <w:rsid w:val="55CC631C"/>
    <w:rsid w:val="55EB6583"/>
    <w:rsid w:val="566C3905"/>
    <w:rsid w:val="57545E6F"/>
    <w:rsid w:val="57AD1029"/>
    <w:rsid w:val="583F7AB7"/>
    <w:rsid w:val="584123BD"/>
    <w:rsid w:val="58E365BD"/>
    <w:rsid w:val="591D6F59"/>
    <w:rsid w:val="59E26435"/>
    <w:rsid w:val="59ED03CE"/>
    <w:rsid w:val="5A0442C4"/>
    <w:rsid w:val="5A0B0D55"/>
    <w:rsid w:val="5B0541AC"/>
    <w:rsid w:val="5B321DD4"/>
    <w:rsid w:val="5B6713F1"/>
    <w:rsid w:val="5B6C356E"/>
    <w:rsid w:val="5B9922AC"/>
    <w:rsid w:val="5BAB7D34"/>
    <w:rsid w:val="5CCD5006"/>
    <w:rsid w:val="5D113415"/>
    <w:rsid w:val="5D1751E8"/>
    <w:rsid w:val="5D1F36BC"/>
    <w:rsid w:val="5E152749"/>
    <w:rsid w:val="5E254563"/>
    <w:rsid w:val="5E290B09"/>
    <w:rsid w:val="5EA9402D"/>
    <w:rsid w:val="5EDD5A52"/>
    <w:rsid w:val="5EE3524F"/>
    <w:rsid w:val="5F14325A"/>
    <w:rsid w:val="5F731378"/>
    <w:rsid w:val="5FA81B24"/>
    <w:rsid w:val="5FE76120"/>
    <w:rsid w:val="601E04F2"/>
    <w:rsid w:val="602D4EE7"/>
    <w:rsid w:val="60462BFF"/>
    <w:rsid w:val="60B75203"/>
    <w:rsid w:val="60DF382F"/>
    <w:rsid w:val="60F84AC5"/>
    <w:rsid w:val="60FC7D94"/>
    <w:rsid w:val="610D750D"/>
    <w:rsid w:val="613E28F2"/>
    <w:rsid w:val="61565891"/>
    <w:rsid w:val="6187276C"/>
    <w:rsid w:val="623321C6"/>
    <w:rsid w:val="62D17D7B"/>
    <w:rsid w:val="636A2114"/>
    <w:rsid w:val="63CF0C0D"/>
    <w:rsid w:val="63E161BC"/>
    <w:rsid w:val="6419158E"/>
    <w:rsid w:val="6486487D"/>
    <w:rsid w:val="656D1BFB"/>
    <w:rsid w:val="659706E2"/>
    <w:rsid w:val="65A272A8"/>
    <w:rsid w:val="661C503F"/>
    <w:rsid w:val="673254C1"/>
    <w:rsid w:val="673463BA"/>
    <w:rsid w:val="67667300"/>
    <w:rsid w:val="67A55AE7"/>
    <w:rsid w:val="67B03652"/>
    <w:rsid w:val="682D527B"/>
    <w:rsid w:val="68A92114"/>
    <w:rsid w:val="691B04CC"/>
    <w:rsid w:val="69257F0E"/>
    <w:rsid w:val="69F74CF7"/>
    <w:rsid w:val="6A0170EF"/>
    <w:rsid w:val="6A1C3EDE"/>
    <w:rsid w:val="6A6E5032"/>
    <w:rsid w:val="6AA92655"/>
    <w:rsid w:val="6AF40B09"/>
    <w:rsid w:val="6B495448"/>
    <w:rsid w:val="6B94511B"/>
    <w:rsid w:val="6BA36E2D"/>
    <w:rsid w:val="6BCE35CB"/>
    <w:rsid w:val="6C341007"/>
    <w:rsid w:val="6C4B191A"/>
    <w:rsid w:val="6CA67084"/>
    <w:rsid w:val="6CD44519"/>
    <w:rsid w:val="6CEA596C"/>
    <w:rsid w:val="6CF13821"/>
    <w:rsid w:val="6D041821"/>
    <w:rsid w:val="6D6700D9"/>
    <w:rsid w:val="6D9F0037"/>
    <w:rsid w:val="6E067DCF"/>
    <w:rsid w:val="6E823392"/>
    <w:rsid w:val="6E857891"/>
    <w:rsid w:val="6EA47519"/>
    <w:rsid w:val="6EBA47E0"/>
    <w:rsid w:val="6F5F06B4"/>
    <w:rsid w:val="6F7B00D1"/>
    <w:rsid w:val="6FA827E3"/>
    <w:rsid w:val="6FAA4DB2"/>
    <w:rsid w:val="700515CC"/>
    <w:rsid w:val="703A154F"/>
    <w:rsid w:val="70877975"/>
    <w:rsid w:val="71256888"/>
    <w:rsid w:val="7173689F"/>
    <w:rsid w:val="7188626A"/>
    <w:rsid w:val="71C15D09"/>
    <w:rsid w:val="71F04B89"/>
    <w:rsid w:val="72650DB9"/>
    <w:rsid w:val="72987B2E"/>
    <w:rsid w:val="72EB09C3"/>
    <w:rsid w:val="73184F1F"/>
    <w:rsid w:val="735369A8"/>
    <w:rsid w:val="740A2FA4"/>
    <w:rsid w:val="74992A90"/>
    <w:rsid w:val="75477BF5"/>
    <w:rsid w:val="75DF44C6"/>
    <w:rsid w:val="75EB66F3"/>
    <w:rsid w:val="769E612B"/>
    <w:rsid w:val="770C5601"/>
    <w:rsid w:val="773C1F79"/>
    <w:rsid w:val="775E441A"/>
    <w:rsid w:val="7797093F"/>
    <w:rsid w:val="77AD6AC4"/>
    <w:rsid w:val="780859E1"/>
    <w:rsid w:val="783E5513"/>
    <w:rsid w:val="7885559A"/>
    <w:rsid w:val="791D6100"/>
    <w:rsid w:val="79423ECC"/>
    <w:rsid w:val="794D79B1"/>
    <w:rsid w:val="7A241E3D"/>
    <w:rsid w:val="7A241F39"/>
    <w:rsid w:val="7A7E1E9F"/>
    <w:rsid w:val="7ADA5C47"/>
    <w:rsid w:val="7B0060A6"/>
    <w:rsid w:val="7B2126A2"/>
    <w:rsid w:val="7B8234D4"/>
    <w:rsid w:val="7B8442E3"/>
    <w:rsid w:val="7BC34B78"/>
    <w:rsid w:val="7C581EFA"/>
    <w:rsid w:val="7D3B1B5E"/>
    <w:rsid w:val="7DA43CBF"/>
    <w:rsid w:val="7DA97969"/>
    <w:rsid w:val="7DE832FA"/>
    <w:rsid w:val="7E00552C"/>
    <w:rsid w:val="7E2B1FC8"/>
    <w:rsid w:val="7E762F24"/>
    <w:rsid w:val="7EDD1333"/>
    <w:rsid w:val="7FDB0D0A"/>
    <w:rsid w:val="7FE9779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9" w:semiHidden="0" w:name="heading 2"/>
    <w:lsdException w:qFormat="1" w:unhideWhenUsed="0" w:uiPriority="99" w:semiHidden="0" w:name="heading 3"/>
    <w:lsdException w:qFormat="1" w:uiPriority="0"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qFormat="1" w:uiPriority="0" w:name="index 1"/>
    <w:lsdException w:qFormat="1" w:unhideWhenUsed="0" w:uiPriority="0" w:name="index 2"/>
    <w:lsdException w:qFormat="1" w:unhideWhenUsed="0" w:uiPriority="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iPriority="0" w:semiHidden="0" w:name="Normal Indent"/>
    <w:lsdException w:qFormat="1" w:unhideWhenUsed="0" w:uiPriority="0" w:semiHidden="0" w:name="footnote text"/>
    <w:lsdException w:qFormat="1" w:uiPriority="99" w:semiHidden="0" w:name="annotation text"/>
    <w:lsdException w:qFormat="1" w:uiPriority="99" w:semiHidden="0" w:name="header"/>
    <w:lsdException w:qFormat="1" w:uiPriority="99" w:semiHidden="0" w:name="footer"/>
    <w:lsdException w:qFormat="1" w:unhideWhenUsed="0" w:uiPriority="0" w:name="index heading"/>
    <w:lsdException w:qFormat="1" w:unhideWhenUsed="0" w:uiPriority="0" w:semiHidden="0" w:name="caption"/>
    <w:lsdException w:qFormat="1" w:unhideWhenUsed="0" w:uiPriority="0" w:name="table of figures"/>
    <w:lsdException w:uiPriority="99" w:name="envelope address"/>
    <w:lsdException w:uiPriority="99" w:name="envelope return"/>
    <w:lsdException w:qFormat="1" w:unhideWhenUsed="0" w:uiPriority="0" w:semiHidden="0"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qFormat="1" w:unhideWhenUsed="0" w:uiPriority="0" w:semiHidden="0" w:name="Signature"/>
    <w:lsdException w:qFormat="1" w:uiPriority="1" w:name="Default Paragraph Font"/>
    <w:lsdException w:qFormat="1" w:uiPriority="99" w:semiHidden="0" w:name="Body Text"/>
    <w:lsdException w:qFormat="1" w:uiPriority="99"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uiPriority="99" w:name="List Continue 5"/>
    <w:lsdException w:uiPriority="99" w:name="Message Header"/>
    <w:lsdException w:qFormat="1" w:unhideWhenUsed="0" w:uiPriority="0" w:semiHidden="0" w:name="Subtitle"/>
    <w:lsdException w:qFormat="1" w:unhideWhenUsed="0" w:uiPriority="0" w:semiHidden="0" w:name="Salutation"/>
    <w:lsdException w:qFormat="1" w:uiPriority="99" w:semiHidden="0" w:name="Date"/>
    <w:lsdException w:qFormat="1" w:uiPriority="99"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iPriority="99"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nhideWhenUsed="0" w:uiPriority="99" w:name="Document Map"/>
    <w:lsdException w:qFormat="1" w:uiPriority="0" w:semiHidden="0" w:name="Plain Text"/>
    <w:lsdException w:uiPriority="99" w:name="E-mail Signature"/>
    <w:lsdException w:qFormat="1" w:uiPriority="99" w:semiHidden="0" w:name="Normal (Web)"/>
    <w:lsdException w:qFormat="1" w:uiPriority="99"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iPriority="99" w:name="HTML Typewriter"/>
    <w:lsdException w:qFormat="1" w:unhideWhenUsed="0" w:uiPriority="0" w:semiHidden="0"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qFormat="1" w:unhideWhenUsed="0" w:uiPriority="0" w:semiHidden="0"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0"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Times New Roman" w:hAnsi="Times New Roman" w:eastAsia="宋体" w:cs="Times New Roman"/>
      <w:kern w:val="2"/>
      <w:sz w:val="24"/>
      <w:szCs w:val="24"/>
      <w:lang w:val="en-US" w:eastAsia="zh-CN" w:bidi="ar-SA"/>
    </w:rPr>
  </w:style>
  <w:style w:type="paragraph" w:styleId="4">
    <w:name w:val="heading 1"/>
    <w:next w:val="1"/>
    <w:link w:val="90"/>
    <w:qFormat/>
    <w:uiPriority w:val="0"/>
    <w:pPr>
      <w:keepNext/>
      <w:keepLines/>
      <w:numPr>
        <w:ilvl w:val="0"/>
        <w:numId w:val="1"/>
      </w:numPr>
      <w:adjustRightInd w:val="0"/>
      <w:snapToGrid w:val="0"/>
      <w:spacing w:line="360" w:lineRule="auto"/>
      <w:ind w:left="0"/>
      <w:outlineLvl w:val="0"/>
    </w:pPr>
    <w:rPr>
      <w:rFonts w:ascii="Times New Roman" w:hAnsi="Times New Roman" w:eastAsia="黑体" w:cs="Times New Roman"/>
      <w:bCs/>
      <w:kern w:val="44"/>
      <w:szCs w:val="44"/>
    </w:rPr>
  </w:style>
  <w:style w:type="paragraph" w:styleId="5">
    <w:name w:val="heading 2"/>
    <w:basedOn w:val="1"/>
    <w:next w:val="1"/>
    <w:link w:val="91"/>
    <w:qFormat/>
    <w:uiPriority w:val="99"/>
    <w:pPr>
      <w:keepNext/>
      <w:keepLines/>
      <w:numPr>
        <w:ilvl w:val="1"/>
        <w:numId w:val="1"/>
      </w:numPr>
      <w:adjustRightInd w:val="0"/>
      <w:snapToGrid w:val="0"/>
      <w:spacing w:before="120" w:line="360" w:lineRule="auto"/>
      <w:ind w:left="0"/>
      <w:outlineLvl w:val="1"/>
    </w:pPr>
    <w:rPr>
      <w:rFonts w:ascii="Times New Roman" w:hAnsi="Times New Roman" w:eastAsia="黑体"/>
      <w:b/>
      <w:bCs/>
      <w:kern w:val="0"/>
      <w:sz w:val="28"/>
      <w:szCs w:val="32"/>
    </w:rPr>
  </w:style>
  <w:style w:type="paragraph" w:styleId="6">
    <w:name w:val="heading 3"/>
    <w:basedOn w:val="1"/>
    <w:next w:val="1"/>
    <w:link w:val="89"/>
    <w:qFormat/>
    <w:uiPriority w:val="99"/>
    <w:pPr>
      <w:keepNext/>
      <w:keepLines/>
      <w:numPr>
        <w:ilvl w:val="2"/>
        <w:numId w:val="1"/>
      </w:numPr>
      <w:adjustRightInd w:val="0"/>
      <w:snapToGrid w:val="0"/>
      <w:spacing w:line="360" w:lineRule="auto"/>
      <w:ind w:left="0"/>
      <w:outlineLvl w:val="2"/>
    </w:pPr>
    <w:rPr>
      <w:b/>
      <w:bCs/>
      <w:kern w:val="0"/>
      <w:szCs w:val="32"/>
    </w:rPr>
  </w:style>
  <w:style w:type="paragraph" w:styleId="7">
    <w:name w:val="heading 4"/>
    <w:basedOn w:val="1"/>
    <w:next w:val="1"/>
    <w:link w:val="92"/>
    <w:unhideWhenUsed/>
    <w:qFormat/>
    <w:uiPriority w:val="0"/>
    <w:pPr>
      <w:keepNext/>
      <w:keepLines/>
      <w:numPr>
        <w:ilvl w:val="3"/>
        <w:numId w:val="1"/>
      </w:numPr>
      <w:adjustRightInd w:val="0"/>
      <w:snapToGrid w:val="0"/>
      <w:spacing w:line="360" w:lineRule="auto"/>
      <w:ind w:left="0" w:firstLine="480" w:firstLineChars="200"/>
      <w:outlineLvl w:val="3"/>
    </w:pPr>
    <w:rPr>
      <w:rFonts w:ascii="Times New Roman" w:hAnsi="Times New Roman" w:eastAsiaTheme="majorEastAsia"/>
      <w:b/>
      <w:bCs/>
      <w:color w:val="000000" w:themeColor="text1"/>
      <w:sz w:val="24"/>
      <w14:textFill>
        <w14:solidFill>
          <w14:schemeClr w14:val="tx1"/>
        </w14:solidFill>
      </w14:textFill>
    </w:rPr>
  </w:style>
  <w:style w:type="paragraph" w:styleId="8">
    <w:name w:val="heading 5"/>
    <w:basedOn w:val="1"/>
    <w:next w:val="1"/>
    <w:link w:val="146"/>
    <w:unhideWhenUsed/>
    <w:qFormat/>
    <w:uiPriority w:val="0"/>
    <w:pPr>
      <w:keepNext/>
      <w:keepLines/>
      <w:numPr>
        <w:ilvl w:val="4"/>
        <w:numId w:val="1"/>
      </w:numPr>
      <w:spacing w:before="280" w:after="290" w:line="376" w:lineRule="auto"/>
      <w:outlineLvl w:val="4"/>
    </w:pPr>
    <w:rPr>
      <w:b/>
      <w:bCs/>
      <w:sz w:val="28"/>
      <w:szCs w:val="28"/>
    </w:rPr>
  </w:style>
  <w:style w:type="paragraph" w:styleId="9">
    <w:name w:val="heading 6"/>
    <w:basedOn w:val="1"/>
    <w:next w:val="1"/>
    <w:link w:val="147"/>
    <w:unhideWhenUsed/>
    <w:qFormat/>
    <w:uiPriority w:val="0"/>
    <w:pPr>
      <w:keepNext/>
      <w:keepLines/>
      <w:numPr>
        <w:ilvl w:val="5"/>
        <w:numId w:val="1"/>
      </w:numPr>
      <w:spacing w:before="240" w:after="64" w:line="320" w:lineRule="auto"/>
      <w:outlineLvl w:val="5"/>
    </w:pPr>
    <w:rPr>
      <w:rFonts w:asciiTheme="majorHAnsi" w:hAnsiTheme="majorHAnsi" w:eastAsiaTheme="majorEastAsia" w:cstheme="majorBidi"/>
      <w:b/>
      <w:bCs/>
      <w:sz w:val="24"/>
      <w:szCs w:val="24"/>
    </w:rPr>
  </w:style>
  <w:style w:type="paragraph" w:styleId="10">
    <w:name w:val="heading 7"/>
    <w:basedOn w:val="1"/>
    <w:next w:val="1"/>
    <w:link w:val="148"/>
    <w:unhideWhenUsed/>
    <w:qFormat/>
    <w:uiPriority w:val="0"/>
    <w:pPr>
      <w:keepNext/>
      <w:keepLines/>
      <w:numPr>
        <w:ilvl w:val="6"/>
        <w:numId w:val="1"/>
      </w:numPr>
      <w:spacing w:before="240" w:after="64" w:line="320" w:lineRule="auto"/>
      <w:outlineLvl w:val="6"/>
    </w:pPr>
    <w:rPr>
      <w:b/>
      <w:bCs/>
      <w:sz w:val="24"/>
      <w:szCs w:val="24"/>
    </w:rPr>
  </w:style>
  <w:style w:type="paragraph" w:styleId="11">
    <w:name w:val="heading 8"/>
    <w:basedOn w:val="1"/>
    <w:next w:val="1"/>
    <w:link w:val="149"/>
    <w:unhideWhenUsed/>
    <w:qFormat/>
    <w:uiPriority w:val="0"/>
    <w:pPr>
      <w:keepNext/>
      <w:keepLines/>
      <w:numPr>
        <w:ilvl w:val="7"/>
        <w:numId w:val="1"/>
      </w:numPr>
      <w:spacing w:before="240" w:after="64" w:line="320" w:lineRule="auto"/>
      <w:outlineLvl w:val="7"/>
    </w:pPr>
    <w:rPr>
      <w:rFonts w:asciiTheme="majorHAnsi" w:hAnsiTheme="majorHAnsi" w:eastAsiaTheme="majorEastAsia" w:cstheme="majorBidi"/>
      <w:sz w:val="24"/>
      <w:szCs w:val="24"/>
    </w:rPr>
  </w:style>
  <w:style w:type="paragraph" w:styleId="12">
    <w:name w:val="heading 9"/>
    <w:basedOn w:val="1"/>
    <w:next w:val="1"/>
    <w:link w:val="150"/>
    <w:unhideWhenUsed/>
    <w:qFormat/>
    <w:uiPriority w:val="0"/>
    <w:pPr>
      <w:keepNext/>
      <w:keepLines/>
      <w:numPr>
        <w:ilvl w:val="8"/>
        <w:numId w:val="1"/>
      </w:numPr>
      <w:spacing w:before="240" w:after="64" w:line="320" w:lineRule="auto"/>
      <w:outlineLvl w:val="8"/>
    </w:pPr>
    <w:rPr>
      <w:rFonts w:asciiTheme="majorHAnsi" w:hAnsiTheme="majorHAnsi" w:eastAsiaTheme="majorEastAsia" w:cstheme="majorBidi"/>
    </w:rPr>
  </w:style>
  <w:style w:type="character" w:default="1" w:styleId="74">
    <w:name w:val="Default Paragraph Font"/>
    <w:semiHidden/>
    <w:unhideWhenUsed/>
    <w:qFormat/>
    <w:uiPriority w:val="1"/>
  </w:style>
  <w:style w:type="table" w:default="1" w:styleId="71">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103"/>
    <w:unhideWhenUsed/>
    <w:qFormat/>
    <w:uiPriority w:val="99"/>
    <w:rPr>
      <w:rFonts w:ascii="Times New Roman" w:hAnsi="Times New Roman" w:eastAsia="宋体"/>
    </w:rPr>
  </w:style>
  <w:style w:type="paragraph" w:customStyle="1" w:styleId="3">
    <w:name w:val="xl27"/>
    <w:basedOn w:val="1"/>
    <w:qFormat/>
    <w:uiPriority w:val="0"/>
    <w:pPr>
      <w:widowControl/>
      <w:spacing w:before="100" w:beforeAutospacing="1" w:after="100" w:afterAutospacing="1"/>
      <w:jc w:val="center"/>
      <w:textAlignment w:val="top"/>
    </w:pPr>
    <w:rPr>
      <w:rFonts w:ascii="宋体" w:hAnsi="宋体"/>
      <w:kern w:val="0"/>
    </w:rPr>
  </w:style>
  <w:style w:type="paragraph" w:styleId="13">
    <w:name w:val="List 3"/>
    <w:basedOn w:val="1"/>
    <w:qFormat/>
    <w:uiPriority w:val="0"/>
    <w:pPr>
      <w:ind w:left="100" w:leftChars="400" w:hanging="200" w:hangingChars="200"/>
    </w:pPr>
    <w:rPr>
      <w:rFonts w:ascii="Times New Roman" w:hAnsi="Times New Roman"/>
      <w:szCs w:val="24"/>
    </w:rPr>
  </w:style>
  <w:style w:type="paragraph" w:styleId="14">
    <w:name w:val="toc 7"/>
    <w:basedOn w:val="1"/>
    <w:next w:val="1"/>
    <w:unhideWhenUsed/>
    <w:qFormat/>
    <w:uiPriority w:val="39"/>
    <w:pPr>
      <w:ind w:left="2520" w:leftChars="1200"/>
    </w:pPr>
    <w:rPr>
      <w:rFonts w:asciiTheme="minorHAnsi" w:hAnsiTheme="minorHAnsi" w:eastAsiaTheme="minorEastAsia" w:cstheme="minorBidi"/>
      <w:szCs w:val="22"/>
    </w:rPr>
  </w:style>
  <w:style w:type="paragraph" w:styleId="15">
    <w:name w:val="index 8"/>
    <w:basedOn w:val="1"/>
    <w:next w:val="1"/>
    <w:semiHidden/>
    <w:qFormat/>
    <w:uiPriority w:val="0"/>
    <w:pPr>
      <w:spacing w:line="420" w:lineRule="exact"/>
      <w:ind w:left="1400" w:leftChars="1400"/>
    </w:pPr>
    <w:rPr>
      <w:rFonts w:ascii="Times New Roman" w:hAnsi="Times New Roman"/>
      <w:sz w:val="24"/>
      <w:szCs w:val="20"/>
    </w:rPr>
  </w:style>
  <w:style w:type="paragraph" w:styleId="16">
    <w:name w:val="List Number"/>
    <w:basedOn w:val="1"/>
    <w:qFormat/>
    <w:uiPriority w:val="0"/>
    <w:pPr>
      <w:tabs>
        <w:tab w:val="left" w:pos="360"/>
      </w:tabs>
      <w:ind w:left="360" w:hanging="360" w:hangingChars="200"/>
    </w:pPr>
    <w:rPr>
      <w:szCs w:val="22"/>
    </w:rPr>
  </w:style>
  <w:style w:type="paragraph" w:styleId="17">
    <w:name w:val="Normal Indent"/>
    <w:basedOn w:val="1"/>
    <w:link w:val="136"/>
    <w:unhideWhenUsed/>
    <w:qFormat/>
    <w:uiPriority w:val="0"/>
    <w:pPr>
      <w:ind w:firstLine="420" w:firstLineChars="200"/>
    </w:pPr>
  </w:style>
  <w:style w:type="paragraph" w:styleId="18">
    <w:name w:val="caption"/>
    <w:basedOn w:val="1"/>
    <w:next w:val="1"/>
    <w:link w:val="141"/>
    <w:qFormat/>
    <w:uiPriority w:val="0"/>
    <w:pPr>
      <w:adjustRightInd w:val="0"/>
      <w:snapToGrid w:val="0"/>
      <w:spacing w:line="20" w:lineRule="atLeast"/>
      <w:ind w:firstLine="510"/>
      <w:jc w:val="left"/>
      <w:textAlignment w:val="baseline"/>
    </w:pPr>
    <w:rPr>
      <w:rFonts w:eastAsia="楷体_GB2312" w:asciiTheme="minorHAnsi" w:hAnsiTheme="minorHAnsi" w:cstheme="minorBidi"/>
      <w:spacing w:val="8"/>
      <w:kern w:val="24"/>
      <w:sz w:val="15"/>
      <w:szCs w:val="22"/>
    </w:rPr>
  </w:style>
  <w:style w:type="paragraph" w:styleId="19">
    <w:name w:val="index 5"/>
    <w:basedOn w:val="1"/>
    <w:next w:val="1"/>
    <w:semiHidden/>
    <w:qFormat/>
    <w:uiPriority w:val="0"/>
    <w:pPr>
      <w:spacing w:line="420" w:lineRule="exact"/>
      <w:ind w:left="800" w:leftChars="800"/>
    </w:pPr>
    <w:rPr>
      <w:rFonts w:ascii="Times New Roman" w:hAnsi="Times New Roman"/>
      <w:sz w:val="24"/>
      <w:szCs w:val="20"/>
    </w:rPr>
  </w:style>
  <w:style w:type="paragraph" w:styleId="20">
    <w:name w:val="List Bullet"/>
    <w:basedOn w:val="1"/>
    <w:qFormat/>
    <w:uiPriority w:val="0"/>
    <w:pPr>
      <w:numPr>
        <w:ilvl w:val="0"/>
        <w:numId w:val="2"/>
      </w:numPr>
      <w:spacing w:line="490" w:lineRule="exact"/>
    </w:pPr>
    <w:rPr>
      <w:rFonts w:ascii="Times New Roman" w:hAnsi="Times New Roman" w:eastAsia="仿宋_GB2312"/>
      <w:sz w:val="28"/>
      <w:szCs w:val="20"/>
    </w:rPr>
  </w:style>
  <w:style w:type="paragraph" w:styleId="21">
    <w:name w:val="Document Map"/>
    <w:basedOn w:val="1"/>
    <w:link w:val="186"/>
    <w:semiHidden/>
    <w:qFormat/>
    <w:uiPriority w:val="99"/>
    <w:pPr>
      <w:shd w:val="clear" w:color="auto" w:fill="000080"/>
    </w:pPr>
    <w:rPr>
      <w:rFonts w:ascii="Times New Roman" w:hAnsi="Times New Roman"/>
      <w:szCs w:val="24"/>
    </w:rPr>
  </w:style>
  <w:style w:type="paragraph" w:styleId="22">
    <w:name w:val="annotation text"/>
    <w:basedOn w:val="1"/>
    <w:link w:val="138"/>
    <w:unhideWhenUsed/>
    <w:qFormat/>
    <w:uiPriority w:val="99"/>
    <w:pPr>
      <w:jc w:val="left"/>
    </w:pPr>
  </w:style>
  <w:style w:type="paragraph" w:styleId="23">
    <w:name w:val="index 6"/>
    <w:basedOn w:val="1"/>
    <w:next w:val="1"/>
    <w:semiHidden/>
    <w:qFormat/>
    <w:uiPriority w:val="0"/>
    <w:pPr>
      <w:spacing w:line="420" w:lineRule="exact"/>
      <w:ind w:left="1000" w:leftChars="1000"/>
    </w:pPr>
    <w:rPr>
      <w:rFonts w:ascii="Times New Roman" w:hAnsi="Times New Roman"/>
      <w:sz w:val="24"/>
      <w:szCs w:val="20"/>
    </w:rPr>
  </w:style>
  <w:style w:type="paragraph" w:styleId="24">
    <w:name w:val="Salutation"/>
    <w:basedOn w:val="1"/>
    <w:next w:val="1"/>
    <w:link w:val="239"/>
    <w:qFormat/>
    <w:uiPriority w:val="0"/>
    <w:rPr>
      <w:rFonts w:ascii="Times New Roman" w:hAnsi="Times New Roman"/>
      <w:szCs w:val="24"/>
    </w:rPr>
  </w:style>
  <w:style w:type="paragraph" w:styleId="25">
    <w:name w:val="Body Text 3"/>
    <w:basedOn w:val="1"/>
    <w:link w:val="363"/>
    <w:qFormat/>
    <w:uiPriority w:val="0"/>
    <w:pPr>
      <w:spacing w:after="120"/>
    </w:pPr>
    <w:rPr>
      <w:rFonts w:ascii="Times New Roman" w:hAnsi="Times New Roman"/>
      <w:kern w:val="0"/>
      <w:sz w:val="16"/>
      <w:szCs w:val="16"/>
    </w:rPr>
  </w:style>
  <w:style w:type="paragraph" w:styleId="26">
    <w:name w:val="List Bullet 3"/>
    <w:basedOn w:val="1"/>
    <w:qFormat/>
    <w:uiPriority w:val="0"/>
    <w:pPr>
      <w:tabs>
        <w:tab w:val="left" w:pos="907"/>
      </w:tabs>
      <w:ind w:left="907" w:hanging="397"/>
    </w:pPr>
    <w:rPr>
      <w:rFonts w:ascii="Times New Roman" w:hAnsi="Times New Roman"/>
      <w:szCs w:val="24"/>
    </w:rPr>
  </w:style>
  <w:style w:type="paragraph" w:styleId="27">
    <w:name w:val="Body Text Indent"/>
    <w:basedOn w:val="1"/>
    <w:link w:val="121"/>
    <w:unhideWhenUsed/>
    <w:qFormat/>
    <w:uiPriority w:val="99"/>
    <w:pPr>
      <w:spacing w:before="100" w:beforeAutospacing="1"/>
      <w:ind w:left="420" w:leftChars="200"/>
    </w:pPr>
    <w:rPr>
      <w:rFonts w:ascii="Times New Roman" w:hAnsi="Times New Roman"/>
    </w:rPr>
  </w:style>
  <w:style w:type="paragraph" w:styleId="28">
    <w:name w:val="List 2"/>
    <w:basedOn w:val="1"/>
    <w:qFormat/>
    <w:uiPriority w:val="0"/>
    <w:pPr>
      <w:ind w:left="100" w:leftChars="200" w:hanging="200" w:hangingChars="200"/>
    </w:pPr>
    <w:rPr>
      <w:rFonts w:ascii="Times New Roman" w:hAnsi="Times New Roman"/>
      <w:szCs w:val="24"/>
    </w:rPr>
  </w:style>
  <w:style w:type="paragraph" w:styleId="29">
    <w:name w:val="List Continue"/>
    <w:basedOn w:val="1"/>
    <w:qFormat/>
    <w:uiPriority w:val="0"/>
    <w:pPr>
      <w:spacing w:after="120"/>
      <w:ind w:left="420" w:leftChars="200"/>
    </w:pPr>
    <w:rPr>
      <w:rFonts w:ascii="Times New Roman" w:hAnsi="Times New Roman"/>
      <w:szCs w:val="24"/>
    </w:rPr>
  </w:style>
  <w:style w:type="paragraph" w:styleId="30">
    <w:name w:val="Block Text"/>
    <w:basedOn w:val="1"/>
    <w:qFormat/>
    <w:uiPriority w:val="0"/>
    <w:pPr>
      <w:spacing w:after="120"/>
      <w:ind w:left="1440" w:leftChars="700" w:right="1440" w:rightChars="700"/>
    </w:pPr>
    <w:rPr>
      <w:rFonts w:ascii="Times New Roman" w:hAnsi="Times New Roman"/>
      <w:szCs w:val="24"/>
    </w:rPr>
  </w:style>
  <w:style w:type="paragraph" w:styleId="31">
    <w:name w:val="List Bullet 2"/>
    <w:basedOn w:val="1"/>
    <w:qFormat/>
    <w:uiPriority w:val="0"/>
    <w:pPr>
      <w:tabs>
        <w:tab w:val="left" w:pos="780"/>
      </w:tabs>
      <w:ind w:left="780" w:leftChars="200" w:hanging="360" w:hangingChars="200"/>
    </w:pPr>
    <w:rPr>
      <w:rFonts w:ascii="Times New Roman" w:hAnsi="Times New Roman"/>
      <w:szCs w:val="24"/>
    </w:rPr>
  </w:style>
  <w:style w:type="paragraph" w:styleId="32">
    <w:name w:val="index 4"/>
    <w:basedOn w:val="1"/>
    <w:next w:val="1"/>
    <w:semiHidden/>
    <w:qFormat/>
    <w:uiPriority w:val="0"/>
    <w:pPr>
      <w:spacing w:line="420" w:lineRule="exact"/>
      <w:ind w:left="600" w:leftChars="600"/>
    </w:pPr>
    <w:rPr>
      <w:rFonts w:ascii="Times New Roman" w:hAnsi="Times New Roman"/>
      <w:sz w:val="24"/>
      <w:szCs w:val="20"/>
    </w:rPr>
  </w:style>
  <w:style w:type="paragraph" w:styleId="33">
    <w:name w:val="toc 5"/>
    <w:basedOn w:val="1"/>
    <w:next w:val="1"/>
    <w:unhideWhenUsed/>
    <w:qFormat/>
    <w:uiPriority w:val="39"/>
    <w:pPr>
      <w:ind w:left="1680" w:leftChars="800"/>
    </w:pPr>
    <w:rPr>
      <w:rFonts w:ascii="Times New Roman" w:hAnsi="Times New Roman"/>
      <w:szCs w:val="24"/>
    </w:rPr>
  </w:style>
  <w:style w:type="paragraph" w:styleId="34">
    <w:name w:val="toc 3"/>
    <w:basedOn w:val="1"/>
    <w:next w:val="1"/>
    <w:unhideWhenUsed/>
    <w:qFormat/>
    <w:uiPriority w:val="39"/>
    <w:pPr>
      <w:widowControl/>
      <w:spacing w:after="100" w:line="276" w:lineRule="auto"/>
      <w:ind w:left="440"/>
      <w:jc w:val="left"/>
    </w:pPr>
    <w:rPr>
      <w:kern w:val="0"/>
      <w:sz w:val="22"/>
      <w:szCs w:val="22"/>
    </w:rPr>
  </w:style>
  <w:style w:type="paragraph" w:styleId="35">
    <w:name w:val="Plain Text"/>
    <w:basedOn w:val="1"/>
    <w:link w:val="116"/>
    <w:unhideWhenUsed/>
    <w:qFormat/>
    <w:uiPriority w:val="0"/>
    <w:rPr>
      <w:rFonts w:ascii="宋体" w:hAnsi="Courier New" w:cs="宋体"/>
    </w:rPr>
  </w:style>
  <w:style w:type="paragraph" w:styleId="36">
    <w:name w:val="toc 8"/>
    <w:basedOn w:val="1"/>
    <w:next w:val="1"/>
    <w:unhideWhenUsed/>
    <w:qFormat/>
    <w:uiPriority w:val="39"/>
    <w:pPr>
      <w:ind w:left="2940" w:leftChars="1400"/>
    </w:pPr>
    <w:rPr>
      <w:rFonts w:asciiTheme="minorHAnsi" w:hAnsiTheme="minorHAnsi" w:eastAsiaTheme="minorEastAsia" w:cstheme="minorBidi"/>
      <w:szCs w:val="22"/>
    </w:rPr>
  </w:style>
  <w:style w:type="paragraph" w:styleId="37">
    <w:name w:val="index 3"/>
    <w:basedOn w:val="1"/>
    <w:next w:val="1"/>
    <w:semiHidden/>
    <w:qFormat/>
    <w:uiPriority w:val="0"/>
    <w:pPr>
      <w:spacing w:line="420" w:lineRule="exact"/>
      <w:ind w:left="400" w:leftChars="400"/>
    </w:pPr>
    <w:rPr>
      <w:rFonts w:ascii="Times New Roman" w:hAnsi="Times New Roman"/>
      <w:sz w:val="24"/>
      <w:szCs w:val="20"/>
    </w:rPr>
  </w:style>
  <w:style w:type="paragraph" w:styleId="38">
    <w:name w:val="Date"/>
    <w:basedOn w:val="1"/>
    <w:next w:val="1"/>
    <w:link w:val="108"/>
    <w:unhideWhenUsed/>
    <w:qFormat/>
    <w:uiPriority w:val="99"/>
    <w:pPr>
      <w:ind w:left="100" w:leftChars="2500"/>
    </w:pPr>
  </w:style>
  <w:style w:type="paragraph" w:styleId="39">
    <w:name w:val="Body Text Indent 2"/>
    <w:basedOn w:val="1"/>
    <w:link w:val="111"/>
    <w:unhideWhenUsed/>
    <w:qFormat/>
    <w:uiPriority w:val="99"/>
    <w:pPr>
      <w:spacing w:after="120" w:line="480" w:lineRule="auto"/>
      <w:ind w:left="420" w:leftChars="200"/>
    </w:pPr>
  </w:style>
  <w:style w:type="paragraph" w:styleId="40">
    <w:name w:val="Balloon Text"/>
    <w:basedOn w:val="1"/>
    <w:link w:val="140"/>
    <w:unhideWhenUsed/>
    <w:qFormat/>
    <w:uiPriority w:val="99"/>
    <w:rPr>
      <w:sz w:val="18"/>
      <w:szCs w:val="18"/>
    </w:rPr>
  </w:style>
  <w:style w:type="paragraph" w:styleId="41">
    <w:name w:val="footer"/>
    <w:basedOn w:val="1"/>
    <w:link w:val="102"/>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42">
    <w:name w:val="header"/>
    <w:basedOn w:val="1"/>
    <w:link w:val="101"/>
    <w:unhideWhenUsed/>
    <w:qFormat/>
    <w:uiPriority w:val="99"/>
    <w:pPr>
      <w:pBdr>
        <w:bottom w:val="single" w:color="auto" w:sz="6" w:space="1"/>
      </w:pBdr>
      <w:tabs>
        <w:tab w:val="center" w:pos="4153"/>
        <w:tab w:val="right" w:pos="8306"/>
      </w:tabs>
      <w:adjustRightInd w:val="0"/>
      <w:snapToGrid w:val="0"/>
      <w:jc w:val="center"/>
    </w:pPr>
    <w:rPr>
      <w:rFonts w:asciiTheme="minorHAnsi" w:hAnsiTheme="minorHAnsi" w:eastAsiaTheme="minorEastAsia" w:cstheme="minorBidi"/>
      <w:sz w:val="18"/>
      <w:szCs w:val="18"/>
    </w:rPr>
  </w:style>
  <w:style w:type="paragraph" w:styleId="43">
    <w:name w:val="Signature"/>
    <w:basedOn w:val="1"/>
    <w:link w:val="364"/>
    <w:qFormat/>
    <w:uiPriority w:val="0"/>
    <w:pPr>
      <w:ind w:left="100" w:leftChars="2100"/>
    </w:pPr>
    <w:rPr>
      <w:rFonts w:ascii="Times New Roman" w:hAnsi="Times New Roman"/>
      <w:kern w:val="0"/>
      <w:sz w:val="20"/>
      <w:szCs w:val="24"/>
    </w:rPr>
  </w:style>
  <w:style w:type="paragraph" w:styleId="44">
    <w:name w:val="toc 1"/>
    <w:basedOn w:val="1"/>
    <w:next w:val="1"/>
    <w:link w:val="97"/>
    <w:unhideWhenUsed/>
    <w:qFormat/>
    <w:uiPriority w:val="39"/>
    <w:pPr>
      <w:spacing w:before="120" w:after="120"/>
      <w:jc w:val="left"/>
    </w:pPr>
    <w:rPr>
      <w:rFonts w:eastAsiaTheme="minorEastAsia" w:cstheme="minorBidi"/>
      <w:b/>
      <w:bCs/>
      <w:caps/>
    </w:rPr>
  </w:style>
  <w:style w:type="paragraph" w:styleId="45">
    <w:name w:val="List Continue 4"/>
    <w:basedOn w:val="1"/>
    <w:qFormat/>
    <w:uiPriority w:val="0"/>
    <w:pPr>
      <w:spacing w:after="120"/>
      <w:ind w:left="1680" w:leftChars="800"/>
    </w:pPr>
    <w:rPr>
      <w:rFonts w:ascii="Times New Roman" w:hAnsi="Times New Roman"/>
      <w:szCs w:val="24"/>
    </w:rPr>
  </w:style>
  <w:style w:type="paragraph" w:styleId="46">
    <w:name w:val="toc 4"/>
    <w:basedOn w:val="1"/>
    <w:next w:val="1"/>
    <w:unhideWhenUsed/>
    <w:qFormat/>
    <w:uiPriority w:val="39"/>
    <w:pPr>
      <w:ind w:left="1260" w:leftChars="600"/>
    </w:pPr>
    <w:rPr>
      <w:rFonts w:ascii="Times New Roman" w:hAnsi="Times New Roman"/>
      <w:szCs w:val="24"/>
    </w:rPr>
  </w:style>
  <w:style w:type="paragraph" w:styleId="47">
    <w:name w:val="index heading"/>
    <w:basedOn w:val="1"/>
    <w:next w:val="48"/>
    <w:semiHidden/>
    <w:qFormat/>
    <w:uiPriority w:val="0"/>
    <w:rPr>
      <w:rFonts w:ascii="Times New Roman" w:hAnsi="Times New Roman"/>
      <w:szCs w:val="24"/>
    </w:rPr>
  </w:style>
  <w:style w:type="paragraph" w:styleId="48">
    <w:name w:val="index 1"/>
    <w:basedOn w:val="1"/>
    <w:next w:val="1"/>
    <w:semiHidden/>
    <w:unhideWhenUsed/>
    <w:qFormat/>
    <w:uiPriority w:val="0"/>
  </w:style>
  <w:style w:type="paragraph" w:styleId="49">
    <w:name w:val="Subtitle"/>
    <w:basedOn w:val="1"/>
    <w:link w:val="365"/>
    <w:qFormat/>
    <w:uiPriority w:val="0"/>
    <w:pPr>
      <w:spacing w:before="240" w:after="60" w:line="312" w:lineRule="auto"/>
      <w:jc w:val="center"/>
      <w:outlineLvl w:val="1"/>
    </w:pPr>
    <w:rPr>
      <w:rFonts w:ascii="Arial" w:hAnsi="Arial"/>
      <w:b/>
      <w:bCs/>
      <w:kern w:val="28"/>
      <w:sz w:val="32"/>
      <w:szCs w:val="32"/>
    </w:rPr>
  </w:style>
  <w:style w:type="paragraph" w:styleId="50">
    <w:name w:val="List"/>
    <w:basedOn w:val="1"/>
    <w:unhideWhenUsed/>
    <w:qFormat/>
    <w:uiPriority w:val="99"/>
    <w:pPr>
      <w:ind w:left="200" w:hanging="200" w:hangingChars="200"/>
      <w:contextualSpacing/>
    </w:pPr>
  </w:style>
  <w:style w:type="paragraph" w:styleId="51">
    <w:name w:val="footnote text"/>
    <w:basedOn w:val="1"/>
    <w:link w:val="366"/>
    <w:qFormat/>
    <w:uiPriority w:val="0"/>
    <w:pPr>
      <w:snapToGrid w:val="0"/>
      <w:spacing w:afterLines="20" w:line="400" w:lineRule="exact"/>
      <w:ind w:firstLine="480" w:firstLineChars="200"/>
      <w:jc w:val="left"/>
    </w:pPr>
    <w:rPr>
      <w:rFonts w:ascii="Times New Roman" w:hAnsi="Times New Roman"/>
      <w:kern w:val="0"/>
      <w:sz w:val="18"/>
      <w:szCs w:val="18"/>
    </w:rPr>
  </w:style>
  <w:style w:type="paragraph" w:styleId="52">
    <w:name w:val="toc 6"/>
    <w:basedOn w:val="1"/>
    <w:next w:val="1"/>
    <w:unhideWhenUsed/>
    <w:qFormat/>
    <w:uiPriority w:val="39"/>
    <w:pPr>
      <w:ind w:left="2100" w:leftChars="1000"/>
    </w:pPr>
    <w:rPr>
      <w:rFonts w:asciiTheme="minorHAnsi" w:hAnsiTheme="minorHAnsi" w:eastAsiaTheme="minorEastAsia" w:cstheme="minorBidi"/>
      <w:szCs w:val="22"/>
    </w:rPr>
  </w:style>
  <w:style w:type="paragraph" w:styleId="53">
    <w:name w:val="List 5"/>
    <w:basedOn w:val="1"/>
    <w:qFormat/>
    <w:uiPriority w:val="0"/>
    <w:pPr>
      <w:ind w:left="100" w:leftChars="800" w:hanging="200" w:hangingChars="200"/>
    </w:pPr>
    <w:rPr>
      <w:rFonts w:ascii="Times New Roman" w:hAnsi="Times New Roman"/>
      <w:sz w:val="28"/>
      <w:szCs w:val="20"/>
    </w:rPr>
  </w:style>
  <w:style w:type="paragraph" w:styleId="54">
    <w:name w:val="Body Text Indent 3"/>
    <w:basedOn w:val="1"/>
    <w:link w:val="240"/>
    <w:qFormat/>
    <w:uiPriority w:val="0"/>
    <w:pPr>
      <w:spacing w:after="120"/>
      <w:ind w:left="420" w:leftChars="200"/>
    </w:pPr>
    <w:rPr>
      <w:rFonts w:ascii="Times New Roman" w:hAnsi="Times New Roman"/>
      <w:sz w:val="16"/>
      <w:szCs w:val="16"/>
    </w:rPr>
  </w:style>
  <w:style w:type="paragraph" w:styleId="55">
    <w:name w:val="index 7"/>
    <w:basedOn w:val="1"/>
    <w:next w:val="1"/>
    <w:semiHidden/>
    <w:qFormat/>
    <w:uiPriority w:val="0"/>
    <w:pPr>
      <w:spacing w:line="420" w:lineRule="exact"/>
      <w:ind w:left="1200" w:leftChars="1200"/>
    </w:pPr>
    <w:rPr>
      <w:rFonts w:ascii="Times New Roman" w:hAnsi="Times New Roman"/>
      <w:sz w:val="24"/>
      <w:szCs w:val="20"/>
    </w:rPr>
  </w:style>
  <w:style w:type="paragraph" w:styleId="56">
    <w:name w:val="index 9"/>
    <w:basedOn w:val="1"/>
    <w:next w:val="1"/>
    <w:semiHidden/>
    <w:qFormat/>
    <w:uiPriority w:val="0"/>
    <w:pPr>
      <w:spacing w:line="420" w:lineRule="exact"/>
      <w:ind w:left="1600" w:leftChars="1600"/>
    </w:pPr>
    <w:rPr>
      <w:rFonts w:ascii="Times New Roman" w:hAnsi="Times New Roman"/>
      <w:sz w:val="24"/>
      <w:szCs w:val="20"/>
    </w:rPr>
  </w:style>
  <w:style w:type="paragraph" w:styleId="57">
    <w:name w:val="table of figures"/>
    <w:basedOn w:val="1"/>
    <w:next w:val="1"/>
    <w:semiHidden/>
    <w:qFormat/>
    <w:uiPriority w:val="0"/>
    <w:pPr>
      <w:spacing w:before="30" w:line="400" w:lineRule="exact"/>
      <w:ind w:left="200"/>
      <w:jc w:val="center"/>
    </w:pPr>
    <w:rPr>
      <w:rFonts w:ascii="Times New Roman" w:hAnsi="Times New Roman"/>
      <w:b/>
      <w:szCs w:val="20"/>
    </w:rPr>
  </w:style>
  <w:style w:type="paragraph" w:styleId="58">
    <w:name w:val="toc 2"/>
    <w:basedOn w:val="1"/>
    <w:next w:val="1"/>
    <w:unhideWhenUsed/>
    <w:qFormat/>
    <w:uiPriority w:val="39"/>
    <w:pPr>
      <w:ind w:left="210"/>
      <w:jc w:val="left"/>
    </w:pPr>
    <w:rPr>
      <w:smallCaps/>
    </w:rPr>
  </w:style>
  <w:style w:type="paragraph" w:styleId="59">
    <w:name w:val="toc 9"/>
    <w:basedOn w:val="1"/>
    <w:next w:val="1"/>
    <w:unhideWhenUsed/>
    <w:qFormat/>
    <w:uiPriority w:val="39"/>
    <w:pPr>
      <w:ind w:left="3360" w:leftChars="1600"/>
    </w:pPr>
    <w:rPr>
      <w:rFonts w:asciiTheme="minorHAnsi" w:hAnsiTheme="minorHAnsi" w:eastAsiaTheme="minorEastAsia" w:cstheme="minorBidi"/>
      <w:szCs w:val="22"/>
    </w:rPr>
  </w:style>
  <w:style w:type="paragraph" w:styleId="60">
    <w:name w:val="Body Text 2"/>
    <w:basedOn w:val="1"/>
    <w:link w:val="367"/>
    <w:qFormat/>
    <w:uiPriority w:val="0"/>
    <w:pPr>
      <w:adjustRightInd w:val="0"/>
      <w:spacing w:line="240" w:lineRule="exact"/>
      <w:textAlignment w:val="baseline"/>
    </w:pPr>
    <w:rPr>
      <w:rFonts w:ascii="Times New Roman" w:hAnsi="Times New Roman"/>
      <w:kern w:val="0"/>
      <w:sz w:val="24"/>
      <w:szCs w:val="20"/>
    </w:rPr>
  </w:style>
  <w:style w:type="paragraph" w:styleId="61">
    <w:name w:val="List 4"/>
    <w:basedOn w:val="1"/>
    <w:qFormat/>
    <w:uiPriority w:val="0"/>
    <w:pPr>
      <w:ind w:left="100" w:leftChars="600" w:hanging="200" w:hangingChars="200"/>
    </w:pPr>
    <w:rPr>
      <w:rFonts w:ascii="Times New Roman" w:hAnsi="Times New Roman"/>
      <w:kern w:val="0"/>
      <w:sz w:val="24"/>
      <w:szCs w:val="24"/>
    </w:rPr>
  </w:style>
  <w:style w:type="paragraph" w:styleId="62">
    <w:name w:val="List Continue 2"/>
    <w:basedOn w:val="1"/>
    <w:qFormat/>
    <w:uiPriority w:val="0"/>
    <w:pPr>
      <w:spacing w:after="120"/>
      <w:ind w:left="840" w:leftChars="400"/>
    </w:pPr>
    <w:rPr>
      <w:rFonts w:ascii="Times New Roman" w:hAnsi="Times New Roman"/>
      <w:szCs w:val="24"/>
    </w:rPr>
  </w:style>
  <w:style w:type="paragraph" w:styleId="63">
    <w:name w:val="HTML Preformatted"/>
    <w:basedOn w:val="1"/>
    <w:link w:val="346"/>
    <w:qFormat/>
    <w:uiPriority w:val="0"/>
    <w:rPr>
      <w:rFonts w:ascii="Courier New" w:hAnsi="Courier New" w:cs="Courier New"/>
      <w:szCs w:val="24"/>
    </w:rPr>
  </w:style>
  <w:style w:type="paragraph" w:styleId="64">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65">
    <w:name w:val="List Continue 3"/>
    <w:basedOn w:val="1"/>
    <w:qFormat/>
    <w:uiPriority w:val="0"/>
    <w:pPr>
      <w:spacing w:after="120"/>
      <w:ind w:left="1260" w:leftChars="600"/>
    </w:pPr>
    <w:rPr>
      <w:rFonts w:ascii="Times New Roman" w:hAnsi="Times New Roman"/>
      <w:sz w:val="28"/>
      <w:szCs w:val="20"/>
    </w:rPr>
  </w:style>
  <w:style w:type="paragraph" w:styleId="66">
    <w:name w:val="index 2"/>
    <w:basedOn w:val="1"/>
    <w:next w:val="1"/>
    <w:semiHidden/>
    <w:qFormat/>
    <w:uiPriority w:val="0"/>
    <w:pPr>
      <w:spacing w:line="420" w:lineRule="exact"/>
      <w:ind w:left="200" w:leftChars="200"/>
    </w:pPr>
    <w:rPr>
      <w:rFonts w:ascii="Times New Roman" w:hAnsi="Times New Roman"/>
      <w:sz w:val="24"/>
      <w:szCs w:val="20"/>
    </w:rPr>
  </w:style>
  <w:style w:type="paragraph" w:styleId="67">
    <w:name w:val="Title"/>
    <w:basedOn w:val="1"/>
    <w:next w:val="1"/>
    <w:link w:val="368"/>
    <w:qFormat/>
    <w:uiPriority w:val="0"/>
    <w:pPr>
      <w:spacing w:before="240" w:after="60"/>
      <w:jc w:val="center"/>
      <w:outlineLvl w:val="0"/>
    </w:pPr>
    <w:rPr>
      <w:rFonts w:ascii="Arial" w:hAnsi="Arial"/>
      <w:b/>
      <w:bCs/>
      <w:kern w:val="0"/>
      <w:sz w:val="32"/>
      <w:szCs w:val="32"/>
    </w:rPr>
  </w:style>
  <w:style w:type="paragraph" w:styleId="68">
    <w:name w:val="annotation subject"/>
    <w:basedOn w:val="22"/>
    <w:next w:val="22"/>
    <w:link w:val="139"/>
    <w:semiHidden/>
    <w:unhideWhenUsed/>
    <w:qFormat/>
    <w:uiPriority w:val="99"/>
    <w:rPr>
      <w:b/>
      <w:bCs/>
    </w:rPr>
  </w:style>
  <w:style w:type="paragraph" w:styleId="69">
    <w:name w:val="Body Text First Indent"/>
    <w:basedOn w:val="2"/>
    <w:next w:val="1"/>
    <w:link w:val="100"/>
    <w:unhideWhenUsed/>
    <w:qFormat/>
    <w:uiPriority w:val="99"/>
    <w:pPr>
      <w:adjustRightInd w:val="0"/>
      <w:snapToGrid w:val="0"/>
      <w:spacing w:after="0" w:line="360" w:lineRule="auto"/>
      <w:ind w:firstLine="200" w:firstLineChars="200"/>
    </w:pPr>
    <w:rPr>
      <w:rFonts w:ascii="Times New Roman" w:hAnsi="Times New Roman" w:cstheme="minorBidi"/>
      <w:sz w:val="24"/>
      <w:szCs w:val="22"/>
    </w:rPr>
  </w:style>
  <w:style w:type="paragraph" w:styleId="70">
    <w:name w:val="Body Text First Indent 2"/>
    <w:basedOn w:val="27"/>
    <w:link w:val="241"/>
    <w:qFormat/>
    <w:uiPriority w:val="0"/>
    <w:pPr>
      <w:spacing w:before="0" w:beforeAutospacing="0" w:after="120"/>
      <w:ind w:firstLine="420" w:firstLineChars="200"/>
    </w:pPr>
    <w:rPr>
      <w:szCs w:val="24"/>
    </w:rPr>
  </w:style>
  <w:style w:type="table" w:styleId="72">
    <w:name w:val="Table Grid"/>
    <w:basedOn w:val="7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73">
    <w:name w:val="Table Elegant"/>
    <w:basedOn w:val="71"/>
    <w:qFormat/>
    <w:uiPriority w:val="0"/>
    <w:pPr>
      <w:widowControl w:val="0"/>
      <w:adjustRightInd w:val="0"/>
      <w:snapToGrid w:val="0"/>
      <w:spacing w:line="480" w:lineRule="auto"/>
      <w:ind w:firstLine="454"/>
      <w:jc w:val="center"/>
      <w:textAlignment w:val="baseline"/>
    </w:pPr>
    <w:rPr>
      <w:rFonts w:ascii="Calibri" w:hAnsi="Calibri"/>
    </w:rPr>
    <w:tblPr>
      <w:jc w:val="center"/>
      <w:tblBorders>
        <w:top w:val="thinThickSmallGap" w:color="auto" w:sz="12" w:space="0"/>
        <w:bottom w:val="thinThickSmallGap" w:color="auto" w:sz="12" w:space="0"/>
        <w:insideH w:val="single" w:color="auto" w:sz="6" w:space="0"/>
        <w:insideV w:val="single" w:color="auto" w:sz="6" w:space="0"/>
      </w:tblBorders>
      <w:tblCellMar>
        <w:top w:w="0" w:type="dxa"/>
        <w:left w:w="108" w:type="dxa"/>
        <w:bottom w:w="0" w:type="dxa"/>
        <w:right w:w="108" w:type="dxa"/>
      </w:tblCellMar>
    </w:tblPr>
    <w:trPr>
      <w:jc w:val="center"/>
    </w:trPr>
    <w:tcPr>
      <w:shd w:val="clear" w:color="auto" w:fill="auto"/>
      <w:vAlign w:val="center"/>
    </w:tcPr>
    <w:tblStylePr w:type="firstRow">
      <w:rPr>
        <w:caps/>
        <w:color w:val="auto"/>
      </w:rPr>
      <w:tblPr/>
      <w:tcPr>
        <w:tcBorders>
          <w:tl2br w:val="nil"/>
          <w:tr2bl w:val="nil"/>
        </w:tcBorders>
      </w:tcPr>
    </w:tblStylePr>
  </w:style>
  <w:style w:type="character" w:styleId="75">
    <w:name w:val="Strong"/>
    <w:qFormat/>
    <w:uiPriority w:val="22"/>
  </w:style>
  <w:style w:type="character" w:styleId="76">
    <w:name w:val="page number"/>
    <w:basedOn w:val="74"/>
    <w:qFormat/>
    <w:uiPriority w:val="0"/>
  </w:style>
  <w:style w:type="character" w:styleId="77">
    <w:name w:val="FollowedHyperlink"/>
    <w:basedOn w:val="74"/>
    <w:unhideWhenUsed/>
    <w:qFormat/>
    <w:uiPriority w:val="99"/>
    <w:rPr>
      <w:color w:val="800080"/>
      <w:u w:val="single"/>
    </w:rPr>
  </w:style>
  <w:style w:type="character" w:styleId="78">
    <w:name w:val="Emphasis"/>
    <w:basedOn w:val="74"/>
    <w:qFormat/>
    <w:uiPriority w:val="20"/>
    <w:rPr>
      <w:i/>
      <w:iCs/>
    </w:rPr>
  </w:style>
  <w:style w:type="character" w:styleId="79">
    <w:name w:val="HTML Definition"/>
    <w:qFormat/>
    <w:uiPriority w:val="0"/>
  </w:style>
  <w:style w:type="character" w:styleId="80">
    <w:name w:val="HTML Acronym"/>
    <w:basedOn w:val="74"/>
    <w:semiHidden/>
    <w:unhideWhenUsed/>
    <w:qFormat/>
    <w:uiPriority w:val="99"/>
  </w:style>
  <w:style w:type="character" w:styleId="81">
    <w:name w:val="HTML Variable"/>
    <w:qFormat/>
    <w:uiPriority w:val="0"/>
  </w:style>
  <w:style w:type="character" w:styleId="82">
    <w:name w:val="Hyperlink"/>
    <w:unhideWhenUsed/>
    <w:qFormat/>
    <w:uiPriority w:val="99"/>
    <w:rPr>
      <w:color w:val="0000FF"/>
      <w:u w:val="single"/>
    </w:rPr>
  </w:style>
  <w:style w:type="character" w:styleId="83">
    <w:name w:val="HTML Code"/>
    <w:qFormat/>
    <w:uiPriority w:val="0"/>
    <w:rPr>
      <w:rFonts w:ascii="monospace" w:hAnsi="monospace" w:eastAsia="monospace" w:cs="monospace"/>
      <w:sz w:val="21"/>
      <w:szCs w:val="21"/>
    </w:rPr>
  </w:style>
  <w:style w:type="character" w:styleId="84">
    <w:name w:val="annotation reference"/>
    <w:basedOn w:val="74"/>
    <w:unhideWhenUsed/>
    <w:qFormat/>
    <w:uiPriority w:val="99"/>
    <w:rPr>
      <w:sz w:val="21"/>
      <w:szCs w:val="21"/>
    </w:rPr>
  </w:style>
  <w:style w:type="character" w:styleId="85">
    <w:name w:val="HTML Cite"/>
    <w:qFormat/>
    <w:uiPriority w:val="0"/>
  </w:style>
  <w:style w:type="character" w:styleId="86">
    <w:name w:val="footnote reference"/>
    <w:qFormat/>
    <w:uiPriority w:val="0"/>
    <w:rPr>
      <w:vertAlign w:val="superscript"/>
    </w:rPr>
  </w:style>
  <w:style w:type="character" w:styleId="87">
    <w:name w:val="HTML Keyboard"/>
    <w:qFormat/>
    <w:uiPriority w:val="0"/>
    <w:rPr>
      <w:rFonts w:hint="default" w:ascii="monospace" w:hAnsi="monospace" w:eastAsia="monospace" w:cs="monospace"/>
      <w:sz w:val="21"/>
      <w:szCs w:val="21"/>
    </w:rPr>
  </w:style>
  <w:style w:type="character" w:styleId="88">
    <w:name w:val="HTML Sample"/>
    <w:qFormat/>
    <w:uiPriority w:val="0"/>
    <w:rPr>
      <w:rFonts w:hint="default" w:ascii="monospace" w:hAnsi="monospace" w:eastAsia="monospace" w:cs="monospace"/>
      <w:sz w:val="21"/>
      <w:szCs w:val="21"/>
    </w:rPr>
  </w:style>
  <w:style w:type="character" w:customStyle="1" w:styleId="89">
    <w:name w:val="标题 3 Char"/>
    <w:basedOn w:val="74"/>
    <w:link w:val="6"/>
    <w:qFormat/>
    <w:uiPriority w:val="99"/>
    <w:rPr>
      <w:rFonts w:ascii="Times New Roman" w:hAnsi="Times New Roman" w:eastAsia="宋体"/>
      <w:b/>
      <w:bCs/>
      <w:sz w:val="24"/>
      <w:szCs w:val="32"/>
    </w:rPr>
  </w:style>
  <w:style w:type="character" w:customStyle="1" w:styleId="90">
    <w:name w:val="标题 1 Char"/>
    <w:basedOn w:val="74"/>
    <w:link w:val="4"/>
    <w:qFormat/>
    <w:uiPriority w:val="0"/>
    <w:rPr>
      <w:rFonts w:ascii="Times New Roman" w:hAnsi="Times New Roman" w:eastAsia="黑体"/>
      <w:bCs/>
      <w:kern w:val="44"/>
      <w:sz w:val="24"/>
      <w:szCs w:val="44"/>
    </w:rPr>
  </w:style>
  <w:style w:type="character" w:customStyle="1" w:styleId="91">
    <w:name w:val="标题 2 Char"/>
    <w:basedOn w:val="74"/>
    <w:link w:val="5"/>
    <w:qFormat/>
    <w:uiPriority w:val="99"/>
    <w:rPr>
      <w:rFonts w:ascii="Times New Roman" w:hAnsi="Times New Roman" w:eastAsia="黑体"/>
      <w:b/>
      <w:bCs/>
      <w:sz w:val="28"/>
      <w:szCs w:val="32"/>
    </w:rPr>
  </w:style>
  <w:style w:type="character" w:customStyle="1" w:styleId="92">
    <w:name w:val="标题 4 Char"/>
    <w:basedOn w:val="74"/>
    <w:link w:val="7"/>
    <w:qFormat/>
    <w:uiPriority w:val="0"/>
    <w:rPr>
      <w:rFonts w:ascii="Times New Roman" w:hAnsi="Times New Roman" w:eastAsiaTheme="majorEastAsia"/>
      <w:b/>
      <w:bCs/>
      <w:color w:val="000000" w:themeColor="text1"/>
      <w:kern w:val="2"/>
      <w:sz w:val="24"/>
      <w:szCs w:val="24"/>
      <w14:textFill>
        <w14:solidFill>
          <w14:schemeClr w14:val="tx1"/>
        </w14:solidFill>
      </w14:textFill>
    </w:rPr>
  </w:style>
  <w:style w:type="paragraph" w:customStyle="1" w:styleId="93">
    <w:name w:val="表字体"/>
    <w:basedOn w:val="1"/>
    <w:next w:val="1"/>
    <w:link w:val="694"/>
    <w:qFormat/>
    <w:uiPriority w:val="0"/>
    <w:pPr>
      <w:jc w:val="center"/>
    </w:pPr>
    <w:rPr>
      <w:rFonts w:ascii="Times New Roman" w:hAnsi="Times New Roman"/>
    </w:rPr>
  </w:style>
  <w:style w:type="paragraph" w:customStyle="1" w:styleId="94">
    <w:name w:val="表标题"/>
    <w:basedOn w:val="1"/>
    <w:qFormat/>
    <w:uiPriority w:val="0"/>
    <w:pPr>
      <w:jc w:val="center"/>
    </w:pPr>
    <w:rPr>
      <w:rFonts w:ascii="Times New Roman" w:hAnsi="Times New Roman"/>
      <w:b/>
      <w:kern w:val="0"/>
      <w:sz w:val="20"/>
      <w:szCs w:val="20"/>
    </w:rPr>
  </w:style>
  <w:style w:type="paragraph" w:customStyle="1" w:styleId="95">
    <w:name w:val="表头"/>
    <w:basedOn w:val="35"/>
    <w:next w:val="1"/>
    <w:link w:val="310"/>
    <w:qFormat/>
    <w:uiPriority w:val="0"/>
    <w:pPr>
      <w:spacing w:line="276" w:lineRule="auto"/>
      <w:ind w:firstLine="0" w:firstLineChars="0"/>
      <w:jc w:val="center"/>
    </w:pPr>
    <w:rPr>
      <w:rFonts w:cs="Times New Roman"/>
      <w:b/>
      <w:kern w:val="10"/>
      <w:szCs w:val="24"/>
    </w:rPr>
  </w:style>
  <w:style w:type="paragraph" w:customStyle="1" w:styleId="96">
    <w:name w:val="Default"/>
    <w:basedOn w:val="1"/>
    <w:qFormat/>
    <w:uiPriority w:val="0"/>
    <w:pPr>
      <w:autoSpaceDE w:val="0"/>
      <w:autoSpaceDN w:val="0"/>
      <w:adjustRightInd w:val="0"/>
      <w:jc w:val="left"/>
    </w:pPr>
    <w:rPr>
      <w:rFonts w:ascii="宋体" w:hAnsi="宋体" w:cs="宋体"/>
      <w:color w:val="000000"/>
      <w:kern w:val="0"/>
      <w:sz w:val="24"/>
      <w:szCs w:val="24"/>
    </w:rPr>
  </w:style>
  <w:style w:type="character" w:customStyle="1" w:styleId="97">
    <w:name w:val="目录 1 Char"/>
    <w:link w:val="44"/>
    <w:qFormat/>
    <w:uiPriority w:val="39"/>
    <w:rPr>
      <w:rFonts w:ascii="Calibri" w:hAnsi="Calibri"/>
      <w:b/>
      <w:bCs/>
      <w:caps/>
      <w:szCs w:val="21"/>
    </w:rPr>
  </w:style>
  <w:style w:type="character" w:customStyle="1" w:styleId="98">
    <w:name w:val="正文文字 Char1"/>
    <w:link w:val="99"/>
    <w:qFormat/>
    <w:uiPriority w:val="0"/>
    <w:rPr>
      <w:sz w:val="24"/>
      <w:szCs w:val="24"/>
    </w:rPr>
  </w:style>
  <w:style w:type="paragraph" w:customStyle="1" w:styleId="99">
    <w:name w:val="正文文字"/>
    <w:basedOn w:val="17"/>
    <w:link w:val="98"/>
    <w:qFormat/>
    <w:uiPriority w:val="0"/>
    <w:pPr>
      <w:adjustRightInd w:val="0"/>
      <w:snapToGrid w:val="0"/>
      <w:spacing w:line="360" w:lineRule="auto"/>
      <w:ind w:firstLine="200"/>
    </w:pPr>
    <w:rPr>
      <w:rFonts w:asciiTheme="minorHAnsi" w:hAnsiTheme="minorHAnsi" w:eastAsiaTheme="minorEastAsia" w:cstheme="minorBidi"/>
      <w:sz w:val="24"/>
      <w:szCs w:val="24"/>
    </w:rPr>
  </w:style>
  <w:style w:type="character" w:customStyle="1" w:styleId="100">
    <w:name w:val="正文首行缩进 Char"/>
    <w:link w:val="69"/>
    <w:qFormat/>
    <w:uiPriority w:val="99"/>
    <w:rPr>
      <w:rFonts w:ascii="Times New Roman" w:hAnsi="Times New Roman" w:eastAsia="宋体"/>
      <w:sz w:val="24"/>
    </w:rPr>
  </w:style>
  <w:style w:type="character" w:customStyle="1" w:styleId="101">
    <w:name w:val="页眉 Char"/>
    <w:link w:val="42"/>
    <w:qFormat/>
    <w:uiPriority w:val="99"/>
    <w:rPr>
      <w:sz w:val="18"/>
      <w:szCs w:val="18"/>
    </w:rPr>
  </w:style>
  <w:style w:type="character" w:customStyle="1" w:styleId="102">
    <w:name w:val="页脚 Char"/>
    <w:link w:val="41"/>
    <w:qFormat/>
    <w:uiPriority w:val="99"/>
    <w:rPr>
      <w:sz w:val="18"/>
      <w:szCs w:val="18"/>
    </w:rPr>
  </w:style>
  <w:style w:type="character" w:customStyle="1" w:styleId="103">
    <w:name w:val="正文文本 Char"/>
    <w:basedOn w:val="74"/>
    <w:link w:val="2"/>
    <w:qFormat/>
    <w:uiPriority w:val="99"/>
    <w:rPr>
      <w:rFonts w:ascii="Times New Roman" w:hAnsi="Times New Roman" w:eastAsia="宋体" w:cs="Times New Roman"/>
      <w:szCs w:val="21"/>
    </w:rPr>
  </w:style>
  <w:style w:type="character" w:customStyle="1" w:styleId="104">
    <w:name w:val="正文首行缩进 Char1"/>
    <w:basedOn w:val="103"/>
    <w:semiHidden/>
    <w:qFormat/>
    <w:uiPriority w:val="99"/>
    <w:rPr>
      <w:rFonts w:ascii="Calibri" w:hAnsi="Calibri" w:eastAsia="宋体" w:cs="Times New Roman"/>
      <w:szCs w:val="21"/>
    </w:rPr>
  </w:style>
  <w:style w:type="character" w:customStyle="1" w:styleId="105">
    <w:name w:val="页脚 Char1"/>
    <w:basedOn w:val="74"/>
    <w:semiHidden/>
    <w:qFormat/>
    <w:uiPriority w:val="99"/>
    <w:rPr>
      <w:rFonts w:ascii="Calibri" w:hAnsi="Calibri" w:eastAsia="宋体" w:cs="Times New Roman"/>
      <w:sz w:val="18"/>
      <w:szCs w:val="18"/>
    </w:rPr>
  </w:style>
  <w:style w:type="character" w:customStyle="1" w:styleId="106">
    <w:name w:val="页眉 Char1"/>
    <w:basedOn w:val="74"/>
    <w:semiHidden/>
    <w:qFormat/>
    <w:uiPriority w:val="99"/>
    <w:rPr>
      <w:rFonts w:ascii="Calibri" w:hAnsi="Calibri" w:eastAsia="宋体" w:cs="Times New Roman"/>
      <w:sz w:val="18"/>
      <w:szCs w:val="18"/>
    </w:rPr>
  </w:style>
  <w:style w:type="paragraph" w:customStyle="1" w:styleId="107">
    <w:name w:val="普通(网站)1"/>
    <w:basedOn w:val="1"/>
    <w:qFormat/>
    <w:uiPriority w:val="0"/>
    <w:pPr>
      <w:widowControl/>
      <w:spacing w:before="100" w:beforeAutospacing="1" w:after="100" w:afterAutospacing="1"/>
      <w:jc w:val="left"/>
    </w:pPr>
    <w:rPr>
      <w:rFonts w:ascii="宋体" w:hAnsi="宋体"/>
      <w:sz w:val="24"/>
      <w:szCs w:val="24"/>
    </w:rPr>
  </w:style>
  <w:style w:type="character" w:customStyle="1" w:styleId="108">
    <w:name w:val="日期 Char"/>
    <w:basedOn w:val="74"/>
    <w:link w:val="38"/>
    <w:qFormat/>
    <w:uiPriority w:val="99"/>
    <w:rPr>
      <w:rFonts w:ascii="Calibri" w:hAnsi="Calibri" w:eastAsia="宋体" w:cs="Times New Roman"/>
      <w:szCs w:val="21"/>
    </w:rPr>
  </w:style>
  <w:style w:type="paragraph" w:customStyle="1" w:styleId="109">
    <w:name w:val="报告书正文"/>
    <w:basedOn w:val="1"/>
    <w:link w:val="143"/>
    <w:qFormat/>
    <w:uiPriority w:val="0"/>
    <w:pPr>
      <w:spacing w:line="300" w:lineRule="auto"/>
      <w:ind w:firstLine="200" w:firstLineChars="200"/>
    </w:pPr>
    <w:rPr>
      <w:rFonts w:ascii="Times New Roman" w:hAnsi="Times New Roman"/>
      <w:sz w:val="24"/>
      <w:szCs w:val="24"/>
    </w:rPr>
  </w:style>
  <w:style w:type="paragraph" w:styleId="110">
    <w:name w:val="List Paragraph"/>
    <w:basedOn w:val="1"/>
    <w:qFormat/>
    <w:uiPriority w:val="34"/>
    <w:pPr>
      <w:adjustRightInd w:val="0"/>
      <w:spacing w:line="312" w:lineRule="atLeast"/>
      <w:ind w:firstLine="420" w:firstLineChars="200"/>
      <w:textAlignment w:val="baseline"/>
    </w:pPr>
    <w:rPr>
      <w:rFonts w:ascii="Times New Roman" w:hAnsi="Times New Roman"/>
      <w:kern w:val="0"/>
    </w:rPr>
  </w:style>
  <w:style w:type="character" w:customStyle="1" w:styleId="111">
    <w:name w:val="正文文本缩进 2 Char"/>
    <w:basedOn w:val="74"/>
    <w:link w:val="39"/>
    <w:qFormat/>
    <w:uiPriority w:val="99"/>
    <w:rPr>
      <w:rFonts w:ascii="Calibri" w:hAnsi="Calibri" w:eastAsia="宋体" w:cs="Times New Roman"/>
      <w:szCs w:val="21"/>
    </w:rPr>
  </w:style>
  <w:style w:type="paragraph" w:customStyle="1" w:styleId="112">
    <w:name w:val="报告书正文 Char Char Char Char Char Char Char"/>
    <w:basedOn w:val="1"/>
    <w:qFormat/>
    <w:uiPriority w:val="0"/>
    <w:pPr>
      <w:spacing w:line="300" w:lineRule="auto"/>
      <w:ind w:firstLine="480" w:firstLineChars="200"/>
    </w:pPr>
    <w:rPr>
      <w:rFonts w:ascii="Times New Roman" w:hAnsi="Times New Roman"/>
      <w:color w:val="000000"/>
      <w:sz w:val="24"/>
      <w:szCs w:val="24"/>
    </w:rPr>
  </w:style>
  <w:style w:type="paragraph" w:customStyle="1" w:styleId="113">
    <w:name w:val="图表头"/>
    <w:basedOn w:val="1"/>
    <w:qFormat/>
    <w:uiPriority w:val="0"/>
    <w:pPr>
      <w:adjustRightInd w:val="0"/>
      <w:spacing w:line="360" w:lineRule="auto"/>
      <w:jc w:val="center"/>
      <w:textAlignment w:val="baseline"/>
    </w:pPr>
    <w:rPr>
      <w:rFonts w:ascii="黑体" w:hAnsi="黑体" w:eastAsia="黑体" w:cs="宋体"/>
      <w:spacing w:val="5"/>
      <w:kern w:val="0"/>
    </w:rPr>
  </w:style>
  <w:style w:type="paragraph" w:customStyle="1" w:styleId="114">
    <w:name w:val="报告书正文 Char Char Char"/>
    <w:basedOn w:val="1"/>
    <w:link w:val="153"/>
    <w:qFormat/>
    <w:uiPriority w:val="0"/>
    <w:pPr>
      <w:spacing w:line="300" w:lineRule="auto"/>
      <w:ind w:firstLine="200" w:firstLineChars="200"/>
    </w:pPr>
    <w:rPr>
      <w:rFonts w:ascii="Times New Roman" w:hAnsi="Times New Roman"/>
      <w:sz w:val="24"/>
      <w:szCs w:val="24"/>
    </w:rPr>
  </w:style>
  <w:style w:type="paragraph" w:customStyle="1" w:styleId="115">
    <w:name w:val="5表标题"/>
    <w:basedOn w:val="1"/>
    <w:qFormat/>
    <w:uiPriority w:val="0"/>
    <w:pPr>
      <w:widowControl/>
      <w:jc w:val="center"/>
    </w:pPr>
    <w:rPr>
      <w:rFonts w:ascii="Times New Roman" w:hAnsi="Times New Roman" w:cs="宋体"/>
      <w:b/>
      <w:bCs/>
    </w:rPr>
  </w:style>
  <w:style w:type="character" w:customStyle="1" w:styleId="116">
    <w:name w:val="纯文本 Char"/>
    <w:basedOn w:val="74"/>
    <w:link w:val="35"/>
    <w:qFormat/>
    <w:uiPriority w:val="0"/>
    <w:rPr>
      <w:rFonts w:ascii="宋体" w:hAnsi="Courier New" w:eastAsia="宋体" w:cs="宋体"/>
      <w:szCs w:val="21"/>
    </w:rPr>
  </w:style>
  <w:style w:type="paragraph" w:customStyle="1" w:styleId="117">
    <w:name w:val="表格"/>
    <w:basedOn w:val="1"/>
    <w:next w:val="1"/>
    <w:link w:val="420"/>
    <w:qFormat/>
    <w:uiPriority w:val="0"/>
    <w:pPr>
      <w:spacing w:line="240" w:lineRule="auto"/>
      <w:ind w:firstLine="0" w:firstLineChars="0"/>
      <w:jc w:val="center"/>
      <w:outlineLvl w:val="5"/>
    </w:pPr>
    <w:rPr>
      <w:rFonts w:ascii="宋体" w:hAnsi="宋体" w:cs="宋体"/>
      <w:kern w:val="0"/>
      <w:sz w:val="21"/>
    </w:rPr>
  </w:style>
  <w:style w:type="paragraph" w:customStyle="1" w:styleId="118">
    <w:name w:val="表头11"/>
    <w:basedOn w:val="1"/>
    <w:qFormat/>
    <w:uiPriority w:val="0"/>
    <w:pPr>
      <w:adjustRightInd w:val="0"/>
      <w:snapToGrid w:val="0"/>
      <w:spacing w:line="480" w:lineRule="exact"/>
      <w:jc w:val="center"/>
    </w:pPr>
    <w:rPr>
      <w:rFonts w:ascii="宋体" w:hAnsi="宋体" w:cs="宋体"/>
      <w:b/>
      <w:bCs/>
      <w:color w:val="FF0000"/>
      <w:sz w:val="24"/>
      <w:szCs w:val="24"/>
    </w:rPr>
  </w:style>
  <w:style w:type="paragraph" w:customStyle="1" w:styleId="119">
    <w:name w:val="样式 表头11 + 自动设置"/>
    <w:basedOn w:val="118"/>
    <w:qFormat/>
    <w:uiPriority w:val="0"/>
    <w:pPr>
      <w:spacing w:line="240" w:lineRule="auto"/>
    </w:pPr>
    <w:rPr>
      <w:color w:val="000000"/>
    </w:rPr>
  </w:style>
  <w:style w:type="paragraph" w:customStyle="1" w:styleId="120">
    <w:name w:val="表格2"/>
    <w:basedOn w:val="1"/>
    <w:qFormat/>
    <w:uiPriority w:val="0"/>
    <w:pPr>
      <w:widowControl/>
      <w:adjustRightInd w:val="0"/>
      <w:snapToGrid w:val="0"/>
      <w:jc w:val="center"/>
    </w:pPr>
    <w:rPr>
      <w:rFonts w:ascii="Times New Roman" w:hAnsi="Times New Roman"/>
      <w:b/>
      <w:bCs/>
      <w:kern w:val="0"/>
    </w:rPr>
  </w:style>
  <w:style w:type="character" w:customStyle="1" w:styleId="121">
    <w:name w:val="正文文本缩进 Char"/>
    <w:basedOn w:val="74"/>
    <w:link w:val="27"/>
    <w:qFormat/>
    <w:uiPriority w:val="99"/>
    <w:rPr>
      <w:rFonts w:ascii="Times New Roman" w:hAnsi="Times New Roman" w:eastAsia="宋体" w:cs="Times New Roman"/>
      <w:szCs w:val="21"/>
    </w:rPr>
  </w:style>
  <w:style w:type="paragraph" w:customStyle="1" w:styleId="122">
    <w:name w:val="0正文"/>
    <w:basedOn w:val="27"/>
    <w:qFormat/>
    <w:uiPriority w:val="0"/>
    <w:pPr>
      <w:spacing w:line="300" w:lineRule="auto"/>
      <w:ind w:left="0" w:leftChars="0" w:firstLine="480" w:firstLineChars="200"/>
    </w:pPr>
    <w:rPr>
      <w:kern w:val="0"/>
      <w:sz w:val="24"/>
      <w:szCs w:val="24"/>
    </w:rPr>
  </w:style>
  <w:style w:type="paragraph" w:customStyle="1" w:styleId="123">
    <w:name w:val="样式9"/>
    <w:basedOn w:val="7"/>
    <w:qFormat/>
    <w:uiPriority w:val="0"/>
    <w:pPr>
      <w:spacing w:line="372" w:lineRule="auto"/>
    </w:pPr>
    <w:rPr>
      <w:rFonts w:ascii="Arial" w:hAnsi="Arial" w:eastAsia="黑体" w:cs="Arial"/>
    </w:rPr>
  </w:style>
  <w:style w:type="paragraph" w:customStyle="1" w:styleId="124">
    <w:name w:val="样式 加粗 居中 行距: 1.5 倍行距"/>
    <w:basedOn w:val="1"/>
    <w:qFormat/>
    <w:uiPriority w:val="0"/>
    <w:pPr>
      <w:spacing w:line="360" w:lineRule="auto"/>
      <w:jc w:val="center"/>
    </w:pPr>
    <w:rPr>
      <w:rFonts w:ascii="Times New Roman" w:hAnsi="Times New Roman" w:cs="宋体"/>
      <w:b/>
      <w:bCs/>
    </w:rPr>
  </w:style>
  <w:style w:type="paragraph" w:customStyle="1" w:styleId="125">
    <w:name w:val="样式 首行缩进:  2 字符"/>
    <w:basedOn w:val="1"/>
    <w:link w:val="614"/>
    <w:qFormat/>
    <w:uiPriority w:val="0"/>
    <w:pPr>
      <w:adjustRightInd w:val="0"/>
      <w:spacing w:line="300" w:lineRule="auto"/>
      <w:ind w:firstLine="480" w:firstLineChars="200"/>
      <w:textAlignment w:val="baseline"/>
    </w:pPr>
    <w:rPr>
      <w:rFonts w:ascii="宋体" w:hAnsi="宋体" w:cs="宋体"/>
      <w:color w:val="FF0000"/>
      <w:kern w:val="0"/>
      <w:sz w:val="24"/>
      <w:szCs w:val="24"/>
    </w:rPr>
  </w:style>
  <w:style w:type="paragraph" w:customStyle="1" w:styleId="126">
    <w:name w:val="p0"/>
    <w:basedOn w:val="1"/>
    <w:qFormat/>
    <w:uiPriority w:val="0"/>
    <w:pPr>
      <w:widowControl/>
    </w:pPr>
    <w:rPr>
      <w:rFonts w:cs="宋体"/>
      <w:kern w:val="0"/>
    </w:rPr>
  </w:style>
  <w:style w:type="paragraph" w:customStyle="1" w:styleId="127">
    <w:name w:val="表格内容"/>
    <w:basedOn w:val="1"/>
    <w:next w:val="1"/>
    <w:qFormat/>
    <w:uiPriority w:val="0"/>
    <w:pPr>
      <w:adjustRightInd w:val="0"/>
      <w:snapToGrid w:val="0"/>
      <w:jc w:val="center"/>
    </w:pPr>
    <w:rPr>
      <w:rFonts w:ascii="宋体" w:hAnsi="宋体" w:cs="宋体"/>
      <w:sz w:val="18"/>
      <w:szCs w:val="18"/>
    </w:rPr>
  </w:style>
  <w:style w:type="character" w:customStyle="1" w:styleId="128">
    <w:name w:val="10"/>
    <w:basedOn w:val="74"/>
    <w:qFormat/>
    <w:uiPriority w:val="0"/>
    <w:rPr>
      <w:rFonts w:hint="default" w:ascii="Times New Roman" w:hAnsi="Times New Roman" w:cs="Times New Roman"/>
    </w:rPr>
  </w:style>
  <w:style w:type="character" w:customStyle="1" w:styleId="129">
    <w:name w:val="15"/>
    <w:basedOn w:val="74"/>
    <w:qFormat/>
    <w:uiPriority w:val="0"/>
    <w:rPr>
      <w:rFonts w:hint="default" w:ascii="Times New Roman" w:hAnsi="Times New Roman" w:cs="Times New Roman"/>
    </w:rPr>
  </w:style>
  <w:style w:type="paragraph" w:customStyle="1" w:styleId="130">
    <w:name w:val="岳阳用"/>
    <w:basedOn w:val="1"/>
    <w:qFormat/>
    <w:uiPriority w:val="0"/>
    <w:pPr>
      <w:spacing w:line="400" w:lineRule="atLeast"/>
      <w:ind w:firstLine="644"/>
      <w:jc w:val="left"/>
    </w:pPr>
    <w:rPr>
      <w:rFonts w:ascii="仿宋_GB2312" w:hAnsi="宋体" w:eastAsia="仿宋_GB2312" w:cs="宋体"/>
      <w:spacing w:val="21"/>
      <w:kern w:val="0"/>
      <w:sz w:val="28"/>
      <w:szCs w:val="28"/>
    </w:rPr>
  </w:style>
  <w:style w:type="paragraph" w:customStyle="1" w:styleId="131">
    <w:name w:val="报告书"/>
    <w:basedOn w:val="1"/>
    <w:qFormat/>
    <w:uiPriority w:val="0"/>
    <w:pPr>
      <w:spacing w:line="300" w:lineRule="auto"/>
      <w:ind w:firstLine="480" w:firstLineChars="200"/>
    </w:pPr>
    <w:rPr>
      <w:rFonts w:ascii="Times New Roman" w:hAnsi="Times New Roman"/>
      <w:sz w:val="24"/>
      <w:szCs w:val="24"/>
    </w:rPr>
  </w:style>
  <w:style w:type="paragraph" w:customStyle="1" w:styleId="132">
    <w:name w:val="报告书正文 Char"/>
    <w:basedOn w:val="1"/>
    <w:qFormat/>
    <w:uiPriority w:val="0"/>
    <w:pPr>
      <w:spacing w:line="300" w:lineRule="auto"/>
      <w:ind w:firstLine="200" w:firstLineChars="200"/>
    </w:pPr>
    <w:rPr>
      <w:rFonts w:ascii="Times New Roman" w:hAnsi="Times New Roman"/>
      <w:sz w:val="24"/>
      <w:szCs w:val="24"/>
    </w:rPr>
  </w:style>
  <w:style w:type="paragraph" w:customStyle="1" w:styleId="133">
    <w:name w:val="表格文字居中"/>
    <w:basedOn w:val="1"/>
    <w:qFormat/>
    <w:uiPriority w:val="0"/>
    <w:pPr>
      <w:widowControl/>
      <w:adjustRightInd w:val="0"/>
      <w:snapToGrid w:val="0"/>
      <w:spacing w:beforeLines="10" w:afterLines="10"/>
      <w:jc w:val="center"/>
    </w:pPr>
    <w:rPr>
      <w:rFonts w:ascii="宋体" w:hAnsi="宋体" w:cs="宋体"/>
      <w:kern w:val="0"/>
      <w:sz w:val="24"/>
      <w:szCs w:val="24"/>
    </w:rPr>
  </w:style>
  <w:style w:type="character" w:customStyle="1" w:styleId="134">
    <w:name w:val="段落 Char"/>
    <w:link w:val="135"/>
    <w:qFormat/>
    <w:uiPriority w:val="0"/>
    <w:rPr>
      <w:rFonts w:ascii="Times New Roman" w:hAnsi="Times New Roman"/>
      <w:b/>
      <w:bCs/>
      <w:sz w:val="30"/>
      <w:szCs w:val="30"/>
    </w:rPr>
  </w:style>
  <w:style w:type="paragraph" w:customStyle="1" w:styleId="135">
    <w:name w:val="段落"/>
    <w:basedOn w:val="1"/>
    <w:link w:val="134"/>
    <w:qFormat/>
    <w:uiPriority w:val="0"/>
    <w:pPr>
      <w:adjustRightInd w:val="0"/>
      <w:snapToGrid w:val="0"/>
      <w:spacing w:line="360" w:lineRule="auto"/>
    </w:pPr>
    <w:rPr>
      <w:rFonts w:ascii="Times New Roman" w:hAnsi="Times New Roman" w:eastAsiaTheme="minorEastAsia" w:cstheme="minorBidi"/>
      <w:b/>
      <w:bCs/>
      <w:sz w:val="30"/>
      <w:szCs w:val="30"/>
    </w:rPr>
  </w:style>
  <w:style w:type="character" w:customStyle="1" w:styleId="136">
    <w:name w:val="正文缩进 Char"/>
    <w:link w:val="17"/>
    <w:qFormat/>
    <w:uiPriority w:val="0"/>
    <w:rPr>
      <w:rFonts w:ascii="Calibri" w:hAnsi="Calibri" w:eastAsia="宋体" w:cs="Times New Roman"/>
      <w:szCs w:val="21"/>
    </w:rPr>
  </w:style>
  <w:style w:type="paragraph" w:customStyle="1" w:styleId="137">
    <w:name w:val="正文1"/>
    <w:link w:val="181"/>
    <w:qFormat/>
    <w:uiPriority w:val="0"/>
    <w:pPr>
      <w:jc w:val="both"/>
    </w:pPr>
    <w:rPr>
      <w:rFonts w:ascii="Times New Roman" w:hAnsi="Times New Roman" w:eastAsia="宋体" w:cs="Times New Roman"/>
      <w:kern w:val="2"/>
      <w:sz w:val="21"/>
      <w:szCs w:val="21"/>
      <w:lang w:val="en-US" w:eastAsia="zh-CN" w:bidi="ar-SA"/>
    </w:rPr>
  </w:style>
  <w:style w:type="character" w:customStyle="1" w:styleId="138">
    <w:name w:val="批注文字 Char"/>
    <w:basedOn w:val="74"/>
    <w:link w:val="22"/>
    <w:qFormat/>
    <w:uiPriority w:val="99"/>
    <w:rPr>
      <w:rFonts w:ascii="Calibri" w:hAnsi="Calibri" w:eastAsia="宋体" w:cs="Times New Roman"/>
      <w:szCs w:val="21"/>
    </w:rPr>
  </w:style>
  <w:style w:type="character" w:customStyle="1" w:styleId="139">
    <w:name w:val="批注主题 Char"/>
    <w:basedOn w:val="138"/>
    <w:link w:val="68"/>
    <w:semiHidden/>
    <w:qFormat/>
    <w:uiPriority w:val="99"/>
    <w:rPr>
      <w:rFonts w:ascii="Calibri" w:hAnsi="Calibri" w:eastAsia="宋体" w:cs="Times New Roman"/>
      <w:b/>
      <w:bCs/>
      <w:szCs w:val="21"/>
    </w:rPr>
  </w:style>
  <w:style w:type="character" w:customStyle="1" w:styleId="140">
    <w:name w:val="批注框文本 Char"/>
    <w:basedOn w:val="74"/>
    <w:link w:val="40"/>
    <w:qFormat/>
    <w:uiPriority w:val="99"/>
    <w:rPr>
      <w:rFonts w:ascii="Calibri" w:hAnsi="Calibri" w:eastAsia="宋体" w:cs="Times New Roman"/>
      <w:sz w:val="18"/>
      <w:szCs w:val="18"/>
    </w:rPr>
  </w:style>
  <w:style w:type="character" w:customStyle="1" w:styleId="141">
    <w:name w:val="题注 Char"/>
    <w:link w:val="18"/>
    <w:qFormat/>
    <w:uiPriority w:val="0"/>
    <w:rPr>
      <w:rFonts w:eastAsia="楷体_GB2312"/>
      <w:spacing w:val="8"/>
      <w:kern w:val="24"/>
      <w:sz w:val="15"/>
    </w:rPr>
  </w:style>
  <w:style w:type="paragraph" w:customStyle="1" w:styleId="142">
    <w:name w:val="正文2002"/>
    <w:basedOn w:val="1"/>
    <w:qFormat/>
    <w:uiPriority w:val="0"/>
    <w:pPr>
      <w:spacing w:line="240" w:lineRule="atLeast"/>
      <w:jc w:val="center"/>
    </w:pPr>
    <w:rPr>
      <w:rFonts w:ascii="Times New Roman" w:hAnsi="宋体"/>
      <w:spacing w:val="8"/>
    </w:rPr>
  </w:style>
  <w:style w:type="character" w:customStyle="1" w:styleId="143">
    <w:name w:val="报告书正文 Char2"/>
    <w:link w:val="109"/>
    <w:qFormat/>
    <w:uiPriority w:val="0"/>
    <w:rPr>
      <w:rFonts w:ascii="Times New Roman" w:hAnsi="Times New Roman" w:eastAsia="宋体" w:cs="Times New Roman"/>
      <w:sz w:val="24"/>
      <w:szCs w:val="24"/>
    </w:rPr>
  </w:style>
  <w:style w:type="character" w:customStyle="1" w:styleId="144">
    <w:name w:val="zw Char"/>
    <w:link w:val="145"/>
    <w:qFormat/>
    <w:uiPriority w:val="0"/>
    <w:rPr>
      <w:rFonts w:ascii="仿宋_GB2312" w:eastAsia="仿宋_GB2312"/>
      <w:snapToGrid w:val="0"/>
      <w:color w:val="000000"/>
      <w:kern w:val="24"/>
      <w:position w:val="2"/>
      <w:sz w:val="24"/>
      <w:szCs w:val="18"/>
      <w:lang w:val="zh-CN"/>
    </w:rPr>
  </w:style>
  <w:style w:type="paragraph" w:customStyle="1" w:styleId="145">
    <w:name w:val="zw"/>
    <w:basedOn w:val="1"/>
    <w:link w:val="144"/>
    <w:qFormat/>
    <w:uiPriority w:val="0"/>
    <w:pPr>
      <w:widowControl/>
      <w:tabs>
        <w:tab w:val="left" w:pos="900"/>
      </w:tabs>
      <w:adjustRightInd w:val="0"/>
      <w:snapToGrid w:val="0"/>
      <w:spacing w:line="480" w:lineRule="exact"/>
      <w:ind w:firstLine="497" w:firstLineChars="200"/>
      <w:jc w:val="left"/>
    </w:pPr>
    <w:rPr>
      <w:rFonts w:ascii="仿宋_GB2312" w:eastAsia="仿宋_GB2312" w:hAnsiTheme="minorHAnsi" w:cstheme="minorBidi"/>
      <w:snapToGrid w:val="0"/>
      <w:color w:val="000000"/>
      <w:kern w:val="24"/>
      <w:position w:val="2"/>
      <w:sz w:val="24"/>
      <w:szCs w:val="18"/>
      <w:lang w:val="zh-CN"/>
    </w:rPr>
  </w:style>
  <w:style w:type="character" w:customStyle="1" w:styleId="146">
    <w:name w:val="标题 5 Char"/>
    <w:basedOn w:val="74"/>
    <w:link w:val="8"/>
    <w:qFormat/>
    <w:uiPriority w:val="0"/>
    <w:rPr>
      <w:rFonts w:ascii="Calibri" w:hAnsi="Calibri"/>
      <w:b/>
      <w:bCs/>
      <w:kern w:val="2"/>
      <w:sz w:val="28"/>
      <w:szCs w:val="28"/>
    </w:rPr>
  </w:style>
  <w:style w:type="character" w:customStyle="1" w:styleId="147">
    <w:name w:val="标题 6 Char"/>
    <w:basedOn w:val="74"/>
    <w:link w:val="9"/>
    <w:qFormat/>
    <w:uiPriority w:val="0"/>
    <w:rPr>
      <w:rFonts w:asciiTheme="majorHAnsi" w:hAnsiTheme="majorHAnsi" w:eastAsiaTheme="majorEastAsia" w:cstheme="majorBidi"/>
      <w:b/>
      <w:bCs/>
      <w:kern w:val="2"/>
      <w:sz w:val="24"/>
      <w:szCs w:val="24"/>
    </w:rPr>
  </w:style>
  <w:style w:type="character" w:customStyle="1" w:styleId="148">
    <w:name w:val="标题 7 Char"/>
    <w:basedOn w:val="74"/>
    <w:link w:val="10"/>
    <w:qFormat/>
    <w:uiPriority w:val="0"/>
    <w:rPr>
      <w:rFonts w:ascii="Calibri" w:hAnsi="Calibri"/>
      <w:b/>
      <w:bCs/>
      <w:kern w:val="2"/>
      <w:sz w:val="24"/>
      <w:szCs w:val="24"/>
    </w:rPr>
  </w:style>
  <w:style w:type="character" w:customStyle="1" w:styleId="149">
    <w:name w:val="标题 8 Char"/>
    <w:basedOn w:val="74"/>
    <w:link w:val="11"/>
    <w:qFormat/>
    <w:uiPriority w:val="0"/>
    <w:rPr>
      <w:rFonts w:asciiTheme="majorHAnsi" w:hAnsiTheme="majorHAnsi" w:eastAsiaTheme="majorEastAsia" w:cstheme="majorBidi"/>
      <w:kern w:val="2"/>
      <w:sz w:val="24"/>
      <w:szCs w:val="24"/>
    </w:rPr>
  </w:style>
  <w:style w:type="character" w:customStyle="1" w:styleId="150">
    <w:name w:val="标题 9 Char"/>
    <w:basedOn w:val="74"/>
    <w:link w:val="12"/>
    <w:qFormat/>
    <w:uiPriority w:val="0"/>
    <w:rPr>
      <w:rFonts w:asciiTheme="majorHAnsi" w:hAnsiTheme="majorHAnsi" w:eastAsiaTheme="majorEastAsia" w:cstheme="majorBidi"/>
      <w:kern w:val="2"/>
      <w:sz w:val="21"/>
      <w:szCs w:val="21"/>
    </w:rPr>
  </w:style>
  <w:style w:type="paragraph" w:customStyle="1" w:styleId="151">
    <w:name w:val="表"/>
    <w:basedOn w:val="18"/>
    <w:qFormat/>
    <w:uiPriority w:val="0"/>
    <w:pPr>
      <w:adjustRightInd/>
      <w:snapToGrid/>
      <w:spacing w:beforeLines="50" w:line="360" w:lineRule="auto"/>
      <w:ind w:firstLine="0"/>
      <w:jc w:val="center"/>
      <w:textAlignment w:val="auto"/>
    </w:pPr>
    <w:rPr>
      <w:rFonts w:ascii="Times New Roman" w:hAnsi="Times New Roman" w:eastAsia="黑体" w:cs="Arial"/>
      <w:spacing w:val="0"/>
      <w:kern w:val="2"/>
      <w:sz w:val="21"/>
      <w:szCs w:val="21"/>
    </w:rPr>
  </w:style>
  <w:style w:type="paragraph" w:customStyle="1" w:styleId="152">
    <w:name w:val="lei"/>
    <w:basedOn w:val="1"/>
    <w:qFormat/>
    <w:uiPriority w:val="0"/>
    <w:pPr>
      <w:adjustRightInd w:val="0"/>
      <w:spacing w:line="560" w:lineRule="exact"/>
      <w:ind w:firstLine="565" w:firstLineChars="200"/>
    </w:pPr>
    <w:rPr>
      <w:rFonts w:ascii="Times New Roman" w:hAnsi="Times New Roman" w:eastAsia="仿宋_GB2312"/>
      <w:snapToGrid w:val="0"/>
      <w:kern w:val="0"/>
      <w:sz w:val="28"/>
      <w:szCs w:val="28"/>
    </w:rPr>
  </w:style>
  <w:style w:type="character" w:customStyle="1" w:styleId="153">
    <w:name w:val="报告书正文 Char Char Char Char"/>
    <w:link w:val="114"/>
    <w:qFormat/>
    <w:uiPriority w:val="0"/>
    <w:rPr>
      <w:rFonts w:ascii="Times New Roman" w:hAnsi="Times New Roman" w:eastAsia="宋体" w:cs="Times New Roman"/>
      <w:sz w:val="24"/>
      <w:szCs w:val="24"/>
    </w:rPr>
  </w:style>
  <w:style w:type="character" w:customStyle="1" w:styleId="154">
    <w:name w:val="标题 6 Char Char"/>
    <w:qFormat/>
    <w:uiPriority w:val="0"/>
    <w:rPr>
      <w:rFonts w:ascii="Arial" w:hAnsi="Arial" w:eastAsia="黑体"/>
      <w:b/>
      <w:bCs/>
      <w:kern w:val="2"/>
      <w:sz w:val="24"/>
      <w:szCs w:val="24"/>
      <w:lang w:val="en-US" w:eastAsia="zh-CN" w:bidi="ar-SA"/>
    </w:rPr>
  </w:style>
  <w:style w:type="character" w:customStyle="1" w:styleId="155">
    <w:name w:val="标题 6 Char1"/>
    <w:qFormat/>
    <w:uiPriority w:val="0"/>
    <w:rPr>
      <w:rFonts w:ascii="Arial" w:hAnsi="Arial" w:eastAsia="黑体"/>
      <w:b/>
      <w:bCs/>
      <w:kern w:val="2"/>
      <w:sz w:val="24"/>
      <w:szCs w:val="24"/>
    </w:rPr>
  </w:style>
  <w:style w:type="paragraph" w:customStyle="1" w:styleId="156">
    <w:name w:val="五号表格"/>
    <w:basedOn w:val="1"/>
    <w:qFormat/>
    <w:uiPriority w:val="0"/>
    <w:pPr>
      <w:spacing w:line="240" w:lineRule="atLeast"/>
      <w:jc w:val="center"/>
    </w:pPr>
    <w:rPr>
      <w:rFonts w:ascii="Times New Roman" w:hAnsi="Times New Roman"/>
      <w:szCs w:val="24"/>
    </w:rPr>
  </w:style>
  <w:style w:type="paragraph" w:customStyle="1" w:styleId="157">
    <w:name w:val="Table Paragraph"/>
    <w:basedOn w:val="1"/>
    <w:qFormat/>
    <w:uiPriority w:val="1"/>
    <w:pPr>
      <w:jc w:val="left"/>
    </w:pPr>
    <w:rPr>
      <w:rFonts w:asciiTheme="minorHAnsi" w:hAnsiTheme="minorHAnsi" w:eastAsiaTheme="minorEastAsia" w:cstheme="minorBidi"/>
      <w:kern w:val="0"/>
      <w:sz w:val="22"/>
      <w:szCs w:val="22"/>
      <w:lang w:eastAsia="en-US"/>
    </w:rPr>
  </w:style>
  <w:style w:type="character" w:customStyle="1" w:styleId="158">
    <w:name w:val="m1"/>
    <w:qFormat/>
    <w:uiPriority w:val="0"/>
    <w:rPr>
      <w:u w:val="none"/>
    </w:rPr>
  </w:style>
  <w:style w:type="paragraph" w:customStyle="1" w:styleId="159">
    <w:name w:val="表文字"/>
    <w:basedOn w:val="1"/>
    <w:link w:val="339"/>
    <w:qFormat/>
    <w:uiPriority w:val="0"/>
    <w:pPr>
      <w:spacing w:line="360" w:lineRule="auto"/>
      <w:jc w:val="center"/>
    </w:pPr>
    <w:rPr>
      <w:rFonts w:ascii="Times New Roman" w:hAnsi="Times New Roman"/>
      <w:kern w:val="10"/>
      <w:sz w:val="24"/>
      <w:szCs w:val="20"/>
    </w:rPr>
  </w:style>
  <w:style w:type="paragraph" w:customStyle="1" w:styleId="160">
    <w:name w:val="MTDisplayEquation"/>
    <w:basedOn w:val="1"/>
    <w:next w:val="1"/>
    <w:link w:val="161"/>
    <w:qFormat/>
    <w:uiPriority w:val="0"/>
    <w:pPr>
      <w:tabs>
        <w:tab w:val="center" w:pos="4160"/>
        <w:tab w:val="right" w:pos="8300"/>
      </w:tabs>
      <w:spacing w:line="360" w:lineRule="auto"/>
    </w:pPr>
    <w:rPr>
      <w:rFonts w:ascii="Times New Roman" w:hAnsi="Times New Roman"/>
      <w:sz w:val="24"/>
      <w:szCs w:val="22"/>
    </w:rPr>
  </w:style>
  <w:style w:type="character" w:customStyle="1" w:styleId="161">
    <w:name w:val="MTDisplayEquation Char"/>
    <w:link w:val="160"/>
    <w:qFormat/>
    <w:uiPriority w:val="0"/>
    <w:rPr>
      <w:rFonts w:ascii="Times New Roman" w:hAnsi="Times New Roman" w:eastAsia="宋体" w:cs="Times New Roman"/>
      <w:sz w:val="24"/>
    </w:rPr>
  </w:style>
  <w:style w:type="character" w:customStyle="1" w:styleId="162">
    <w:name w:val="标题 2 Char1"/>
    <w:qFormat/>
    <w:uiPriority w:val="0"/>
    <w:rPr>
      <w:rFonts w:ascii="Arial" w:hAnsi="Arial" w:eastAsia="黑体"/>
      <w:b/>
      <w:bCs/>
      <w:kern w:val="2"/>
      <w:sz w:val="32"/>
      <w:szCs w:val="32"/>
      <w:lang w:val="en-US" w:eastAsia="zh-CN" w:bidi="ar-SA"/>
    </w:rPr>
  </w:style>
  <w:style w:type="paragraph" w:customStyle="1" w:styleId="163">
    <w:name w:val="Char Char3 Char Char Char Char"/>
    <w:basedOn w:val="6"/>
    <w:qFormat/>
    <w:uiPriority w:val="0"/>
    <w:pPr>
      <w:numPr>
        <w:ilvl w:val="0"/>
        <w:numId w:val="0"/>
      </w:numPr>
      <w:tabs>
        <w:tab w:val="left" w:pos="360"/>
        <w:tab w:val="left" w:pos="900"/>
      </w:tabs>
      <w:adjustRightInd/>
      <w:spacing w:before="120" w:after="120"/>
      <w:ind w:left="542" w:leftChars="-12" w:firstLine="200" w:firstLineChars="200"/>
      <w:jc w:val="left"/>
    </w:pPr>
    <w:rPr>
      <w:rFonts w:eastAsia="黑体"/>
      <w:b w:val="0"/>
      <w:bCs w:val="0"/>
      <w:snapToGrid w:val="0"/>
      <w:kern w:val="2"/>
      <w:szCs w:val="24"/>
    </w:rPr>
  </w:style>
  <w:style w:type="paragraph" w:customStyle="1" w:styleId="164">
    <w:name w:val="lei Char"/>
    <w:basedOn w:val="1"/>
    <w:link w:val="165"/>
    <w:qFormat/>
    <w:uiPriority w:val="0"/>
    <w:pPr>
      <w:adjustRightInd w:val="0"/>
      <w:spacing w:line="560" w:lineRule="exact"/>
      <w:ind w:firstLine="565" w:firstLineChars="200"/>
    </w:pPr>
    <w:rPr>
      <w:rFonts w:ascii="Times New Roman" w:hAnsi="Times New Roman" w:eastAsia="仿宋_GB2312"/>
      <w:snapToGrid w:val="0"/>
      <w:sz w:val="28"/>
      <w:szCs w:val="28"/>
    </w:rPr>
  </w:style>
  <w:style w:type="character" w:customStyle="1" w:styleId="165">
    <w:name w:val="lei Char Char"/>
    <w:link w:val="164"/>
    <w:qFormat/>
    <w:uiPriority w:val="0"/>
    <w:rPr>
      <w:rFonts w:ascii="Times New Roman" w:hAnsi="Times New Roman" w:eastAsia="仿宋_GB2312" w:cs="Times New Roman"/>
      <w:snapToGrid w:val="0"/>
      <w:sz w:val="28"/>
      <w:szCs w:val="28"/>
    </w:rPr>
  </w:style>
  <w:style w:type="paragraph" w:customStyle="1" w:styleId="166">
    <w:name w:val="zh"/>
    <w:basedOn w:val="164"/>
    <w:qFormat/>
    <w:uiPriority w:val="0"/>
  </w:style>
  <w:style w:type="paragraph" w:customStyle="1" w:styleId="167">
    <w:name w:val="4"/>
    <w:basedOn w:val="1"/>
    <w:next w:val="17"/>
    <w:qFormat/>
    <w:uiPriority w:val="0"/>
    <w:pPr>
      <w:ind w:firstLine="420"/>
    </w:pPr>
    <w:rPr>
      <w:rFonts w:ascii="Times New Roman" w:hAnsi="Times New Roman"/>
      <w:szCs w:val="20"/>
    </w:rPr>
  </w:style>
  <w:style w:type="paragraph" w:customStyle="1" w:styleId="168">
    <w:name w:val="表名1"/>
    <w:basedOn w:val="1"/>
    <w:qFormat/>
    <w:uiPriority w:val="0"/>
    <w:pPr>
      <w:adjustRightInd w:val="0"/>
      <w:snapToGrid w:val="0"/>
      <w:spacing w:line="560" w:lineRule="exact"/>
      <w:jc w:val="center"/>
    </w:pPr>
    <w:rPr>
      <w:rFonts w:ascii="Times New Roman" w:hAnsi="Times New Roman" w:eastAsia="黑体"/>
      <w:sz w:val="24"/>
      <w:szCs w:val="24"/>
    </w:rPr>
  </w:style>
  <w:style w:type="paragraph" w:customStyle="1" w:styleId="169">
    <w:name w:val="样式-lei Char"/>
    <w:basedOn w:val="1"/>
    <w:link w:val="170"/>
    <w:qFormat/>
    <w:uiPriority w:val="0"/>
    <w:pPr>
      <w:spacing w:line="560" w:lineRule="exact"/>
      <w:ind w:firstLine="565" w:firstLineChars="200"/>
    </w:pPr>
    <w:rPr>
      <w:rFonts w:ascii="Times New Roman" w:hAnsi="Times New Roman" w:eastAsia="仿宋_GB2312"/>
      <w:sz w:val="28"/>
      <w:szCs w:val="28"/>
    </w:rPr>
  </w:style>
  <w:style w:type="character" w:customStyle="1" w:styleId="170">
    <w:name w:val="样式-lei Char Char"/>
    <w:link w:val="169"/>
    <w:qFormat/>
    <w:uiPriority w:val="0"/>
    <w:rPr>
      <w:rFonts w:ascii="Times New Roman" w:hAnsi="Times New Roman" w:eastAsia="仿宋_GB2312" w:cs="Times New Roman"/>
      <w:sz w:val="28"/>
      <w:szCs w:val="28"/>
    </w:rPr>
  </w:style>
  <w:style w:type="paragraph" w:customStyle="1" w:styleId="171">
    <w:name w:val="表内-文字"/>
    <w:basedOn w:val="1"/>
    <w:qFormat/>
    <w:uiPriority w:val="0"/>
    <w:pPr>
      <w:spacing w:line="320" w:lineRule="exact"/>
      <w:jc w:val="center"/>
    </w:pPr>
    <w:rPr>
      <w:rFonts w:ascii="Times New Roman" w:hAnsi="Times New Roman" w:eastAsia="楷体_GB2312" w:cs="宋体"/>
      <w:bCs/>
      <w:color w:val="000000"/>
    </w:rPr>
  </w:style>
  <w:style w:type="paragraph" w:customStyle="1" w:styleId="172">
    <w:name w:val="bg"/>
    <w:basedOn w:val="1"/>
    <w:qFormat/>
    <w:uiPriority w:val="0"/>
    <w:pPr>
      <w:adjustRightInd w:val="0"/>
      <w:spacing w:line="360" w:lineRule="exact"/>
      <w:jc w:val="center"/>
    </w:pPr>
    <w:rPr>
      <w:rFonts w:ascii="Times New Roman" w:hAnsi="Times New Roman" w:eastAsia="仿宋_GB2312"/>
      <w:kern w:val="0"/>
    </w:rPr>
  </w:style>
  <w:style w:type="paragraph" w:customStyle="1" w:styleId="173">
    <w:name w:val="bm"/>
    <w:basedOn w:val="1"/>
    <w:qFormat/>
    <w:uiPriority w:val="0"/>
    <w:pPr>
      <w:adjustRightInd w:val="0"/>
      <w:spacing w:beforeLines="30" w:afterLines="10" w:line="360" w:lineRule="exact"/>
      <w:jc w:val="center"/>
    </w:pPr>
    <w:rPr>
      <w:rFonts w:ascii="Times New Roman" w:hAnsi="Times New Roman" w:eastAsia="黑体"/>
      <w:snapToGrid w:val="0"/>
      <w:kern w:val="0"/>
      <w:sz w:val="24"/>
      <w:szCs w:val="24"/>
    </w:rPr>
  </w:style>
  <w:style w:type="paragraph" w:customStyle="1" w:styleId="174">
    <w:name w:val="样式 标题 2H2Heading 2 HiddenHeading 2 CCBS2nd levelh22Header..."/>
    <w:basedOn w:val="5"/>
    <w:qFormat/>
    <w:uiPriority w:val="0"/>
    <w:pPr>
      <w:numPr>
        <w:ilvl w:val="0"/>
        <w:numId w:val="0"/>
      </w:numPr>
      <w:snapToGrid/>
      <w:spacing w:before="120" w:after="120" w:line="560" w:lineRule="exact"/>
    </w:pPr>
    <w:rPr>
      <w:rFonts w:ascii="Times New Roman" w:hAnsi="Times New Roman" w:cs="宋体"/>
      <w:bCs w:val="0"/>
      <w:snapToGrid w:val="0"/>
      <w:sz w:val="30"/>
      <w:szCs w:val="20"/>
    </w:rPr>
  </w:style>
  <w:style w:type="paragraph" w:customStyle="1" w:styleId="175">
    <w:name w:val="样式 标题 3标题 3 Char + Times New Roman 首行缩进:  2 字符 段前: 6 磅 段后: 6..."/>
    <w:basedOn w:val="6"/>
    <w:qFormat/>
    <w:uiPriority w:val="0"/>
    <w:pPr>
      <w:numPr>
        <w:ilvl w:val="0"/>
        <w:numId w:val="0"/>
      </w:numPr>
      <w:snapToGrid/>
      <w:spacing w:before="120" w:after="120" w:line="560" w:lineRule="exact"/>
      <w:jc w:val="left"/>
    </w:pPr>
    <w:rPr>
      <w:rFonts w:eastAsia="黑体"/>
      <w:b w:val="0"/>
      <w:bCs w:val="0"/>
      <w:snapToGrid w:val="0"/>
      <w:sz w:val="28"/>
      <w:szCs w:val="20"/>
    </w:rPr>
  </w:style>
  <w:style w:type="paragraph" w:customStyle="1" w:styleId="176">
    <w:name w:val="Char Char1 Char Char Char"/>
    <w:basedOn w:val="1"/>
    <w:qFormat/>
    <w:uiPriority w:val="0"/>
    <w:pPr>
      <w:adjustRightInd w:val="0"/>
      <w:spacing w:line="360" w:lineRule="atLeast"/>
      <w:jc w:val="left"/>
      <w:textAlignment w:val="baseline"/>
    </w:pPr>
    <w:rPr>
      <w:rFonts w:ascii="Tahoma" w:hAnsi="Tahoma"/>
      <w:kern w:val="0"/>
      <w:sz w:val="24"/>
      <w:szCs w:val="20"/>
    </w:rPr>
  </w:style>
  <w:style w:type="paragraph" w:customStyle="1" w:styleId="177">
    <w:name w:val="Char Char"/>
    <w:basedOn w:val="1"/>
    <w:qFormat/>
    <w:uiPriority w:val="0"/>
    <w:pPr>
      <w:adjustRightInd w:val="0"/>
      <w:spacing w:line="360" w:lineRule="atLeast"/>
      <w:jc w:val="left"/>
      <w:textAlignment w:val="baseline"/>
    </w:pPr>
    <w:rPr>
      <w:rFonts w:ascii="Tahoma" w:hAnsi="Tahoma"/>
      <w:kern w:val="0"/>
      <w:sz w:val="24"/>
      <w:szCs w:val="20"/>
    </w:rPr>
  </w:style>
  <w:style w:type="paragraph" w:customStyle="1" w:styleId="178">
    <w:name w:val="样式 标题 1 + 四号 行距: 1.5 倍行距"/>
    <w:basedOn w:val="4"/>
    <w:qFormat/>
    <w:uiPriority w:val="0"/>
    <w:pPr>
      <w:keepLines w:val="0"/>
      <w:numPr>
        <w:numId w:val="0"/>
      </w:numPr>
      <w:adjustRightInd/>
      <w:snapToGrid/>
      <w:spacing w:beforeLines="50" w:line="440" w:lineRule="exact"/>
    </w:pPr>
    <w:rPr>
      <w:rFonts w:ascii="宋体" w:eastAsia="宋体"/>
      <w:b/>
      <w:iCs/>
      <w:kern w:val="2"/>
      <w:sz w:val="28"/>
      <w:szCs w:val="28"/>
    </w:rPr>
  </w:style>
  <w:style w:type="paragraph" w:customStyle="1" w:styleId="179">
    <w:name w:val="表名"/>
    <w:basedOn w:val="1"/>
    <w:link w:val="180"/>
    <w:qFormat/>
    <w:uiPriority w:val="0"/>
    <w:pPr>
      <w:adjustRightInd w:val="0"/>
      <w:spacing w:line="560" w:lineRule="exact"/>
      <w:jc w:val="center"/>
    </w:pPr>
    <w:rPr>
      <w:rFonts w:ascii="Times New Roman" w:hAnsi="Times New Roman" w:eastAsia="黑体"/>
      <w:snapToGrid w:val="0"/>
      <w:sz w:val="24"/>
      <w:szCs w:val="24"/>
    </w:rPr>
  </w:style>
  <w:style w:type="character" w:customStyle="1" w:styleId="180">
    <w:name w:val="表名 Char1"/>
    <w:link w:val="179"/>
    <w:qFormat/>
    <w:uiPriority w:val="0"/>
    <w:rPr>
      <w:rFonts w:ascii="Times New Roman" w:hAnsi="Times New Roman" w:eastAsia="黑体" w:cs="Times New Roman"/>
      <w:snapToGrid w:val="0"/>
      <w:sz w:val="24"/>
      <w:szCs w:val="24"/>
    </w:rPr>
  </w:style>
  <w:style w:type="character" w:customStyle="1" w:styleId="181">
    <w:name w:val="正文1 Char"/>
    <w:link w:val="137"/>
    <w:qFormat/>
    <w:uiPriority w:val="0"/>
    <w:rPr>
      <w:rFonts w:ascii="Times New Roman" w:hAnsi="Times New Roman" w:eastAsia="宋体" w:cs="Times New Roman"/>
      <w:szCs w:val="21"/>
    </w:rPr>
  </w:style>
  <w:style w:type="paragraph" w:customStyle="1" w:styleId="182">
    <w:name w:val="样式-lei"/>
    <w:basedOn w:val="1"/>
    <w:qFormat/>
    <w:uiPriority w:val="0"/>
    <w:pPr>
      <w:spacing w:line="560" w:lineRule="exact"/>
      <w:ind w:firstLine="560" w:firstLineChars="200"/>
    </w:pPr>
    <w:rPr>
      <w:rFonts w:ascii="Times New Roman" w:hAnsi="Times New Roman" w:eastAsia="仿宋_GB2312"/>
      <w:sz w:val="28"/>
      <w:szCs w:val="28"/>
    </w:rPr>
  </w:style>
  <w:style w:type="paragraph" w:customStyle="1" w:styleId="183">
    <w:name w:val="样式2"/>
    <w:basedOn w:val="1"/>
    <w:link w:val="184"/>
    <w:qFormat/>
    <w:uiPriority w:val="0"/>
    <w:pPr>
      <w:adjustRightInd w:val="0"/>
      <w:spacing w:line="560" w:lineRule="exact"/>
      <w:ind w:firstLine="565" w:firstLineChars="200"/>
    </w:pPr>
    <w:rPr>
      <w:rFonts w:ascii="Times New Roman" w:hAnsi="Times New Roman" w:eastAsia="仿宋_GB2312"/>
      <w:snapToGrid w:val="0"/>
      <w:sz w:val="28"/>
      <w:szCs w:val="28"/>
    </w:rPr>
  </w:style>
  <w:style w:type="character" w:customStyle="1" w:styleId="184">
    <w:name w:val="样式2 Char"/>
    <w:link w:val="183"/>
    <w:qFormat/>
    <w:uiPriority w:val="0"/>
    <w:rPr>
      <w:rFonts w:ascii="Times New Roman" w:hAnsi="Times New Roman" w:eastAsia="仿宋_GB2312" w:cs="Times New Roman"/>
      <w:snapToGrid w:val="0"/>
      <w:sz w:val="28"/>
      <w:szCs w:val="28"/>
    </w:rPr>
  </w:style>
  <w:style w:type="character" w:customStyle="1" w:styleId="185">
    <w:name w:val="正文1 Char1"/>
    <w:qFormat/>
    <w:uiPriority w:val="0"/>
    <w:rPr>
      <w:rFonts w:eastAsia="仿宋_GB2312"/>
      <w:kern w:val="2"/>
      <w:sz w:val="28"/>
      <w:lang w:val="en-US" w:eastAsia="zh-CN" w:bidi="ar-SA"/>
    </w:rPr>
  </w:style>
  <w:style w:type="character" w:customStyle="1" w:styleId="186">
    <w:name w:val="文档结构图 Char"/>
    <w:basedOn w:val="74"/>
    <w:link w:val="21"/>
    <w:semiHidden/>
    <w:qFormat/>
    <w:uiPriority w:val="99"/>
    <w:rPr>
      <w:rFonts w:ascii="Times New Roman" w:hAnsi="Times New Roman" w:eastAsia="宋体" w:cs="Times New Roman"/>
      <w:szCs w:val="24"/>
      <w:shd w:val="clear" w:color="auto" w:fill="000080"/>
    </w:rPr>
  </w:style>
  <w:style w:type="character" w:customStyle="1" w:styleId="187">
    <w:name w:val="apple-converted-space"/>
    <w:basedOn w:val="74"/>
    <w:qFormat/>
    <w:uiPriority w:val="0"/>
  </w:style>
  <w:style w:type="character" w:customStyle="1" w:styleId="188">
    <w:name w:val="words-outer-wrap"/>
    <w:basedOn w:val="74"/>
    <w:qFormat/>
    <w:uiPriority w:val="0"/>
  </w:style>
  <w:style w:type="character" w:customStyle="1" w:styleId="189">
    <w:name w:val="split-word"/>
    <w:basedOn w:val="74"/>
    <w:qFormat/>
    <w:uiPriority w:val="0"/>
  </w:style>
  <w:style w:type="character" w:customStyle="1" w:styleId="190">
    <w:name w:val="段落正文缩进 Char Char"/>
    <w:qFormat/>
    <w:uiPriority w:val="0"/>
    <w:rPr>
      <w:rFonts w:eastAsia="宋体"/>
      <w:kern w:val="2"/>
      <w:sz w:val="21"/>
      <w:szCs w:val="24"/>
      <w:lang w:val="en-US" w:eastAsia="zh-CN" w:bidi="ar-SA"/>
    </w:rPr>
  </w:style>
  <w:style w:type="character" w:customStyle="1" w:styleId="191">
    <w:name w:val="repeat-item"/>
    <w:basedOn w:val="74"/>
    <w:qFormat/>
    <w:uiPriority w:val="0"/>
  </w:style>
  <w:style w:type="character" w:customStyle="1" w:styleId="192">
    <w:name w:val="正文缩进 Char Char1"/>
    <w:qFormat/>
    <w:uiPriority w:val="0"/>
    <w:rPr>
      <w:rFonts w:eastAsia="宋体"/>
      <w:kern w:val="2"/>
      <w:sz w:val="21"/>
      <w:szCs w:val="24"/>
      <w:lang w:val="en-US" w:eastAsia="zh-CN" w:bidi="ar-SA"/>
    </w:rPr>
  </w:style>
  <w:style w:type="character" w:customStyle="1" w:styleId="193">
    <w:name w:val="fontstrikethrough"/>
    <w:qFormat/>
    <w:uiPriority w:val="0"/>
    <w:rPr>
      <w:strike/>
    </w:rPr>
  </w:style>
  <w:style w:type="character" w:customStyle="1" w:styleId="194">
    <w:name w:val="Char4"/>
    <w:qFormat/>
    <w:uiPriority w:val="0"/>
    <w:rPr>
      <w:rFonts w:eastAsia="黑体"/>
      <w:bCs/>
      <w:kern w:val="2"/>
      <w:sz w:val="28"/>
      <w:szCs w:val="28"/>
      <w:lang w:val="en-US" w:eastAsia="zh-CN" w:bidi="ar-SA"/>
    </w:rPr>
  </w:style>
  <w:style w:type="character" w:customStyle="1" w:styleId="195">
    <w:name w:val="Char"/>
    <w:qFormat/>
    <w:uiPriority w:val="0"/>
    <w:rPr>
      <w:rFonts w:eastAsia="宋体"/>
      <w:kern w:val="2"/>
      <w:sz w:val="18"/>
      <w:szCs w:val="18"/>
      <w:lang w:val="en-US" w:eastAsia="zh-CN" w:bidi="ar-SA"/>
    </w:rPr>
  </w:style>
  <w:style w:type="character" w:customStyle="1" w:styleId="196">
    <w:name w:val="grame"/>
    <w:basedOn w:val="74"/>
    <w:qFormat/>
    <w:uiPriority w:val="0"/>
  </w:style>
  <w:style w:type="character" w:customStyle="1" w:styleId="197">
    <w:name w:val="Char Char4"/>
    <w:qFormat/>
    <w:uiPriority w:val="0"/>
    <w:rPr>
      <w:rFonts w:eastAsia="宋体"/>
      <w:kern w:val="2"/>
      <w:sz w:val="21"/>
      <w:szCs w:val="24"/>
      <w:lang w:val="en-US" w:eastAsia="zh-CN" w:bidi="ar-SA"/>
    </w:rPr>
  </w:style>
  <w:style w:type="character" w:customStyle="1" w:styleId="198">
    <w:name w:val="fontborder"/>
    <w:qFormat/>
    <w:uiPriority w:val="0"/>
    <w:rPr>
      <w:bdr w:val="single" w:color="000000" w:sz="6" w:space="0"/>
    </w:rPr>
  </w:style>
  <w:style w:type="character" w:customStyle="1" w:styleId="199">
    <w:name w:val="Char2"/>
    <w:qFormat/>
    <w:uiPriority w:val="0"/>
    <w:rPr>
      <w:rFonts w:eastAsia="宋体"/>
      <w:kern w:val="2"/>
      <w:sz w:val="21"/>
      <w:szCs w:val="24"/>
      <w:lang w:val="en-US" w:eastAsia="zh-CN" w:bidi="ar-SA"/>
    </w:rPr>
  </w:style>
  <w:style w:type="character" w:customStyle="1" w:styleId="200">
    <w:name w:val="Char Char7"/>
    <w:qFormat/>
    <w:uiPriority w:val="0"/>
    <w:rPr>
      <w:rFonts w:eastAsia="黑体"/>
      <w:bCs/>
      <w:kern w:val="2"/>
      <w:sz w:val="28"/>
      <w:szCs w:val="28"/>
      <w:lang w:val="en-US" w:eastAsia="zh-CN" w:bidi="ar-SA"/>
    </w:rPr>
  </w:style>
  <w:style w:type="character" w:customStyle="1" w:styleId="201">
    <w:name w:val="Char Char6"/>
    <w:qFormat/>
    <w:uiPriority w:val="0"/>
    <w:rPr>
      <w:rFonts w:ascii="Arial" w:hAnsi="Arial" w:eastAsia="黑体"/>
      <w:b/>
      <w:bCs/>
      <w:kern w:val="2"/>
      <w:sz w:val="24"/>
      <w:szCs w:val="24"/>
      <w:lang w:val="en-US" w:eastAsia="zh-CN" w:bidi="ar-SA"/>
    </w:rPr>
  </w:style>
  <w:style w:type="character" w:customStyle="1" w:styleId="202">
    <w:name w:val="纯文本 Char1 Char"/>
    <w:qFormat/>
    <w:uiPriority w:val="0"/>
    <w:rPr>
      <w:rFonts w:ascii="宋体" w:hAnsi="Courier New" w:eastAsia="宋体" w:cs="Times New Roman"/>
      <w:szCs w:val="24"/>
    </w:rPr>
  </w:style>
  <w:style w:type="character" w:customStyle="1" w:styleId="203">
    <w:name w:val="引用 Char Char"/>
    <w:qFormat/>
    <w:uiPriority w:val="0"/>
    <w:rPr>
      <w:rFonts w:ascii="Calibri" w:hAnsi="Calibri" w:eastAsia="宋体"/>
      <w:i/>
      <w:iCs/>
      <w:color w:val="000000"/>
      <w:kern w:val="2"/>
      <w:sz w:val="21"/>
      <w:szCs w:val="24"/>
      <w:lang w:val="en-US" w:eastAsia="zh-CN" w:bidi="ar-SA"/>
    </w:rPr>
  </w:style>
  <w:style w:type="character" w:customStyle="1" w:styleId="204">
    <w:name w:val="纯文本 Char1 Char Char Char Char"/>
    <w:qFormat/>
    <w:uiPriority w:val="0"/>
    <w:rPr>
      <w:rFonts w:ascii="宋体" w:hAnsi="Courier New" w:eastAsia="宋体"/>
      <w:kern w:val="2"/>
      <w:sz w:val="21"/>
      <w:szCs w:val="24"/>
      <w:lang w:val="en-US" w:eastAsia="zh-CN" w:bidi="ar-SA"/>
    </w:rPr>
  </w:style>
  <w:style w:type="character" w:customStyle="1" w:styleId="205">
    <w:name w:val="标题 6 Char Char1"/>
    <w:qFormat/>
    <w:uiPriority w:val="0"/>
    <w:rPr>
      <w:rFonts w:ascii="Arial" w:hAnsi="Arial" w:eastAsia="黑体"/>
      <w:b/>
      <w:bCs/>
      <w:kern w:val="2"/>
      <w:sz w:val="24"/>
      <w:szCs w:val="24"/>
      <w:lang w:val="en-US" w:eastAsia="zh-CN" w:bidi="ar-SA"/>
    </w:rPr>
  </w:style>
  <w:style w:type="character" w:customStyle="1" w:styleId="206">
    <w:name w:val="正文缩进 Char Char Char1 Char"/>
    <w:qFormat/>
    <w:uiPriority w:val="0"/>
    <w:rPr>
      <w:rFonts w:eastAsia="宋体"/>
      <w:kern w:val="2"/>
      <w:sz w:val="21"/>
      <w:szCs w:val="24"/>
      <w:lang w:val="en-US" w:eastAsia="zh-CN" w:bidi="ar-SA"/>
    </w:rPr>
  </w:style>
  <w:style w:type="character" w:customStyle="1" w:styleId="207">
    <w:name w:val="lei Char Char Char"/>
    <w:qFormat/>
    <w:uiPriority w:val="0"/>
    <w:rPr>
      <w:rFonts w:eastAsia="仿宋_GB2312"/>
      <w:snapToGrid w:val="0"/>
      <w:kern w:val="2"/>
      <w:sz w:val="28"/>
      <w:szCs w:val="28"/>
      <w:lang w:val="en-US" w:eastAsia="zh-CN" w:bidi="ar-SA"/>
    </w:rPr>
  </w:style>
  <w:style w:type="character" w:customStyle="1" w:styleId="208">
    <w:name w:val="正文（布） Char"/>
    <w:link w:val="209"/>
    <w:qFormat/>
    <w:uiPriority w:val="0"/>
    <w:rPr>
      <w:rFonts w:eastAsia="仿宋_GB2312"/>
      <w:sz w:val="28"/>
      <w:szCs w:val="28"/>
    </w:rPr>
  </w:style>
  <w:style w:type="paragraph" w:customStyle="1" w:styleId="209">
    <w:name w:val="正文（布）"/>
    <w:basedOn w:val="1"/>
    <w:link w:val="208"/>
    <w:qFormat/>
    <w:uiPriority w:val="0"/>
    <w:pPr>
      <w:spacing w:line="520" w:lineRule="exact"/>
      <w:ind w:firstLine="560" w:firstLineChars="200"/>
    </w:pPr>
    <w:rPr>
      <w:rFonts w:eastAsia="仿宋_GB2312" w:asciiTheme="minorHAnsi" w:hAnsiTheme="minorHAnsi" w:cstheme="minorBidi"/>
      <w:sz w:val="28"/>
      <w:szCs w:val="28"/>
    </w:rPr>
  </w:style>
  <w:style w:type="character" w:customStyle="1" w:styleId="210">
    <w:name w:val="Char6"/>
    <w:qFormat/>
    <w:uiPriority w:val="0"/>
    <w:rPr>
      <w:rFonts w:ascii="Arial" w:hAnsi="Arial" w:eastAsia="黑体"/>
      <w:b/>
      <w:bCs/>
      <w:kern w:val="2"/>
      <w:sz w:val="28"/>
      <w:szCs w:val="28"/>
      <w:lang w:val="en-US" w:eastAsia="zh-CN" w:bidi="ar-SA"/>
    </w:rPr>
  </w:style>
  <w:style w:type="character" w:customStyle="1" w:styleId="211">
    <w:name w:val="Char5"/>
    <w:qFormat/>
    <w:uiPriority w:val="0"/>
    <w:rPr>
      <w:rFonts w:eastAsia="黑体"/>
      <w:bCs/>
      <w:kern w:val="2"/>
      <w:sz w:val="28"/>
      <w:szCs w:val="28"/>
      <w:lang w:val="en-US" w:eastAsia="zh-CN" w:bidi="ar-SA"/>
    </w:rPr>
  </w:style>
  <w:style w:type="character" w:customStyle="1" w:styleId="212">
    <w:name w:val="引用 Char"/>
    <w:link w:val="213"/>
    <w:qFormat/>
    <w:uiPriority w:val="0"/>
    <w:rPr>
      <w:rFonts w:ascii="Calibri" w:hAnsi="Calibri"/>
      <w:i/>
      <w:iCs/>
      <w:color w:val="000000"/>
      <w:szCs w:val="24"/>
    </w:rPr>
  </w:style>
  <w:style w:type="paragraph" w:styleId="213">
    <w:name w:val="Quote"/>
    <w:basedOn w:val="1"/>
    <w:next w:val="1"/>
    <w:link w:val="212"/>
    <w:qFormat/>
    <w:uiPriority w:val="0"/>
    <w:rPr>
      <w:rFonts w:eastAsiaTheme="minorEastAsia" w:cstheme="minorBidi"/>
      <w:i/>
      <w:iCs/>
      <w:color w:val="000000"/>
      <w:szCs w:val="24"/>
    </w:rPr>
  </w:style>
  <w:style w:type="character" w:customStyle="1" w:styleId="214">
    <w:name w:val="font3"/>
    <w:basedOn w:val="74"/>
    <w:qFormat/>
    <w:uiPriority w:val="0"/>
  </w:style>
  <w:style w:type="character" w:customStyle="1" w:styleId="215">
    <w:name w:val="Char3"/>
    <w:qFormat/>
    <w:uiPriority w:val="0"/>
    <w:rPr>
      <w:rFonts w:ascii="宋体" w:hAnsi="Courier New" w:eastAsia="宋体"/>
      <w:kern w:val="2"/>
      <w:sz w:val="21"/>
      <w:szCs w:val="24"/>
      <w:lang w:val="en-US" w:eastAsia="zh-CN" w:bidi="ar-SA"/>
    </w:rPr>
  </w:style>
  <w:style w:type="paragraph" w:customStyle="1" w:styleId="216">
    <w:name w:val="z-窗体顶端1"/>
    <w:basedOn w:val="1"/>
    <w:next w:val="1"/>
    <w:link w:val="217"/>
    <w:qFormat/>
    <w:uiPriority w:val="0"/>
    <w:pPr>
      <w:pBdr>
        <w:bottom w:val="single" w:color="auto" w:sz="6" w:space="1"/>
      </w:pBdr>
      <w:jc w:val="center"/>
    </w:pPr>
    <w:rPr>
      <w:rFonts w:ascii="Arial" w:hAnsi="Times New Roman"/>
      <w:vanish/>
      <w:sz w:val="16"/>
      <w:szCs w:val="22"/>
    </w:rPr>
  </w:style>
  <w:style w:type="character" w:customStyle="1" w:styleId="217">
    <w:name w:val="z-窗体顶端 Char"/>
    <w:basedOn w:val="74"/>
    <w:link w:val="216"/>
    <w:qFormat/>
    <w:uiPriority w:val="0"/>
    <w:rPr>
      <w:rFonts w:ascii="Arial" w:hAnsi="Times New Roman" w:eastAsia="宋体" w:cs="Times New Roman"/>
      <w:vanish/>
      <w:sz w:val="16"/>
    </w:rPr>
  </w:style>
  <w:style w:type="paragraph" w:customStyle="1" w:styleId="218">
    <w:name w:val="xl77"/>
    <w:basedOn w:val="1"/>
    <w:qFormat/>
    <w:uiPriority w:val="0"/>
    <w:pPr>
      <w:widowControl/>
      <w:spacing w:before="100" w:beforeAutospacing="1" w:after="100" w:afterAutospacing="1"/>
      <w:jc w:val="left"/>
      <w:textAlignment w:val="bottom"/>
    </w:pPr>
    <w:rPr>
      <w:rFonts w:ascii="Times New Roman" w:hAnsi="Times New Roman"/>
      <w:b/>
      <w:bCs/>
      <w:i/>
      <w:iCs/>
      <w:kern w:val="0"/>
      <w:sz w:val="24"/>
      <w:szCs w:val="24"/>
    </w:rPr>
  </w:style>
  <w:style w:type="paragraph" w:customStyle="1" w:styleId="219">
    <w:name w:val="xl65"/>
    <w:basedOn w:val="1"/>
    <w:qFormat/>
    <w:uiPriority w:val="0"/>
    <w:pPr>
      <w:widowControl/>
      <w:spacing w:before="100" w:beforeAutospacing="1" w:after="100" w:afterAutospacing="1"/>
      <w:jc w:val="left"/>
      <w:textAlignment w:val="bottom"/>
    </w:pPr>
    <w:rPr>
      <w:rFonts w:ascii="Times New Roman" w:hAnsi="Times New Roman"/>
      <w:i/>
      <w:iCs/>
      <w:kern w:val="0"/>
      <w:sz w:val="24"/>
      <w:szCs w:val="24"/>
    </w:rPr>
  </w:style>
  <w:style w:type="paragraph" w:customStyle="1" w:styleId="220">
    <w:name w:val="xl69"/>
    <w:basedOn w:val="1"/>
    <w:qFormat/>
    <w:uiPriority w:val="0"/>
    <w:pPr>
      <w:widowControl/>
      <w:spacing w:before="100" w:beforeAutospacing="1" w:after="100" w:afterAutospacing="1"/>
      <w:jc w:val="left"/>
    </w:pPr>
    <w:rPr>
      <w:rFonts w:ascii="Times New Roman" w:hAnsi="Times New Roman"/>
      <w:i/>
      <w:iCs/>
      <w:kern w:val="0"/>
      <w:sz w:val="24"/>
      <w:szCs w:val="24"/>
    </w:rPr>
  </w:style>
  <w:style w:type="paragraph" w:customStyle="1" w:styleId="221">
    <w:name w:val="font15"/>
    <w:basedOn w:val="1"/>
    <w:qFormat/>
    <w:uiPriority w:val="0"/>
    <w:pPr>
      <w:widowControl/>
      <w:spacing w:before="100" w:beforeAutospacing="1" w:after="100" w:afterAutospacing="1"/>
      <w:jc w:val="left"/>
    </w:pPr>
    <w:rPr>
      <w:rFonts w:ascii="Times New Roman" w:hAnsi="Times New Roman"/>
      <w:color w:val="000000"/>
      <w:kern w:val="0"/>
      <w:sz w:val="24"/>
      <w:szCs w:val="24"/>
    </w:rPr>
  </w:style>
  <w:style w:type="paragraph" w:customStyle="1" w:styleId="222">
    <w:name w:val="xl83"/>
    <w:basedOn w:val="1"/>
    <w:qFormat/>
    <w:uiPriority w:val="0"/>
    <w:pPr>
      <w:widowControl/>
      <w:spacing w:before="100" w:beforeAutospacing="1" w:after="100" w:afterAutospacing="1"/>
      <w:jc w:val="left"/>
      <w:textAlignment w:val="top"/>
    </w:pPr>
    <w:rPr>
      <w:rFonts w:ascii="Times New Roman" w:hAnsi="Times New Roman"/>
      <w:b/>
      <w:bCs/>
      <w:kern w:val="0"/>
      <w:sz w:val="24"/>
      <w:szCs w:val="24"/>
    </w:rPr>
  </w:style>
  <w:style w:type="character" w:customStyle="1" w:styleId="223">
    <w:name w:val="引用 Char1"/>
    <w:basedOn w:val="74"/>
    <w:qFormat/>
    <w:uiPriority w:val="29"/>
    <w:rPr>
      <w:rFonts w:ascii="Calibri" w:hAnsi="Calibri" w:eastAsia="宋体" w:cs="Times New Roman"/>
      <w:i/>
      <w:iCs/>
      <w:color w:val="404040" w:themeColor="text1" w:themeTint="BF"/>
      <w:szCs w:val="21"/>
      <w14:textFill>
        <w14:solidFill>
          <w14:schemeClr w14:val="tx1">
            <w14:lumMod w14:val="75000"/>
            <w14:lumOff w14:val="25000"/>
          </w14:schemeClr>
        </w14:solidFill>
      </w14:textFill>
    </w:rPr>
  </w:style>
  <w:style w:type="paragraph" w:customStyle="1" w:styleId="224">
    <w:name w:val="xl66"/>
    <w:basedOn w:val="1"/>
    <w:qFormat/>
    <w:uiPriority w:val="0"/>
    <w:pPr>
      <w:widowControl/>
      <w:spacing w:before="100" w:beforeAutospacing="1" w:after="100" w:afterAutospacing="1"/>
    </w:pPr>
    <w:rPr>
      <w:rFonts w:ascii="Times New Roman" w:hAnsi="Times New Roman"/>
      <w:i/>
      <w:iCs/>
      <w:kern w:val="0"/>
      <w:sz w:val="24"/>
      <w:szCs w:val="24"/>
    </w:rPr>
  </w:style>
  <w:style w:type="paragraph" w:customStyle="1" w:styleId="225">
    <w:name w:val="3"/>
    <w:basedOn w:val="6"/>
    <w:qFormat/>
    <w:uiPriority w:val="0"/>
    <w:pPr>
      <w:numPr>
        <w:ilvl w:val="0"/>
        <w:numId w:val="0"/>
      </w:numPr>
      <w:tabs>
        <w:tab w:val="left" w:pos="360"/>
        <w:tab w:val="left" w:pos="900"/>
      </w:tabs>
      <w:adjustRightInd/>
      <w:spacing w:before="120" w:after="120"/>
      <w:ind w:left="542" w:leftChars="-12" w:firstLine="200" w:firstLineChars="200"/>
      <w:jc w:val="left"/>
    </w:pPr>
    <w:rPr>
      <w:rFonts w:eastAsia="黑体"/>
      <w:b w:val="0"/>
      <w:bCs w:val="0"/>
      <w:snapToGrid w:val="0"/>
      <w:kern w:val="2"/>
      <w:szCs w:val="24"/>
    </w:rPr>
  </w:style>
  <w:style w:type="paragraph" w:customStyle="1" w:styleId="226">
    <w:name w:val="font5"/>
    <w:basedOn w:val="1"/>
    <w:qFormat/>
    <w:uiPriority w:val="0"/>
    <w:pPr>
      <w:widowControl/>
      <w:spacing w:before="100" w:beforeAutospacing="1" w:after="100" w:afterAutospacing="1"/>
      <w:jc w:val="left"/>
    </w:pPr>
    <w:rPr>
      <w:rFonts w:ascii="Times New Roman" w:hAnsi="Times New Roman"/>
      <w:kern w:val="0"/>
      <w:sz w:val="24"/>
      <w:szCs w:val="24"/>
    </w:rPr>
  </w:style>
  <w:style w:type="paragraph" w:customStyle="1" w:styleId="227">
    <w:name w:val="font16"/>
    <w:basedOn w:val="1"/>
    <w:qFormat/>
    <w:uiPriority w:val="0"/>
    <w:pPr>
      <w:widowControl/>
      <w:spacing w:before="100" w:beforeAutospacing="1" w:after="100" w:afterAutospacing="1"/>
      <w:jc w:val="left"/>
    </w:pPr>
    <w:rPr>
      <w:rFonts w:ascii="Arial" w:hAnsi="Arial" w:cs="Arial"/>
      <w:i/>
      <w:iCs/>
      <w:color w:val="000000"/>
      <w:kern w:val="0"/>
      <w:sz w:val="24"/>
      <w:szCs w:val="24"/>
    </w:rPr>
  </w:style>
  <w:style w:type="paragraph" w:customStyle="1" w:styleId="228">
    <w:name w:val="Char Char1 Char Char Char Char Char Char1"/>
    <w:basedOn w:val="1"/>
    <w:qFormat/>
    <w:uiPriority w:val="0"/>
    <w:pPr>
      <w:adjustRightInd w:val="0"/>
      <w:spacing w:line="360" w:lineRule="atLeast"/>
      <w:jc w:val="left"/>
      <w:textAlignment w:val="baseline"/>
    </w:pPr>
    <w:rPr>
      <w:rFonts w:ascii="Tahoma" w:hAnsi="Tahoma"/>
      <w:kern w:val="0"/>
      <w:sz w:val="24"/>
      <w:szCs w:val="20"/>
    </w:rPr>
  </w:style>
  <w:style w:type="paragraph" w:customStyle="1" w:styleId="229">
    <w:name w:val="xl72"/>
    <w:basedOn w:val="1"/>
    <w:qFormat/>
    <w:uiPriority w:val="0"/>
    <w:pPr>
      <w:widowControl/>
      <w:spacing w:before="100" w:beforeAutospacing="1" w:after="100" w:afterAutospacing="1"/>
      <w:jc w:val="left"/>
    </w:pPr>
    <w:rPr>
      <w:rFonts w:ascii="宋体" w:hAnsi="宋体" w:cs="宋体"/>
      <w:b/>
      <w:bCs/>
      <w:kern w:val="0"/>
      <w:sz w:val="24"/>
      <w:szCs w:val="24"/>
    </w:rPr>
  </w:style>
  <w:style w:type="paragraph" w:customStyle="1" w:styleId="230">
    <w:name w:val="xl82"/>
    <w:basedOn w:val="1"/>
    <w:qFormat/>
    <w:uiPriority w:val="0"/>
    <w:pPr>
      <w:widowControl/>
      <w:spacing w:before="100" w:beforeAutospacing="1" w:after="100" w:afterAutospacing="1"/>
    </w:pPr>
    <w:rPr>
      <w:rFonts w:ascii="宋体" w:hAnsi="宋体" w:cs="宋体"/>
      <w:b/>
      <w:bCs/>
      <w:kern w:val="0"/>
      <w:sz w:val="24"/>
      <w:szCs w:val="24"/>
    </w:rPr>
  </w:style>
  <w:style w:type="paragraph" w:customStyle="1" w:styleId="231">
    <w:name w:val="Char Char9 Char"/>
    <w:basedOn w:val="6"/>
    <w:qFormat/>
    <w:uiPriority w:val="0"/>
    <w:pPr>
      <w:numPr>
        <w:ilvl w:val="0"/>
        <w:numId w:val="0"/>
      </w:numPr>
      <w:tabs>
        <w:tab w:val="left" w:pos="360"/>
        <w:tab w:val="left" w:pos="900"/>
      </w:tabs>
      <w:adjustRightInd/>
      <w:spacing w:before="120" w:after="120"/>
      <w:ind w:left="542" w:leftChars="-12" w:firstLine="200" w:firstLineChars="200"/>
      <w:jc w:val="left"/>
    </w:pPr>
    <w:rPr>
      <w:rFonts w:eastAsia="黑体"/>
      <w:b w:val="0"/>
      <w:bCs w:val="0"/>
      <w:snapToGrid w:val="0"/>
      <w:kern w:val="2"/>
      <w:szCs w:val="24"/>
    </w:rPr>
  </w:style>
  <w:style w:type="paragraph" w:customStyle="1" w:styleId="232">
    <w:name w:val="xl81"/>
    <w:basedOn w:val="1"/>
    <w:qFormat/>
    <w:uiPriority w:val="0"/>
    <w:pPr>
      <w:widowControl/>
      <w:spacing w:before="100" w:beforeAutospacing="1" w:after="100" w:afterAutospacing="1"/>
    </w:pPr>
    <w:rPr>
      <w:rFonts w:ascii="Times New Roman" w:hAnsi="Times New Roman"/>
      <w:b/>
      <w:bCs/>
      <w:kern w:val="0"/>
      <w:sz w:val="24"/>
      <w:szCs w:val="24"/>
    </w:rPr>
  </w:style>
  <w:style w:type="paragraph" w:customStyle="1" w:styleId="233">
    <w:name w:val="xl76"/>
    <w:basedOn w:val="1"/>
    <w:qFormat/>
    <w:uiPriority w:val="0"/>
    <w:pPr>
      <w:widowControl/>
      <w:spacing w:before="100" w:beforeAutospacing="1" w:after="100" w:afterAutospacing="1"/>
      <w:jc w:val="left"/>
    </w:pPr>
    <w:rPr>
      <w:rFonts w:ascii="Times New Roman" w:hAnsi="Times New Roman"/>
      <w:b/>
      <w:bCs/>
      <w:kern w:val="0"/>
      <w:sz w:val="24"/>
      <w:szCs w:val="24"/>
    </w:rPr>
  </w:style>
  <w:style w:type="paragraph" w:customStyle="1" w:styleId="234">
    <w:name w:val="xl86"/>
    <w:basedOn w:val="1"/>
    <w:qFormat/>
    <w:uiPriority w:val="0"/>
    <w:pPr>
      <w:widowControl/>
      <w:spacing w:before="100" w:beforeAutospacing="1" w:after="100" w:afterAutospacing="1"/>
      <w:jc w:val="left"/>
      <w:textAlignment w:val="top"/>
    </w:pPr>
    <w:rPr>
      <w:rFonts w:ascii="Times New Roman" w:hAnsi="Times New Roman"/>
      <w:i/>
      <w:iCs/>
      <w:kern w:val="0"/>
      <w:sz w:val="24"/>
      <w:szCs w:val="24"/>
    </w:rPr>
  </w:style>
  <w:style w:type="paragraph" w:customStyle="1" w:styleId="235">
    <w:name w:val="xl75"/>
    <w:basedOn w:val="1"/>
    <w:qFormat/>
    <w:uiPriority w:val="0"/>
    <w:pPr>
      <w:widowControl/>
      <w:spacing w:before="100" w:beforeAutospacing="1" w:after="100" w:afterAutospacing="1"/>
    </w:pPr>
    <w:rPr>
      <w:rFonts w:ascii="宋体" w:hAnsi="宋体" w:cs="宋体"/>
      <w:kern w:val="0"/>
      <w:sz w:val="24"/>
      <w:szCs w:val="24"/>
    </w:rPr>
  </w:style>
  <w:style w:type="paragraph" w:customStyle="1" w:styleId="236">
    <w:name w:val="xl68"/>
    <w:basedOn w:val="1"/>
    <w:qFormat/>
    <w:uiPriority w:val="0"/>
    <w:pPr>
      <w:widowControl/>
      <w:spacing w:before="100" w:beforeAutospacing="1" w:after="100" w:afterAutospacing="1"/>
      <w:jc w:val="left"/>
      <w:textAlignment w:val="bottom"/>
    </w:pPr>
    <w:rPr>
      <w:rFonts w:ascii="宋体" w:hAnsi="宋体" w:cs="宋体"/>
      <w:kern w:val="0"/>
      <w:sz w:val="24"/>
      <w:szCs w:val="24"/>
    </w:rPr>
  </w:style>
  <w:style w:type="paragraph" w:customStyle="1" w:styleId="237">
    <w:name w:val="font7"/>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38">
    <w:name w:val="xl87"/>
    <w:basedOn w:val="1"/>
    <w:qFormat/>
    <w:uiPriority w:val="0"/>
    <w:pPr>
      <w:widowControl/>
      <w:spacing w:before="100" w:beforeAutospacing="1" w:after="100" w:afterAutospacing="1"/>
      <w:jc w:val="left"/>
      <w:textAlignment w:val="top"/>
    </w:pPr>
    <w:rPr>
      <w:rFonts w:ascii="Times New Roman" w:hAnsi="Times New Roman"/>
      <w:b/>
      <w:bCs/>
      <w:kern w:val="0"/>
      <w:sz w:val="28"/>
      <w:szCs w:val="28"/>
    </w:rPr>
  </w:style>
  <w:style w:type="character" w:customStyle="1" w:styleId="239">
    <w:name w:val="称呼 Char"/>
    <w:basedOn w:val="74"/>
    <w:link w:val="24"/>
    <w:qFormat/>
    <w:uiPriority w:val="0"/>
    <w:rPr>
      <w:rFonts w:ascii="Times New Roman" w:hAnsi="Times New Roman" w:eastAsia="宋体" w:cs="Times New Roman"/>
      <w:szCs w:val="24"/>
    </w:rPr>
  </w:style>
  <w:style w:type="character" w:customStyle="1" w:styleId="240">
    <w:name w:val="正文文本缩进 3 Char"/>
    <w:basedOn w:val="74"/>
    <w:link w:val="54"/>
    <w:qFormat/>
    <w:uiPriority w:val="0"/>
    <w:rPr>
      <w:rFonts w:ascii="Times New Roman" w:hAnsi="Times New Roman" w:eastAsia="宋体" w:cs="Times New Roman"/>
      <w:sz w:val="16"/>
      <w:szCs w:val="16"/>
    </w:rPr>
  </w:style>
  <w:style w:type="character" w:customStyle="1" w:styleId="241">
    <w:name w:val="正文首行缩进 2 Char"/>
    <w:basedOn w:val="121"/>
    <w:link w:val="70"/>
    <w:qFormat/>
    <w:uiPriority w:val="0"/>
    <w:rPr>
      <w:rFonts w:ascii="Times New Roman" w:hAnsi="Times New Roman" w:eastAsia="宋体" w:cs="Times New Roman"/>
      <w:szCs w:val="24"/>
    </w:rPr>
  </w:style>
  <w:style w:type="paragraph" w:customStyle="1" w:styleId="242">
    <w:name w:val="Char Char1 Char Char Char Char Char Char"/>
    <w:basedOn w:val="1"/>
    <w:qFormat/>
    <w:uiPriority w:val="0"/>
    <w:pPr>
      <w:adjustRightInd w:val="0"/>
      <w:spacing w:line="360" w:lineRule="atLeast"/>
      <w:jc w:val="left"/>
      <w:textAlignment w:val="baseline"/>
    </w:pPr>
    <w:rPr>
      <w:rFonts w:ascii="Tahoma" w:hAnsi="Tahoma"/>
      <w:kern w:val="0"/>
      <w:sz w:val="24"/>
      <w:szCs w:val="20"/>
    </w:rPr>
  </w:style>
  <w:style w:type="paragraph" w:customStyle="1" w:styleId="243">
    <w:name w:val="font10"/>
    <w:basedOn w:val="1"/>
    <w:qFormat/>
    <w:uiPriority w:val="0"/>
    <w:pPr>
      <w:widowControl/>
      <w:spacing w:before="100" w:beforeAutospacing="1" w:after="100" w:afterAutospacing="1"/>
      <w:jc w:val="left"/>
    </w:pPr>
    <w:rPr>
      <w:rFonts w:ascii="宋体" w:hAnsi="宋体" w:cs="宋体"/>
      <w:b/>
      <w:bCs/>
      <w:kern w:val="0"/>
      <w:sz w:val="24"/>
      <w:szCs w:val="24"/>
    </w:rPr>
  </w:style>
  <w:style w:type="paragraph" w:customStyle="1" w:styleId="244">
    <w:name w:val="xl92"/>
    <w:basedOn w:val="1"/>
    <w:qFormat/>
    <w:uiPriority w:val="0"/>
    <w:pPr>
      <w:widowControl/>
      <w:spacing w:before="100" w:beforeAutospacing="1" w:after="100" w:afterAutospacing="1"/>
      <w:jc w:val="left"/>
      <w:textAlignment w:val="bottom"/>
    </w:pPr>
    <w:rPr>
      <w:rFonts w:ascii="宋体" w:hAnsi="宋体" w:cs="宋体"/>
      <w:kern w:val="0"/>
      <w:sz w:val="24"/>
      <w:szCs w:val="24"/>
    </w:rPr>
  </w:style>
  <w:style w:type="paragraph" w:customStyle="1" w:styleId="245">
    <w:name w:val="xl88"/>
    <w:basedOn w:val="1"/>
    <w:qFormat/>
    <w:uiPriority w:val="0"/>
    <w:pPr>
      <w:widowControl/>
      <w:spacing w:before="100" w:beforeAutospacing="1" w:after="100" w:afterAutospacing="1"/>
      <w:jc w:val="left"/>
    </w:pPr>
    <w:rPr>
      <w:rFonts w:ascii="宋体" w:hAnsi="宋体" w:cs="宋体"/>
      <w:b/>
      <w:bCs/>
      <w:kern w:val="0"/>
      <w:sz w:val="24"/>
      <w:szCs w:val="24"/>
    </w:rPr>
  </w:style>
  <w:style w:type="paragraph" w:customStyle="1" w:styleId="246">
    <w:name w:val="xl70"/>
    <w:basedOn w:val="1"/>
    <w:qFormat/>
    <w:uiPriority w:val="0"/>
    <w:pPr>
      <w:widowControl/>
      <w:spacing w:before="100" w:beforeAutospacing="1" w:after="100" w:afterAutospacing="1"/>
      <w:jc w:val="left"/>
    </w:pPr>
    <w:rPr>
      <w:rFonts w:ascii="Times New Roman" w:hAnsi="Times New Roman"/>
      <w:kern w:val="0"/>
      <w:sz w:val="24"/>
      <w:szCs w:val="24"/>
    </w:rPr>
  </w:style>
  <w:style w:type="paragraph" w:customStyle="1" w:styleId="247">
    <w:name w:val="普通(Web)1"/>
    <w:basedOn w:val="1"/>
    <w:qFormat/>
    <w:uiPriority w:val="0"/>
    <w:pPr>
      <w:widowControl/>
      <w:wordWrap w:val="0"/>
      <w:spacing w:before="150" w:after="150"/>
      <w:jc w:val="left"/>
    </w:pPr>
    <w:rPr>
      <w:rFonts w:ascii="宋体" w:hAnsi="宋体" w:cs="宋体"/>
      <w:kern w:val="0"/>
      <w:sz w:val="24"/>
      <w:szCs w:val="24"/>
    </w:rPr>
  </w:style>
  <w:style w:type="paragraph" w:customStyle="1" w:styleId="248">
    <w:name w:val="z-窗体底端1"/>
    <w:basedOn w:val="1"/>
    <w:next w:val="1"/>
    <w:link w:val="249"/>
    <w:qFormat/>
    <w:uiPriority w:val="0"/>
    <w:pPr>
      <w:pBdr>
        <w:top w:val="single" w:color="auto" w:sz="6" w:space="1"/>
      </w:pBdr>
      <w:jc w:val="center"/>
    </w:pPr>
    <w:rPr>
      <w:rFonts w:ascii="Arial" w:hAnsi="Times New Roman"/>
      <w:vanish/>
      <w:sz w:val="16"/>
      <w:szCs w:val="22"/>
    </w:rPr>
  </w:style>
  <w:style w:type="character" w:customStyle="1" w:styleId="249">
    <w:name w:val="z-窗体底端 Char"/>
    <w:basedOn w:val="74"/>
    <w:link w:val="248"/>
    <w:qFormat/>
    <w:uiPriority w:val="0"/>
    <w:rPr>
      <w:rFonts w:ascii="Arial" w:hAnsi="Times New Roman" w:eastAsia="宋体" w:cs="Times New Roman"/>
      <w:vanish/>
      <w:sz w:val="16"/>
    </w:rPr>
  </w:style>
  <w:style w:type="paragraph" w:customStyle="1" w:styleId="250">
    <w:name w:val="xl74"/>
    <w:basedOn w:val="1"/>
    <w:qFormat/>
    <w:uiPriority w:val="0"/>
    <w:pPr>
      <w:widowControl/>
      <w:spacing w:before="100" w:beforeAutospacing="1" w:after="100" w:afterAutospacing="1"/>
      <w:jc w:val="left"/>
      <w:textAlignment w:val="bottom"/>
    </w:pPr>
    <w:rPr>
      <w:rFonts w:ascii="Times New Roman" w:hAnsi="Times New Roman"/>
      <w:b/>
      <w:bCs/>
      <w:kern w:val="0"/>
      <w:sz w:val="24"/>
      <w:szCs w:val="24"/>
    </w:rPr>
  </w:style>
  <w:style w:type="paragraph" w:customStyle="1" w:styleId="251">
    <w:name w:val="xl79"/>
    <w:basedOn w:val="1"/>
    <w:qFormat/>
    <w:uiPriority w:val="0"/>
    <w:pPr>
      <w:widowControl/>
      <w:shd w:val="clear" w:color="auto" w:fill="FFFFFF"/>
      <w:spacing w:before="100" w:beforeAutospacing="1" w:after="100" w:afterAutospacing="1"/>
      <w:jc w:val="left"/>
      <w:textAlignment w:val="bottom"/>
    </w:pPr>
    <w:rPr>
      <w:rFonts w:ascii="Times New Roman" w:hAnsi="Times New Roman"/>
      <w:b/>
      <w:bCs/>
      <w:kern w:val="0"/>
      <w:sz w:val="24"/>
      <w:szCs w:val="24"/>
    </w:rPr>
  </w:style>
  <w:style w:type="paragraph" w:customStyle="1" w:styleId="252">
    <w:name w:val="font12"/>
    <w:basedOn w:val="1"/>
    <w:qFormat/>
    <w:uiPriority w:val="0"/>
    <w:pPr>
      <w:widowControl/>
      <w:spacing w:before="100" w:beforeAutospacing="1" w:after="100" w:afterAutospacing="1"/>
      <w:jc w:val="left"/>
    </w:pPr>
    <w:rPr>
      <w:rFonts w:ascii="Times New Roman" w:hAnsi="Times New Roman"/>
      <w:b/>
      <w:bCs/>
      <w:i/>
      <w:iCs/>
      <w:kern w:val="0"/>
      <w:sz w:val="24"/>
      <w:szCs w:val="24"/>
    </w:rPr>
  </w:style>
  <w:style w:type="paragraph" w:customStyle="1" w:styleId="253">
    <w:name w:val="xl91"/>
    <w:basedOn w:val="1"/>
    <w:qFormat/>
    <w:uiPriority w:val="0"/>
    <w:pPr>
      <w:widowControl/>
      <w:spacing w:before="100" w:beforeAutospacing="1" w:after="100" w:afterAutospacing="1"/>
      <w:jc w:val="left"/>
      <w:textAlignment w:val="bottom"/>
    </w:pPr>
    <w:rPr>
      <w:rFonts w:ascii="宋体" w:hAnsi="宋体" w:cs="宋体"/>
      <w:kern w:val="0"/>
      <w:sz w:val="24"/>
      <w:szCs w:val="24"/>
    </w:rPr>
  </w:style>
  <w:style w:type="paragraph" w:customStyle="1" w:styleId="254">
    <w:name w:val="font13"/>
    <w:basedOn w:val="1"/>
    <w:qFormat/>
    <w:uiPriority w:val="0"/>
    <w:pPr>
      <w:widowControl/>
      <w:spacing w:before="100" w:beforeAutospacing="1" w:after="100" w:afterAutospacing="1"/>
      <w:jc w:val="left"/>
    </w:pPr>
    <w:rPr>
      <w:rFonts w:ascii="宋体" w:hAnsi="宋体" w:cs="宋体"/>
      <w:b/>
      <w:bCs/>
      <w:kern w:val="0"/>
      <w:sz w:val="28"/>
      <w:szCs w:val="28"/>
    </w:rPr>
  </w:style>
  <w:style w:type="paragraph" w:customStyle="1" w:styleId="255">
    <w:name w:val="Char2 Char Char Char Char"/>
    <w:basedOn w:val="1"/>
    <w:qFormat/>
    <w:uiPriority w:val="0"/>
    <w:pPr>
      <w:spacing w:line="360" w:lineRule="auto"/>
      <w:ind w:firstLine="200" w:firstLineChars="200"/>
    </w:pPr>
    <w:rPr>
      <w:rFonts w:ascii="宋体" w:hAnsi="宋体" w:cs="宋体"/>
      <w:sz w:val="24"/>
      <w:szCs w:val="24"/>
    </w:rPr>
  </w:style>
  <w:style w:type="paragraph" w:customStyle="1" w:styleId="256">
    <w:name w:val="xl71"/>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57">
    <w:name w:val="xl89"/>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58">
    <w:name w:val="Char2 Char Char"/>
    <w:basedOn w:val="6"/>
    <w:qFormat/>
    <w:uiPriority w:val="0"/>
    <w:pPr>
      <w:numPr>
        <w:ilvl w:val="0"/>
        <w:numId w:val="0"/>
      </w:numPr>
      <w:tabs>
        <w:tab w:val="left" w:pos="360"/>
        <w:tab w:val="left" w:pos="900"/>
      </w:tabs>
      <w:adjustRightInd/>
      <w:spacing w:before="120" w:after="120"/>
      <w:ind w:left="542" w:leftChars="-12" w:firstLine="200" w:firstLineChars="200"/>
      <w:jc w:val="left"/>
    </w:pPr>
    <w:rPr>
      <w:rFonts w:eastAsia="黑体"/>
      <w:b w:val="0"/>
      <w:bCs w:val="0"/>
      <w:snapToGrid w:val="0"/>
      <w:kern w:val="2"/>
      <w:szCs w:val="24"/>
    </w:rPr>
  </w:style>
  <w:style w:type="paragraph" w:customStyle="1" w:styleId="259">
    <w:name w:val="Char10"/>
    <w:basedOn w:val="6"/>
    <w:qFormat/>
    <w:uiPriority w:val="0"/>
    <w:pPr>
      <w:numPr>
        <w:ilvl w:val="0"/>
        <w:numId w:val="0"/>
      </w:numPr>
      <w:tabs>
        <w:tab w:val="left" w:pos="360"/>
        <w:tab w:val="left" w:pos="900"/>
      </w:tabs>
      <w:adjustRightInd/>
      <w:spacing w:before="120" w:after="120"/>
      <w:ind w:left="542" w:leftChars="-12" w:firstLine="200" w:firstLineChars="200"/>
      <w:jc w:val="left"/>
    </w:pPr>
    <w:rPr>
      <w:rFonts w:eastAsia="黑体"/>
      <w:b w:val="0"/>
      <w:bCs w:val="0"/>
      <w:snapToGrid w:val="0"/>
      <w:kern w:val="2"/>
      <w:szCs w:val="24"/>
    </w:rPr>
  </w:style>
  <w:style w:type="paragraph" w:customStyle="1" w:styleId="260">
    <w:name w:val="font11"/>
    <w:basedOn w:val="1"/>
    <w:qFormat/>
    <w:uiPriority w:val="0"/>
    <w:pPr>
      <w:widowControl/>
      <w:spacing w:before="100" w:beforeAutospacing="1" w:after="100" w:afterAutospacing="1"/>
      <w:jc w:val="left"/>
    </w:pPr>
    <w:rPr>
      <w:rFonts w:ascii="Times New Roman" w:hAnsi="Times New Roman"/>
      <w:b/>
      <w:bCs/>
      <w:kern w:val="0"/>
      <w:sz w:val="24"/>
      <w:szCs w:val="24"/>
    </w:rPr>
  </w:style>
  <w:style w:type="paragraph" w:customStyle="1" w:styleId="261">
    <w:name w:val="cardlist-value"/>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62">
    <w:name w:val="xl80"/>
    <w:basedOn w:val="1"/>
    <w:qFormat/>
    <w:uiPriority w:val="0"/>
    <w:pPr>
      <w:widowControl/>
      <w:spacing w:before="100" w:beforeAutospacing="1" w:after="100" w:afterAutospacing="1"/>
      <w:jc w:val="left"/>
      <w:textAlignment w:val="bottom"/>
    </w:pPr>
    <w:rPr>
      <w:rFonts w:ascii="宋体" w:hAnsi="宋体" w:cs="宋体"/>
      <w:b/>
      <w:bCs/>
      <w:kern w:val="0"/>
      <w:sz w:val="24"/>
      <w:szCs w:val="24"/>
    </w:rPr>
  </w:style>
  <w:style w:type="paragraph" w:customStyle="1" w:styleId="263">
    <w:name w:val="font8"/>
    <w:basedOn w:val="1"/>
    <w:qFormat/>
    <w:uiPriority w:val="0"/>
    <w:pPr>
      <w:widowControl/>
      <w:spacing w:before="100" w:beforeAutospacing="1" w:after="100" w:afterAutospacing="1"/>
      <w:jc w:val="left"/>
    </w:pPr>
    <w:rPr>
      <w:rFonts w:ascii="Arial" w:hAnsi="Arial" w:cs="Arial"/>
      <w:kern w:val="0"/>
      <w:sz w:val="24"/>
      <w:szCs w:val="24"/>
    </w:rPr>
  </w:style>
  <w:style w:type="paragraph" w:customStyle="1" w:styleId="264">
    <w:name w:val="font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65">
    <w:name w:val="xl85"/>
    <w:basedOn w:val="1"/>
    <w:qFormat/>
    <w:uiPriority w:val="0"/>
    <w:pPr>
      <w:widowControl/>
      <w:spacing w:before="100" w:beforeAutospacing="1" w:after="100" w:afterAutospacing="1"/>
      <w:jc w:val="left"/>
      <w:textAlignment w:val="top"/>
    </w:pPr>
    <w:rPr>
      <w:rFonts w:ascii="宋体" w:hAnsi="宋体" w:cs="宋体"/>
      <w:kern w:val="0"/>
      <w:sz w:val="24"/>
      <w:szCs w:val="24"/>
    </w:rPr>
  </w:style>
  <w:style w:type="paragraph" w:customStyle="1" w:styleId="266">
    <w:name w:val="xl78"/>
    <w:basedOn w:val="1"/>
    <w:qFormat/>
    <w:uiPriority w:val="0"/>
    <w:pPr>
      <w:widowControl/>
      <w:spacing w:before="100" w:beforeAutospacing="1" w:after="100" w:afterAutospacing="1"/>
      <w:jc w:val="left"/>
    </w:pPr>
    <w:rPr>
      <w:rFonts w:ascii="Times New Roman" w:hAnsi="Times New Roman"/>
      <w:b/>
      <w:bCs/>
      <w:kern w:val="0"/>
      <w:sz w:val="24"/>
      <w:szCs w:val="24"/>
    </w:rPr>
  </w:style>
  <w:style w:type="paragraph" w:customStyle="1" w:styleId="267">
    <w:name w:val="font6"/>
    <w:basedOn w:val="1"/>
    <w:qFormat/>
    <w:uiPriority w:val="0"/>
    <w:pPr>
      <w:widowControl/>
      <w:spacing w:before="100" w:beforeAutospacing="1" w:after="100" w:afterAutospacing="1"/>
      <w:jc w:val="left"/>
    </w:pPr>
    <w:rPr>
      <w:rFonts w:ascii="Times New Roman" w:hAnsi="Times New Roman"/>
      <w:i/>
      <w:iCs/>
      <w:kern w:val="0"/>
      <w:sz w:val="24"/>
      <w:szCs w:val="24"/>
    </w:rPr>
  </w:style>
  <w:style w:type="paragraph" w:customStyle="1" w:styleId="268">
    <w:name w:val="font14"/>
    <w:basedOn w:val="1"/>
    <w:qFormat/>
    <w:uiPriority w:val="0"/>
    <w:pPr>
      <w:widowControl/>
      <w:spacing w:before="100" w:beforeAutospacing="1" w:after="100" w:afterAutospacing="1"/>
      <w:jc w:val="left"/>
    </w:pPr>
    <w:rPr>
      <w:rFonts w:ascii="Arial" w:hAnsi="Arial" w:cs="Arial"/>
      <w:color w:val="000000"/>
      <w:kern w:val="0"/>
      <w:sz w:val="24"/>
      <w:szCs w:val="24"/>
    </w:rPr>
  </w:style>
  <w:style w:type="paragraph" w:customStyle="1" w:styleId="269">
    <w:name w:val="xl73"/>
    <w:basedOn w:val="1"/>
    <w:qFormat/>
    <w:uiPriority w:val="0"/>
    <w:pPr>
      <w:widowControl/>
      <w:spacing w:before="100" w:beforeAutospacing="1" w:after="100" w:afterAutospacing="1"/>
      <w:jc w:val="left"/>
      <w:textAlignment w:val="bottom"/>
    </w:pPr>
    <w:rPr>
      <w:rFonts w:ascii="Times New Roman" w:hAnsi="Times New Roman"/>
      <w:i/>
      <w:iCs/>
      <w:kern w:val="0"/>
      <w:sz w:val="24"/>
      <w:szCs w:val="24"/>
    </w:rPr>
  </w:style>
  <w:style w:type="paragraph" w:customStyle="1" w:styleId="270">
    <w:name w:val="Char2 Char Char Char"/>
    <w:basedOn w:val="6"/>
    <w:qFormat/>
    <w:uiPriority w:val="0"/>
    <w:pPr>
      <w:numPr>
        <w:ilvl w:val="0"/>
        <w:numId w:val="0"/>
      </w:numPr>
      <w:tabs>
        <w:tab w:val="left" w:pos="360"/>
        <w:tab w:val="left" w:pos="900"/>
      </w:tabs>
      <w:adjustRightInd/>
      <w:spacing w:before="120" w:after="120"/>
      <w:ind w:left="542" w:leftChars="-12" w:firstLine="200" w:firstLineChars="200"/>
      <w:jc w:val="left"/>
    </w:pPr>
    <w:rPr>
      <w:rFonts w:eastAsia="黑体"/>
      <w:b w:val="0"/>
      <w:bCs w:val="0"/>
      <w:snapToGrid w:val="0"/>
      <w:kern w:val="2"/>
      <w:szCs w:val="24"/>
    </w:rPr>
  </w:style>
  <w:style w:type="paragraph" w:customStyle="1" w:styleId="271">
    <w:name w:val="xl84"/>
    <w:basedOn w:val="1"/>
    <w:qFormat/>
    <w:uiPriority w:val="0"/>
    <w:pPr>
      <w:widowControl/>
      <w:spacing w:before="100" w:beforeAutospacing="1" w:after="100" w:afterAutospacing="1"/>
      <w:jc w:val="left"/>
      <w:textAlignment w:val="top"/>
    </w:pPr>
    <w:rPr>
      <w:rFonts w:ascii="Times New Roman" w:hAnsi="Times New Roman"/>
      <w:b/>
      <w:bCs/>
      <w:i/>
      <w:iCs/>
      <w:kern w:val="0"/>
      <w:sz w:val="24"/>
      <w:szCs w:val="24"/>
    </w:rPr>
  </w:style>
  <w:style w:type="paragraph" w:customStyle="1" w:styleId="272">
    <w:name w:val="xl67"/>
    <w:basedOn w:val="1"/>
    <w:qFormat/>
    <w:uiPriority w:val="0"/>
    <w:pPr>
      <w:widowControl/>
      <w:spacing w:before="100" w:beforeAutospacing="1" w:after="100" w:afterAutospacing="1"/>
      <w:jc w:val="left"/>
    </w:pPr>
    <w:rPr>
      <w:rFonts w:ascii="Times New Roman" w:hAnsi="Times New Roman"/>
      <w:i/>
      <w:iCs/>
      <w:kern w:val="0"/>
      <w:sz w:val="24"/>
      <w:szCs w:val="24"/>
    </w:rPr>
  </w:style>
  <w:style w:type="character" w:customStyle="1" w:styleId="273">
    <w:name w:val="font112"/>
    <w:qFormat/>
    <w:uiPriority w:val="0"/>
    <w:rPr>
      <w:rFonts w:hint="default" w:ascii="Times New Roman" w:hAnsi="Times New Roman" w:cs="Times New Roman"/>
      <w:i/>
      <w:color w:val="000000"/>
      <w:sz w:val="20"/>
      <w:szCs w:val="20"/>
      <w:u w:val="none"/>
    </w:rPr>
  </w:style>
  <w:style w:type="character" w:customStyle="1" w:styleId="274">
    <w:name w:val="font31"/>
    <w:qFormat/>
    <w:uiPriority w:val="0"/>
    <w:rPr>
      <w:rFonts w:hint="eastAsia" w:ascii="宋体" w:hAnsi="宋体" w:eastAsia="宋体" w:cs="宋体"/>
      <w:i/>
      <w:color w:val="000000"/>
      <w:sz w:val="18"/>
      <w:szCs w:val="18"/>
      <w:u w:val="none"/>
    </w:rPr>
  </w:style>
  <w:style w:type="paragraph" w:customStyle="1" w:styleId="275">
    <w:name w:val="font0"/>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76">
    <w:name w:val="font17"/>
    <w:basedOn w:val="1"/>
    <w:qFormat/>
    <w:uiPriority w:val="0"/>
    <w:pPr>
      <w:widowControl/>
      <w:spacing w:before="100" w:beforeAutospacing="1" w:after="100" w:afterAutospacing="1"/>
      <w:jc w:val="left"/>
    </w:pPr>
    <w:rPr>
      <w:rFonts w:ascii="Times New Roman" w:hAnsi="Times New Roman"/>
      <w:i/>
      <w:iCs/>
      <w:color w:val="000000"/>
      <w:kern w:val="0"/>
      <w:sz w:val="20"/>
      <w:szCs w:val="20"/>
    </w:rPr>
  </w:style>
  <w:style w:type="paragraph" w:customStyle="1" w:styleId="277">
    <w:name w:val="font18"/>
    <w:basedOn w:val="1"/>
    <w:qFormat/>
    <w:uiPriority w:val="0"/>
    <w:pPr>
      <w:widowControl/>
      <w:spacing w:before="100" w:beforeAutospacing="1" w:after="100" w:afterAutospacing="1"/>
      <w:jc w:val="left"/>
    </w:pPr>
    <w:rPr>
      <w:rFonts w:ascii="Times New Roman" w:hAnsi="Times New Roman"/>
      <w:color w:val="000000"/>
      <w:kern w:val="0"/>
      <w:sz w:val="20"/>
      <w:szCs w:val="20"/>
    </w:rPr>
  </w:style>
  <w:style w:type="paragraph" w:customStyle="1" w:styleId="278">
    <w:name w:val="font19"/>
    <w:basedOn w:val="1"/>
    <w:qFormat/>
    <w:uiPriority w:val="0"/>
    <w:pPr>
      <w:widowControl/>
      <w:spacing w:before="100" w:beforeAutospacing="1" w:after="100" w:afterAutospacing="1"/>
      <w:jc w:val="left"/>
    </w:pPr>
    <w:rPr>
      <w:rFonts w:ascii="宋体" w:hAnsi="宋体" w:cs="宋体"/>
      <w:color w:val="000000"/>
      <w:kern w:val="0"/>
    </w:rPr>
  </w:style>
  <w:style w:type="paragraph" w:customStyle="1" w:styleId="279">
    <w:name w:val="font20"/>
    <w:basedOn w:val="1"/>
    <w:qFormat/>
    <w:uiPriority w:val="0"/>
    <w:pPr>
      <w:widowControl/>
      <w:spacing w:before="100" w:beforeAutospacing="1" w:after="100" w:afterAutospacing="1"/>
      <w:jc w:val="left"/>
    </w:pPr>
    <w:rPr>
      <w:rFonts w:ascii="Times New Roman" w:hAnsi="Times New Roman"/>
      <w:b/>
      <w:bCs/>
      <w:i/>
      <w:iCs/>
      <w:color w:val="000000"/>
      <w:kern w:val="0"/>
      <w:sz w:val="20"/>
      <w:szCs w:val="20"/>
    </w:rPr>
  </w:style>
  <w:style w:type="paragraph" w:customStyle="1" w:styleId="280">
    <w:name w:val="font21"/>
    <w:basedOn w:val="1"/>
    <w:qFormat/>
    <w:uiPriority w:val="0"/>
    <w:pPr>
      <w:widowControl/>
      <w:spacing w:before="100" w:beforeAutospacing="1" w:after="100" w:afterAutospacing="1"/>
      <w:jc w:val="left"/>
    </w:pPr>
    <w:rPr>
      <w:rFonts w:ascii="Arial" w:hAnsi="Arial" w:cs="Arial"/>
      <w:kern w:val="0"/>
      <w:sz w:val="24"/>
      <w:szCs w:val="24"/>
    </w:rPr>
  </w:style>
  <w:style w:type="paragraph" w:customStyle="1" w:styleId="281">
    <w:name w:val="font22"/>
    <w:basedOn w:val="1"/>
    <w:qFormat/>
    <w:uiPriority w:val="0"/>
    <w:pPr>
      <w:widowControl/>
      <w:spacing w:before="100" w:beforeAutospacing="1" w:after="100" w:afterAutospacing="1"/>
      <w:jc w:val="left"/>
    </w:pPr>
    <w:rPr>
      <w:rFonts w:ascii="Times New Roman" w:hAnsi="Times New Roman"/>
      <w:color w:val="FF0000"/>
      <w:kern w:val="0"/>
    </w:rPr>
  </w:style>
  <w:style w:type="paragraph" w:customStyle="1" w:styleId="282">
    <w:name w:val="font23"/>
    <w:basedOn w:val="1"/>
    <w:qFormat/>
    <w:uiPriority w:val="0"/>
    <w:pPr>
      <w:widowControl/>
      <w:spacing w:before="100" w:beforeAutospacing="1" w:after="100" w:afterAutospacing="1"/>
      <w:jc w:val="left"/>
    </w:pPr>
    <w:rPr>
      <w:rFonts w:ascii="Times New Roman" w:hAnsi="Times New Roman"/>
      <w:color w:val="000000"/>
      <w:kern w:val="0"/>
      <w:sz w:val="20"/>
      <w:szCs w:val="20"/>
    </w:rPr>
  </w:style>
  <w:style w:type="paragraph" w:customStyle="1" w:styleId="283">
    <w:name w:val="font24"/>
    <w:basedOn w:val="1"/>
    <w:qFormat/>
    <w:uiPriority w:val="0"/>
    <w:pPr>
      <w:widowControl/>
      <w:spacing w:before="100" w:beforeAutospacing="1" w:after="100" w:afterAutospacing="1"/>
      <w:jc w:val="left"/>
    </w:pPr>
    <w:rPr>
      <w:rFonts w:ascii="Times New Roman" w:hAnsi="Times New Roman"/>
      <w:i/>
      <w:iCs/>
      <w:color w:val="000000"/>
      <w:kern w:val="0"/>
      <w:sz w:val="20"/>
      <w:szCs w:val="20"/>
    </w:rPr>
  </w:style>
  <w:style w:type="paragraph" w:customStyle="1" w:styleId="284">
    <w:name w:val="font25"/>
    <w:basedOn w:val="1"/>
    <w:qFormat/>
    <w:uiPriority w:val="0"/>
    <w:pPr>
      <w:widowControl/>
      <w:spacing w:before="100" w:beforeAutospacing="1" w:after="100" w:afterAutospacing="1"/>
      <w:jc w:val="left"/>
    </w:pPr>
    <w:rPr>
      <w:rFonts w:ascii="Times New Roman" w:hAnsi="Times New Roman"/>
      <w:b/>
      <w:bCs/>
      <w:i/>
      <w:iCs/>
      <w:color w:val="000000"/>
      <w:kern w:val="0"/>
      <w:sz w:val="20"/>
      <w:szCs w:val="20"/>
    </w:rPr>
  </w:style>
  <w:style w:type="paragraph" w:customStyle="1" w:styleId="285">
    <w:name w:val="font26"/>
    <w:basedOn w:val="1"/>
    <w:qFormat/>
    <w:uiPriority w:val="0"/>
    <w:pPr>
      <w:widowControl/>
      <w:spacing w:before="100" w:beforeAutospacing="1" w:after="100" w:afterAutospacing="1"/>
      <w:jc w:val="left"/>
    </w:pPr>
    <w:rPr>
      <w:rFonts w:ascii="Times New Roman" w:hAnsi="Times New Roman"/>
      <w:color w:val="000000"/>
      <w:kern w:val="0"/>
      <w:sz w:val="24"/>
      <w:szCs w:val="24"/>
    </w:rPr>
  </w:style>
  <w:style w:type="paragraph" w:customStyle="1" w:styleId="286">
    <w:name w:val="font27"/>
    <w:basedOn w:val="1"/>
    <w:qFormat/>
    <w:uiPriority w:val="0"/>
    <w:pPr>
      <w:widowControl/>
      <w:spacing w:before="100" w:beforeAutospacing="1" w:after="100" w:afterAutospacing="1"/>
      <w:jc w:val="left"/>
    </w:pPr>
    <w:rPr>
      <w:rFonts w:ascii="Times New Roman" w:hAnsi="Times New Roman"/>
      <w:i/>
      <w:iCs/>
      <w:color w:val="000000"/>
      <w:kern w:val="0"/>
      <w:sz w:val="24"/>
      <w:szCs w:val="24"/>
    </w:rPr>
  </w:style>
  <w:style w:type="paragraph" w:customStyle="1" w:styleId="287">
    <w:name w:val="font28"/>
    <w:basedOn w:val="1"/>
    <w:qFormat/>
    <w:uiPriority w:val="0"/>
    <w:pPr>
      <w:widowControl/>
      <w:spacing w:before="100" w:beforeAutospacing="1" w:after="100" w:afterAutospacing="1"/>
      <w:jc w:val="left"/>
    </w:pPr>
    <w:rPr>
      <w:rFonts w:ascii="Times New Roman" w:hAnsi="Times New Roman"/>
      <w:i/>
      <w:iCs/>
      <w:kern w:val="0"/>
      <w:sz w:val="20"/>
      <w:szCs w:val="20"/>
    </w:rPr>
  </w:style>
  <w:style w:type="paragraph" w:customStyle="1" w:styleId="288">
    <w:name w:val="font2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89">
    <w:name w:val="xl90"/>
    <w:basedOn w:val="1"/>
    <w:qFormat/>
    <w:uiPriority w:val="0"/>
    <w:pPr>
      <w:widowControl/>
      <w:spacing w:before="100" w:beforeAutospacing="1" w:after="100" w:afterAutospacing="1"/>
      <w:jc w:val="left"/>
      <w:textAlignment w:val="center"/>
    </w:pPr>
    <w:rPr>
      <w:rFonts w:ascii="宋体" w:hAnsi="宋体" w:cs="宋体"/>
      <w:kern w:val="0"/>
      <w:sz w:val="24"/>
      <w:szCs w:val="24"/>
    </w:rPr>
  </w:style>
  <w:style w:type="paragraph" w:customStyle="1" w:styleId="290">
    <w:name w:val="font30"/>
    <w:basedOn w:val="1"/>
    <w:qFormat/>
    <w:uiPriority w:val="0"/>
    <w:pPr>
      <w:widowControl/>
      <w:spacing w:before="100" w:beforeAutospacing="1" w:after="100" w:afterAutospacing="1"/>
      <w:jc w:val="left"/>
    </w:pPr>
    <w:rPr>
      <w:rFonts w:ascii="宋体" w:hAnsi="宋体" w:cs="宋体"/>
      <w:kern w:val="0"/>
    </w:rPr>
  </w:style>
  <w:style w:type="paragraph" w:customStyle="1" w:styleId="291">
    <w:name w:val="font32"/>
    <w:basedOn w:val="1"/>
    <w:qFormat/>
    <w:uiPriority w:val="0"/>
    <w:pPr>
      <w:widowControl/>
      <w:spacing w:before="100" w:beforeAutospacing="1" w:after="100" w:afterAutospacing="1"/>
      <w:jc w:val="left"/>
    </w:pPr>
    <w:rPr>
      <w:rFonts w:ascii="宋体" w:hAnsi="宋体" w:cs="宋体"/>
      <w:kern w:val="0"/>
    </w:rPr>
  </w:style>
  <w:style w:type="paragraph" w:customStyle="1" w:styleId="292">
    <w:name w:val="font33"/>
    <w:basedOn w:val="1"/>
    <w:qFormat/>
    <w:uiPriority w:val="0"/>
    <w:pPr>
      <w:widowControl/>
      <w:spacing w:before="100" w:beforeAutospacing="1" w:after="100" w:afterAutospacing="1"/>
      <w:jc w:val="left"/>
    </w:pPr>
    <w:rPr>
      <w:rFonts w:ascii="宋体" w:hAnsi="宋体" w:cs="宋体"/>
      <w:kern w:val="0"/>
    </w:rPr>
  </w:style>
  <w:style w:type="paragraph" w:customStyle="1" w:styleId="293">
    <w:name w:val="Char Char3 Char Char Char Char Char Char"/>
    <w:basedOn w:val="6"/>
    <w:qFormat/>
    <w:uiPriority w:val="0"/>
    <w:pPr>
      <w:numPr>
        <w:ilvl w:val="0"/>
        <w:numId w:val="0"/>
      </w:numPr>
      <w:tabs>
        <w:tab w:val="left" w:pos="360"/>
        <w:tab w:val="left" w:pos="900"/>
      </w:tabs>
      <w:adjustRightInd/>
      <w:spacing w:before="120" w:after="120"/>
      <w:ind w:left="542" w:leftChars="-12" w:firstLine="200" w:firstLineChars="200"/>
      <w:jc w:val="left"/>
    </w:pPr>
    <w:rPr>
      <w:rFonts w:eastAsia="黑体"/>
      <w:b w:val="0"/>
      <w:bCs w:val="0"/>
      <w:snapToGrid w:val="0"/>
      <w:kern w:val="2"/>
      <w:szCs w:val="24"/>
    </w:rPr>
  </w:style>
  <w:style w:type="character" w:customStyle="1" w:styleId="294">
    <w:name w:val="6-1表格文字（居中）阳选清 Char"/>
    <w:link w:val="295"/>
    <w:qFormat/>
    <w:uiPriority w:val="0"/>
    <w:rPr>
      <w:bCs/>
      <w:color w:val="000000"/>
      <w:szCs w:val="18"/>
    </w:rPr>
  </w:style>
  <w:style w:type="paragraph" w:customStyle="1" w:styleId="295">
    <w:name w:val="6-1表格文字（居中）阳选清"/>
    <w:basedOn w:val="1"/>
    <w:link w:val="294"/>
    <w:qFormat/>
    <w:uiPriority w:val="0"/>
    <w:pPr>
      <w:adjustRightInd w:val="0"/>
      <w:snapToGrid w:val="0"/>
      <w:jc w:val="center"/>
    </w:pPr>
    <w:rPr>
      <w:rFonts w:asciiTheme="minorHAnsi" w:hAnsiTheme="minorHAnsi" w:eastAsiaTheme="minorEastAsia" w:cstheme="minorBidi"/>
      <w:bCs/>
      <w:color w:val="000000"/>
      <w:szCs w:val="18"/>
    </w:rPr>
  </w:style>
  <w:style w:type="paragraph" w:customStyle="1" w:styleId="296">
    <w:name w:val="5表名阳选清"/>
    <w:link w:val="297"/>
    <w:qFormat/>
    <w:uiPriority w:val="0"/>
    <w:pPr>
      <w:widowControl w:val="0"/>
      <w:adjustRightInd w:val="0"/>
      <w:snapToGrid w:val="0"/>
      <w:jc w:val="center"/>
    </w:pPr>
    <w:rPr>
      <w:rFonts w:ascii="Times New Roman" w:hAnsi="Times New Roman" w:eastAsia="黑体" w:cs="Times New Roman"/>
      <w:color w:val="000000"/>
      <w:kern w:val="2"/>
      <w:sz w:val="21"/>
      <w:szCs w:val="21"/>
      <w:lang w:val="en-US" w:eastAsia="zh-CN" w:bidi="ar-SA"/>
    </w:rPr>
  </w:style>
  <w:style w:type="character" w:customStyle="1" w:styleId="297">
    <w:name w:val="5表名阳选清 Char"/>
    <w:link w:val="296"/>
    <w:qFormat/>
    <w:uiPriority w:val="0"/>
    <w:rPr>
      <w:rFonts w:ascii="Times New Roman" w:hAnsi="Times New Roman" w:eastAsia="黑体" w:cs="Times New Roman"/>
      <w:color w:val="000000"/>
      <w:szCs w:val="21"/>
    </w:rPr>
  </w:style>
  <w:style w:type="character" w:customStyle="1" w:styleId="298">
    <w:name w:val="书籍标题1"/>
    <w:basedOn w:val="74"/>
    <w:qFormat/>
    <w:uiPriority w:val="33"/>
    <w:rPr>
      <w:b/>
      <w:bCs/>
      <w:smallCaps/>
      <w:spacing w:val="5"/>
    </w:rPr>
  </w:style>
  <w:style w:type="paragraph" w:customStyle="1" w:styleId="299">
    <w:name w:val="z-窗体顶端11"/>
    <w:basedOn w:val="1"/>
    <w:next w:val="1"/>
    <w:link w:val="300"/>
    <w:qFormat/>
    <w:uiPriority w:val="0"/>
    <w:pPr>
      <w:pBdr>
        <w:bottom w:val="single" w:color="auto" w:sz="6" w:space="1"/>
      </w:pBdr>
      <w:jc w:val="center"/>
    </w:pPr>
    <w:rPr>
      <w:rFonts w:ascii="Arial" w:hAnsi="Times New Roman"/>
      <w:vanish/>
      <w:sz w:val="16"/>
      <w:szCs w:val="22"/>
    </w:rPr>
  </w:style>
  <w:style w:type="character" w:customStyle="1" w:styleId="300">
    <w:name w:val="z-窗体顶端 字符"/>
    <w:link w:val="299"/>
    <w:qFormat/>
    <w:uiPriority w:val="0"/>
    <w:rPr>
      <w:rFonts w:ascii="Arial" w:hAnsi="Times New Roman" w:eastAsia="宋体" w:cs="Times New Roman"/>
      <w:vanish/>
      <w:sz w:val="16"/>
    </w:rPr>
  </w:style>
  <w:style w:type="character" w:customStyle="1" w:styleId="301">
    <w:name w:val="引用 字符1"/>
    <w:qFormat/>
    <w:uiPriority w:val="29"/>
    <w:rPr>
      <w:rFonts w:ascii="Times New Roman" w:hAnsi="Times New Roman" w:eastAsia="宋体" w:cs="Times New Roman"/>
      <w:i/>
      <w:iCs/>
      <w:color w:val="404040"/>
      <w:szCs w:val="24"/>
    </w:rPr>
  </w:style>
  <w:style w:type="paragraph" w:customStyle="1" w:styleId="302">
    <w:name w:val="z-窗体底端11"/>
    <w:basedOn w:val="1"/>
    <w:next w:val="1"/>
    <w:link w:val="303"/>
    <w:qFormat/>
    <w:uiPriority w:val="0"/>
    <w:pPr>
      <w:pBdr>
        <w:top w:val="single" w:color="auto" w:sz="6" w:space="1"/>
      </w:pBdr>
      <w:jc w:val="center"/>
    </w:pPr>
    <w:rPr>
      <w:rFonts w:ascii="Arial" w:hAnsi="Times New Roman"/>
      <w:vanish/>
      <w:sz w:val="16"/>
      <w:szCs w:val="22"/>
    </w:rPr>
  </w:style>
  <w:style w:type="character" w:customStyle="1" w:styleId="303">
    <w:name w:val="z-窗体底端 字符"/>
    <w:link w:val="302"/>
    <w:qFormat/>
    <w:uiPriority w:val="0"/>
    <w:rPr>
      <w:rFonts w:ascii="Arial" w:hAnsi="Times New Roman" w:eastAsia="宋体" w:cs="Times New Roman"/>
      <w:vanish/>
      <w:sz w:val="16"/>
    </w:rPr>
  </w:style>
  <w:style w:type="paragraph" w:customStyle="1" w:styleId="304">
    <w:name w:val="TOC 标题1"/>
    <w:basedOn w:val="4"/>
    <w:next w:val="1"/>
    <w:unhideWhenUsed/>
    <w:qFormat/>
    <w:uiPriority w:val="39"/>
    <w:pPr>
      <w:widowControl/>
      <w:numPr>
        <w:numId w:val="0"/>
      </w:numPr>
      <w:adjustRightInd/>
      <w:snapToGrid/>
      <w:spacing w:before="480" w:line="276" w:lineRule="auto"/>
      <w:jc w:val="left"/>
      <w:outlineLvl w:val="9"/>
    </w:pPr>
    <w:rPr>
      <w:rFonts w:ascii="Calibri Light" w:hAnsi="Calibri Light" w:eastAsia="宋体"/>
      <w:b/>
      <w:color w:val="2E74B5"/>
      <w:kern w:val="0"/>
      <w:sz w:val="28"/>
      <w:szCs w:val="28"/>
    </w:rPr>
  </w:style>
  <w:style w:type="paragraph" w:customStyle="1" w:styleId="305">
    <w:name w:val="样式13"/>
    <w:basedOn w:val="7"/>
    <w:qFormat/>
    <w:uiPriority w:val="0"/>
    <w:pPr>
      <w:numPr>
        <w:numId w:val="3"/>
      </w:numPr>
      <w:tabs>
        <w:tab w:val="left" w:pos="851"/>
        <w:tab w:val="left" w:pos="1680"/>
      </w:tabs>
      <w:adjustRightInd/>
      <w:snapToGrid/>
      <w:spacing w:before="120" w:after="120" w:line="420" w:lineRule="exact"/>
      <w:ind w:right="100" w:rightChars="100"/>
    </w:pPr>
    <w:rPr>
      <w:rFonts w:ascii="宋体" w:hAnsi="宋体" w:eastAsia="宋体"/>
      <w:b w:val="0"/>
      <w:iCs/>
      <w:snapToGrid w:val="0"/>
      <w:color w:val="auto"/>
      <w:lang w:val="zh-CN"/>
    </w:rPr>
  </w:style>
  <w:style w:type="paragraph" w:customStyle="1" w:styleId="306">
    <w:name w:val="Char Char Char Char1 Char Char Char"/>
    <w:basedOn w:val="6"/>
    <w:next w:val="109"/>
    <w:qFormat/>
    <w:uiPriority w:val="0"/>
    <w:pPr>
      <w:numPr>
        <w:numId w:val="3"/>
      </w:numPr>
      <w:tabs>
        <w:tab w:val="left" w:pos="473"/>
        <w:tab w:val="left" w:pos="851"/>
        <w:tab w:val="left" w:pos="1260"/>
      </w:tabs>
      <w:adjustRightInd/>
      <w:snapToGrid/>
      <w:spacing w:beforeLines="50" w:afterLines="20"/>
      <w:ind w:firstLine="113"/>
    </w:pPr>
    <w:rPr>
      <w:rFonts w:ascii="宋体" w:hAnsi="宋体" w:eastAsia="黑体" w:cs="宋体"/>
      <w:b w:val="0"/>
      <w:bCs w:val="0"/>
      <w:kern w:val="2"/>
      <w:szCs w:val="24"/>
      <w:lang w:val="zh-CN"/>
    </w:rPr>
  </w:style>
  <w:style w:type="paragraph" w:customStyle="1" w:styleId="307">
    <w:name w:val="样式 样式 标题 2 + 段前: 1.5 行 段后: 1 行 + 非加粗 左侧:  0.5 厘米 首行缩进:  0 厘米 ...1"/>
    <w:basedOn w:val="1"/>
    <w:qFormat/>
    <w:uiPriority w:val="0"/>
    <w:pPr>
      <w:keepNext/>
      <w:keepLines/>
      <w:numPr>
        <w:ilvl w:val="0"/>
        <w:numId w:val="3"/>
      </w:numPr>
      <w:tabs>
        <w:tab w:val="left" w:pos="360"/>
        <w:tab w:val="left" w:pos="690"/>
        <w:tab w:val="left" w:pos="840"/>
        <w:tab w:val="left" w:pos="1320"/>
        <w:tab w:val="clear" w:pos="851"/>
      </w:tabs>
      <w:spacing w:before="50" w:after="50"/>
      <w:ind w:left="1320" w:hanging="420"/>
      <w:outlineLvl w:val="1"/>
    </w:pPr>
    <w:rPr>
      <w:rFonts w:ascii="Arial" w:hAnsi="Arial" w:eastAsia="黑体"/>
      <w:kern w:val="0"/>
      <w:sz w:val="28"/>
      <w:szCs w:val="22"/>
      <w:lang w:val="zh-CN"/>
    </w:rPr>
  </w:style>
  <w:style w:type="character" w:customStyle="1" w:styleId="308">
    <w:name w:val="font51"/>
    <w:qFormat/>
    <w:uiPriority w:val="0"/>
    <w:rPr>
      <w:rFonts w:hint="eastAsia" w:ascii="仿宋_GB2312" w:eastAsia="仿宋_GB2312"/>
      <w:color w:val="000000"/>
      <w:sz w:val="20"/>
      <w:szCs w:val="20"/>
      <w:u w:val="none"/>
    </w:rPr>
  </w:style>
  <w:style w:type="paragraph" w:customStyle="1" w:styleId="309">
    <w:name w:val="四级标题"/>
    <w:basedOn w:val="7"/>
    <w:qFormat/>
    <w:uiPriority w:val="0"/>
    <w:pPr>
      <w:widowControl/>
      <w:numPr>
        <w:ilvl w:val="0"/>
        <w:numId w:val="4"/>
      </w:numPr>
      <w:tabs>
        <w:tab w:val="left" w:pos="720"/>
        <w:tab w:val="left" w:pos="1080"/>
      </w:tabs>
      <w:adjustRightInd/>
      <w:snapToGrid/>
      <w:spacing w:before="160" w:after="170" w:line="240" w:lineRule="auto"/>
      <w:jc w:val="left"/>
    </w:pPr>
    <w:rPr>
      <w:rFonts w:ascii="Arial" w:hAnsi="Arial" w:eastAsia="宋体"/>
      <w:b w:val="0"/>
      <w:color w:val="auto"/>
      <w:kern w:val="0"/>
      <w:szCs w:val="28"/>
      <w:lang w:val="zh-CN"/>
    </w:rPr>
  </w:style>
  <w:style w:type="character" w:customStyle="1" w:styleId="310">
    <w:name w:val="表头 Char1"/>
    <w:link w:val="95"/>
    <w:qFormat/>
    <w:uiPriority w:val="0"/>
    <w:rPr>
      <w:rFonts w:ascii="Times New Roman" w:hAnsi="Times New Roman" w:eastAsia="宋体" w:cs="Times New Roman"/>
      <w:b/>
      <w:kern w:val="10"/>
      <w:sz w:val="24"/>
      <w:szCs w:val="24"/>
    </w:rPr>
  </w:style>
  <w:style w:type="paragraph" w:customStyle="1" w:styleId="311">
    <w:name w:val="样式 正文（首行缩进两字） + 行距: 固定值 20 磅"/>
    <w:basedOn w:val="17"/>
    <w:qFormat/>
    <w:uiPriority w:val="0"/>
    <w:pPr>
      <w:widowControl/>
      <w:spacing w:afterLines="20" w:line="400" w:lineRule="exact"/>
      <w:ind w:firstLine="480"/>
      <w:jc w:val="left"/>
    </w:pPr>
    <w:rPr>
      <w:rFonts w:ascii="Times New Roman" w:hAnsi="Times New Roman"/>
      <w:sz w:val="24"/>
      <w:szCs w:val="20"/>
    </w:rPr>
  </w:style>
  <w:style w:type="paragraph" w:customStyle="1" w:styleId="312">
    <w:name w:val="俺的正文"/>
    <w:basedOn w:val="1"/>
    <w:qFormat/>
    <w:uiPriority w:val="0"/>
    <w:pPr>
      <w:spacing w:line="460" w:lineRule="exact"/>
      <w:ind w:firstLine="200" w:firstLineChars="200"/>
    </w:pPr>
    <w:rPr>
      <w:rFonts w:ascii="Times New Roman" w:hAnsi="Times New Roman"/>
      <w:sz w:val="24"/>
      <w:szCs w:val="20"/>
    </w:rPr>
  </w:style>
  <w:style w:type="character" w:customStyle="1" w:styleId="313">
    <w:name w:val="标题2"/>
    <w:basedOn w:val="74"/>
    <w:qFormat/>
    <w:uiPriority w:val="0"/>
  </w:style>
  <w:style w:type="paragraph" w:customStyle="1" w:styleId="314">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315">
    <w:name w:val="WPSOffice手动目录 1"/>
    <w:qFormat/>
    <w:uiPriority w:val="0"/>
    <w:rPr>
      <w:rFonts w:ascii="Times New Roman" w:hAnsi="Times New Roman" w:eastAsia="宋体" w:cs="Times New Roman"/>
      <w:lang w:val="en-US" w:eastAsia="zh-CN" w:bidi="ar-SA"/>
    </w:rPr>
  </w:style>
  <w:style w:type="paragraph" w:customStyle="1" w:styleId="316">
    <w:name w:val="CM27"/>
    <w:basedOn w:val="96"/>
    <w:next w:val="96"/>
    <w:qFormat/>
    <w:uiPriority w:val="99"/>
    <w:pPr>
      <w:spacing w:line="533" w:lineRule="atLeast"/>
    </w:pPr>
    <w:rPr>
      <w:rFonts w:hAnsi="Times New Roman" w:cs="Times New Roman"/>
      <w:color w:val="auto"/>
    </w:rPr>
  </w:style>
  <w:style w:type="paragraph" w:customStyle="1" w:styleId="317">
    <w:name w:val="CM121"/>
    <w:basedOn w:val="96"/>
    <w:next w:val="96"/>
    <w:qFormat/>
    <w:uiPriority w:val="99"/>
    <w:pPr>
      <w:spacing w:after="213"/>
    </w:pPr>
    <w:rPr>
      <w:rFonts w:hAnsi="Times New Roman" w:cs="Times New Roman"/>
      <w:color w:val="auto"/>
    </w:rPr>
  </w:style>
  <w:style w:type="paragraph" w:customStyle="1" w:styleId="318">
    <w:name w:val="CM29"/>
    <w:basedOn w:val="96"/>
    <w:next w:val="96"/>
    <w:qFormat/>
    <w:uiPriority w:val="99"/>
    <w:pPr>
      <w:spacing w:line="480" w:lineRule="atLeast"/>
    </w:pPr>
    <w:rPr>
      <w:rFonts w:hAnsi="Times New Roman" w:cs="Times New Roman"/>
      <w:color w:val="auto"/>
    </w:rPr>
  </w:style>
  <w:style w:type="paragraph" w:customStyle="1" w:styleId="319">
    <w:name w:val="CM129"/>
    <w:basedOn w:val="96"/>
    <w:next w:val="96"/>
    <w:qFormat/>
    <w:uiPriority w:val="99"/>
    <w:pPr>
      <w:spacing w:after="310"/>
    </w:pPr>
    <w:rPr>
      <w:rFonts w:hAnsi="Times New Roman" w:cs="Times New Roman"/>
      <w:color w:val="auto"/>
    </w:rPr>
  </w:style>
  <w:style w:type="paragraph" w:customStyle="1" w:styleId="320">
    <w:name w:val="CM7"/>
    <w:basedOn w:val="96"/>
    <w:next w:val="96"/>
    <w:qFormat/>
    <w:uiPriority w:val="99"/>
    <w:pPr>
      <w:spacing w:line="471" w:lineRule="atLeast"/>
    </w:pPr>
    <w:rPr>
      <w:rFonts w:hAnsi="Times New Roman" w:cs="Times New Roman"/>
      <w:color w:val="auto"/>
    </w:rPr>
  </w:style>
  <w:style w:type="paragraph" w:customStyle="1" w:styleId="321">
    <w:name w:val="CM131"/>
    <w:basedOn w:val="96"/>
    <w:next w:val="96"/>
    <w:qFormat/>
    <w:uiPriority w:val="99"/>
    <w:pPr>
      <w:spacing w:after="85"/>
    </w:pPr>
    <w:rPr>
      <w:rFonts w:hAnsi="Times New Roman" w:cs="Times New Roman"/>
      <w:color w:val="auto"/>
    </w:rPr>
  </w:style>
  <w:style w:type="paragraph" w:customStyle="1" w:styleId="322">
    <w:name w:val="CM130"/>
    <w:basedOn w:val="96"/>
    <w:next w:val="96"/>
    <w:qFormat/>
    <w:uiPriority w:val="99"/>
    <w:pPr>
      <w:spacing w:after="460"/>
    </w:pPr>
    <w:rPr>
      <w:rFonts w:hAnsi="Times New Roman" w:cs="Times New Roman"/>
      <w:color w:val="auto"/>
    </w:rPr>
  </w:style>
  <w:style w:type="paragraph" w:customStyle="1" w:styleId="323">
    <w:name w:val="CM136"/>
    <w:basedOn w:val="96"/>
    <w:next w:val="96"/>
    <w:qFormat/>
    <w:uiPriority w:val="99"/>
    <w:pPr>
      <w:spacing w:after="843"/>
    </w:pPr>
    <w:rPr>
      <w:rFonts w:hAnsi="Times New Roman" w:cs="Times New Roman"/>
      <w:color w:val="auto"/>
    </w:rPr>
  </w:style>
  <w:style w:type="paragraph" w:customStyle="1" w:styleId="324">
    <w:name w:val="CM31"/>
    <w:basedOn w:val="96"/>
    <w:next w:val="96"/>
    <w:qFormat/>
    <w:uiPriority w:val="99"/>
    <w:rPr>
      <w:rFonts w:hAnsi="Times New Roman" w:cs="Times New Roman"/>
      <w:color w:val="auto"/>
    </w:rPr>
  </w:style>
  <w:style w:type="paragraph" w:customStyle="1" w:styleId="325">
    <w:name w:val="CM32"/>
    <w:basedOn w:val="96"/>
    <w:next w:val="96"/>
    <w:qFormat/>
    <w:uiPriority w:val="99"/>
    <w:pPr>
      <w:spacing w:line="313" w:lineRule="atLeast"/>
    </w:pPr>
    <w:rPr>
      <w:rFonts w:hAnsi="Times New Roman" w:cs="Times New Roman"/>
      <w:color w:val="auto"/>
    </w:rPr>
  </w:style>
  <w:style w:type="paragraph" w:customStyle="1" w:styleId="326">
    <w:name w:val="CM137"/>
    <w:basedOn w:val="96"/>
    <w:next w:val="96"/>
    <w:qFormat/>
    <w:uiPriority w:val="99"/>
    <w:pPr>
      <w:spacing w:after="330"/>
    </w:pPr>
    <w:rPr>
      <w:rFonts w:hAnsi="Times New Roman" w:cs="Times New Roman"/>
      <w:color w:val="auto"/>
    </w:rPr>
  </w:style>
  <w:style w:type="paragraph" w:customStyle="1" w:styleId="327">
    <w:name w:val="CM6"/>
    <w:basedOn w:val="96"/>
    <w:next w:val="96"/>
    <w:qFormat/>
    <w:uiPriority w:val="99"/>
    <w:pPr>
      <w:spacing w:line="466" w:lineRule="atLeast"/>
    </w:pPr>
    <w:rPr>
      <w:rFonts w:hAnsi="Times New Roman" w:cs="Times New Roman"/>
      <w:color w:val="auto"/>
    </w:rPr>
  </w:style>
  <w:style w:type="paragraph" w:customStyle="1" w:styleId="328">
    <w:name w:val="CM9"/>
    <w:basedOn w:val="96"/>
    <w:next w:val="96"/>
    <w:qFormat/>
    <w:uiPriority w:val="99"/>
    <w:pPr>
      <w:spacing w:line="468" w:lineRule="atLeast"/>
    </w:pPr>
    <w:rPr>
      <w:rFonts w:ascii="Times New Roman" w:hAnsi="Times New Roman" w:cs="Times New Roman"/>
      <w:color w:val="auto"/>
    </w:rPr>
  </w:style>
  <w:style w:type="paragraph" w:customStyle="1" w:styleId="329">
    <w:name w:val="CM124"/>
    <w:basedOn w:val="96"/>
    <w:next w:val="96"/>
    <w:qFormat/>
    <w:uiPriority w:val="99"/>
    <w:pPr>
      <w:spacing w:after="92"/>
    </w:pPr>
    <w:rPr>
      <w:rFonts w:ascii="Times New Roman" w:hAnsi="Times New Roman" w:cs="Times New Roman"/>
      <w:color w:val="auto"/>
    </w:rPr>
  </w:style>
  <w:style w:type="paragraph" w:customStyle="1" w:styleId="330">
    <w:name w:val="CM15"/>
    <w:basedOn w:val="96"/>
    <w:next w:val="96"/>
    <w:qFormat/>
    <w:uiPriority w:val="99"/>
    <w:pPr>
      <w:spacing w:line="480" w:lineRule="atLeast"/>
    </w:pPr>
    <w:rPr>
      <w:rFonts w:ascii="Times New Roman" w:hAnsi="Times New Roman" w:cs="Times New Roman"/>
      <w:color w:val="auto"/>
    </w:rPr>
  </w:style>
  <w:style w:type="paragraph" w:customStyle="1" w:styleId="331">
    <w:name w:val="CM14"/>
    <w:basedOn w:val="96"/>
    <w:next w:val="96"/>
    <w:qFormat/>
    <w:uiPriority w:val="99"/>
    <w:pPr>
      <w:spacing w:line="468" w:lineRule="atLeast"/>
    </w:pPr>
    <w:rPr>
      <w:rFonts w:ascii="Times New Roman" w:hAnsi="Times New Roman" w:cs="Times New Roman"/>
      <w:color w:val="auto"/>
    </w:rPr>
  </w:style>
  <w:style w:type="paragraph" w:customStyle="1" w:styleId="332">
    <w:name w:val="CM138"/>
    <w:basedOn w:val="96"/>
    <w:next w:val="96"/>
    <w:qFormat/>
    <w:uiPriority w:val="99"/>
    <w:pPr>
      <w:spacing w:after="252"/>
    </w:pPr>
    <w:rPr>
      <w:rFonts w:hAnsi="Times New Roman" w:cs="Times New Roman"/>
      <w:color w:val="auto"/>
    </w:rPr>
  </w:style>
  <w:style w:type="paragraph" w:customStyle="1" w:styleId="333">
    <w:name w:val="CM23"/>
    <w:basedOn w:val="96"/>
    <w:next w:val="96"/>
    <w:qFormat/>
    <w:uiPriority w:val="99"/>
    <w:pPr>
      <w:spacing w:line="468" w:lineRule="atLeast"/>
    </w:pPr>
    <w:rPr>
      <w:rFonts w:hAnsi="Times New Roman" w:cs="Times New Roman"/>
      <w:color w:val="auto"/>
    </w:rPr>
  </w:style>
  <w:style w:type="paragraph" w:customStyle="1" w:styleId="334">
    <w:name w:val="CM11"/>
    <w:basedOn w:val="96"/>
    <w:next w:val="96"/>
    <w:qFormat/>
    <w:uiPriority w:val="99"/>
    <w:pPr>
      <w:spacing w:line="468" w:lineRule="atLeast"/>
    </w:pPr>
    <w:rPr>
      <w:rFonts w:hAnsi="Times New Roman" w:cs="Times New Roman"/>
      <w:color w:val="auto"/>
    </w:rPr>
  </w:style>
  <w:style w:type="paragraph" w:customStyle="1" w:styleId="335">
    <w:name w:val="CM13"/>
    <w:basedOn w:val="96"/>
    <w:next w:val="96"/>
    <w:qFormat/>
    <w:uiPriority w:val="99"/>
    <w:pPr>
      <w:spacing w:line="466" w:lineRule="atLeast"/>
    </w:pPr>
    <w:rPr>
      <w:rFonts w:hAnsi="Times New Roman" w:cs="Times New Roman"/>
      <w:color w:val="auto"/>
    </w:rPr>
  </w:style>
  <w:style w:type="paragraph" w:customStyle="1" w:styleId="336">
    <w:name w:val="CM139"/>
    <w:basedOn w:val="96"/>
    <w:next w:val="96"/>
    <w:qFormat/>
    <w:uiPriority w:val="99"/>
    <w:pPr>
      <w:spacing w:after="472"/>
    </w:pPr>
    <w:rPr>
      <w:rFonts w:hAnsi="Times New Roman" w:cs="Times New Roman"/>
      <w:color w:val="auto"/>
    </w:rPr>
  </w:style>
  <w:style w:type="paragraph" w:customStyle="1" w:styleId="337">
    <w:name w:val="CM8"/>
    <w:basedOn w:val="96"/>
    <w:next w:val="96"/>
    <w:qFormat/>
    <w:uiPriority w:val="99"/>
    <w:pPr>
      <w:spacing w:line="468" w:lineRule="atLeast"/>
    </w:pPr>
    <w:rPr>
      <w:rFonts w:hAnsi="Times New Roman" w:cs="Times New Roman"/>
      <w:color w:val="auto"/>
    </w:rPr>
  </w:style>
  <w:style w:type="paragraph" w:customStyle="1" w:styleId="338">
    <w:name w:val="CM1"/>
    <w:basedOn w:val="96"/>
    <w:next w:val="96"/>
    <w:qFormat/>
    <w:uiPriority w:val="99"/>
    <w:rPr>
      <w:rFonts w:hAnsi="Times New Roman" w:cs="Times New Roman"/>
      <w:color w:val="auto"/>
    </w:rPr>
  </w:style>
  <w:style w:type="character" w:customStyle="1" w:styleId="339">
    <w:name w:val="表文字 Char"/>
    <w:link w:val="159"/>
    <w:qFormat/>
    <w:uiPriority w:val="0"/>
    <w:rPr>
      <w:kern w:val="10"/>
      <w:sz w:val="24"/>
    </w:rPr>
  </w:style>
  <w:style w:type="paragraph" w:customStyle="1" w:styleId="340">
    <w:name w:val="text Char Char Char Char Char"/>
    <w:basedOn w:val="1"/>
    <w:qFormat/>
    <w:uiPriority w:val="0"/>
    <w:pPr>
      <w:ind w:firstLine="563" w:firstLineChars="200"/>
    </w:pPr>
    <w:rPr>
      <w:rFonts w:ascii="黑体"/>
      <w:sz w:val="28"/>
      <w:szCs w:val="22"/>
    </w:rPr>
  </w:style>
  <w:style w:type="paragraph" w:customStyle="1" w:styleId="341">
    <w:name w:val="（2）正文"/>
    <w:basedOn w:val="1"/>
    <w:link w:val="348"/>
    <w:qFormat/>
    <w:uiPriority w:val="0"/>
    <w:pPr>
      <w:spacing w:line="360" w:lineRule="auto"/>
      <w:ind w:firstLine="423" w:firstLineChars="147"/>
    </w:pPr>
    <w:rPr>
      <w:color w:val="000000"/>
      <w:spacing w:val="4"/>
      <w:kern w:val="0"/>
      <w:sz w:val="28"/>
      <w:szCs w:val="28"/>
    </w:rPr>
  </w:style>
  <w:style w:type="character" w:customStyle="1" w:styleId="342">
    <w:name w:val="表格文字 Char Char"/>
    <w:basedOn w:val="100"/>
    <w:link w:val="343"/>
    <w:qFormat/>
    <w:uiPriority w:val="0"/>
    <w:rPr>
      <w:rFonts w:ascii="Times New Roman" w:hAnsi="Times New Roman" w:eastAsia="宋体"/>
      <w:kern w:val="44"/>
      <w:sz w:val="21"/>
      <w:szCs w:val="22"/>
    </w:rPr>
  </w:style>
  <w:style w:type="paragraph" w:customStyle="1" w:styleId="343">
    <w:name w:val="表格文字"/>
    <w:basedOn w:val="1"/>
    <w:link w:val="342"/>
    <w:qFormat/>
    <w:uiPriority w:val="0"/>
    <w:pPr>
      <w:jc w:val="center"/>
    </w:pPr>
    <w:rPr>
      <w:rFonts w:ascii="Times New Roman" w:hAnsi="Times New Roman"/>
      <w:kern w:val="44"/>
      <w:szCs w:val="22"/>
    </w:rPr>
  </w:style>
  <w:style w:type="character" w:customStyle="1" w:styleId="344">
    <w:name w:val="样式 正文缩进 + 首行缩进:  2 字符 Char"/>
    <w:basedOn w:val="74"/>
    <w:link w:val="345"/>
    <w:qFormat/>
    <w:uiPriority w:val="0"/>
    <w:rPr>
      <w:rFonts w:cs="宋体"/>
      <w:kern w:val="2"/>
      <w:sz w:val="28"/>
    </w:rPr>
  </w:style>
  <w:style w:type="paragraph" w:customStyle="1" w:styleId="345">
    <w:name w:val="样式 正文缩进 + 首行缩进:  2 字符"/>
    <w:basedOn w:val="17"/>
    <w:link w:val="344"/>
    <w:qFormat/>
    <w:uiPriority w:val="0"/>
    <w:pPr>
      <w:snapToGrid w:val="0"/>
      <w:spacing w:line="520" w:lineRule="atLeast"/>
      <w:ind w:firstLine="200"/>
    </w:pPr>
    <w:rPr>
      <w:rFonts w:ascii="Times New Roman" w:hAnsi="Times New Roman" w:cs="宋体"/>
      <w:sz w:val="28"/>
      <w:szCs w:val="20"/>
    </w:rPr>
  </w:style>
  <w:style w:type="character" w:customStyle="1" w:styleId="346">
    <w:name w:val="HTML 预设格式 Char"/>
    <w:basedOn w:val="74"/>
    <w:link w:val="63"/>
    <w:qFormat/>
    <w:uiPriority w:val="0"/>
    <w:rPr>
      <w:rFonts w:ascii="Courier New" w:hAnsi="Courier New" w:cs="Courier New"/>
      <w:kern w:val="2"/>
      <w:sz w:val="21"/>
      <w:szCs w:val="24"/>
    </w:rPr>
  </w:style>
  <w:style w:type="paragraph" w:customStyle="1" w:styleId="347">
    <w:name w:val="标题1"/>
    <w:basedOn w:val="4"/>
    <w:qFormat/>
    <w:uiPriority w:val="0"/>
    <w:pPr>
      <w:keepNext w:val="0"/>
      <w:keepLines w:val="0"/>
      <w:tabs>
        <w:tab w:val="left" w:pos="720"/>
      </w:tabs>
      <w:adjustRightInd/>
      <w:snapToGrid/>
      <w:spacing w:beforeLines="150" w:afterLines="150" w:line="240" w:lineRule="auto"/>
      <w:jc w:val="center"/>
    </w:pPr>
    <w:rPr>
      <w:rFonts w:ascii="宋体" w:hAnsi="宋体"/>
      <w:b/>
      <w:kern w:val="28"/>
      <w:sz w:val="30"/>
    </w:rPr>
  </w:style>
  <w:style w:type="character" w:customStyle="1" w:styleId="348">
    <w:name w:val="（2）正文 Char"/>
    <w:link w:val="341"/>
    <w:qFormat/>
    <w:uiPriority w:val="0"/>
    <w:rPr>
      <w:rFonts w:ascii="Calibri" w:hAnsi="Calibri"/>
      <w:color w:val="000000"/>
      <w:spacing w:val="4"/>
      <w:sz w:val="28"/>
      <w:szCs w:val="28"/>
    </w:rPr>
  </w:style>
  <w:style w:type="paragraph" w:customStyle="1" w:styleId="349">
    <w:name w:val="2表格内容"/>
    <w:basedOn w:val="1"/>
    <w:link w:val="350"/>
    <w:qFormat/>
    <w:uiPriority w:val="0"/>
    <w:pPr>
      <w:jc w:val="center"/>
    </w:pPr>
    <w:rPr>
      <w:rFonts w:ascii="Times New Roman" w:hAnsi="Times New Roman"/>
      <w:kern w:val="0"/>
      <w:sz w:val="24"/>
      <w:szCs w:val="24"/>
    </w:rPr>
  </w:style>
  <w:style w:type="character" w:customStyle="1" w:styleId="350">
    <w:name w:val="2表格内容 Char"/>
    <w:link w:val="349"/>
    <w:qFormat/>
    <w:uiPriority w:val="0"/>
    <w:rPr>
      <w:sz w:val="24"/>
      <w:szCs w:val="24"/>
    </w:rPr>
  </w:style>
  <w:style w:type="paragraph" w:customStyle="1" w:styleId="351">
    <w:name w:val="cardlist-name"/>
    <w:basedOn w:val="1"/>
    <w:qFormat/>
    <w:uiPriority w:val="0"/>
    <w:pPr>
      <w:widowControl/>
      <w:spacing w:before="100" w:beforeAutospacing="1" w:after="100" w:afterAutospacing="1"/>
      <w:jc w:val="left"/>
    </w:pPr>
    <w:rPr>
      <w:rFonts w:ascii="宋体" w:hAnsi="宋体" w:cs="宋体"/>
      <w:kern w:val="0"/>
      <w:sz w:val="24"/>
      <w:szCs w:val="24"/>
    </w:rPr>
  </w:style>
  <w:style w:type="character" w:customStyle="1" w:styleId="352">
    <w:name w:val="正文缩进 Char1"/>
    <w:qFormat/>
    <w:uiPriority w:val="0"/>
    <w:rPr>
      <w:bCs/>
      <w:sz w:val="28"/>
      <w:szCs w:val="28"/>
    </w:rPr>
  </w:style>
  <w:style w:type="paragraph" w:customStyle="1" w:styleId="353">
    <w:name w:val="标题3"/>
    <w:basedOn w:val="6"/>
    <w:qFormat/>
    <w:uiPriority w:val="0"/>
    <w:pPr>
      <w:keepNext w:val="0"/>
      <w:keepLines w:val="0"/>
      <w:tabs>
        <w:tab w:val="left" w:pos="360"/>
        <w:tab w:val="left" w:pos="720"/>
      </w:tabs>
      <w:spacing w:beforeLines="50" w:afterLines="50" w:line="480" w:lineRule="atLeast"/>
    </w:pPr>
    <w:rPr>
      <w:bCs w:val="0"/>
      <w:kern w:val="2"/>
      <w:sz w:val="28"/>
      <w:szCs w:val="28"/>
    </w:rPr>
  </w:style>
  <w:style w:type="paragraph" w:customStyle="1" w:styleId="354">
    <w:name w:val="表格小4居中"/>
    <w:basedOn w:val="1"/>
    <w:qFormat/>
    <w:uiPriority w:val="0"/>
    <w:pPr>
      <w:adjustRightInd w:val="0"/>
      <w:snapToGrid w:val="0"/>
      <w:spacing w:before="60" w:after="60" w:line="320" w:lineRule="atLeast"/>
      <w:jc w:val="center"/>
    </w:pPr>
    <w:rPr>
      <w:rFonts w:ascii="Times New Roman" w:hAnsi="Times New Roman" w:cs="宋体"/>
      <w:sz w:val="24"/>
      <w:szCs w:val="20"/>
    </w:rPr>
  </w:style>
  <w:style w:type="paragraph" w:customStyle="1" w:styleId="355">
    <w:name w:val="表格五号"/>
    <w:basedOn w:val="1"/>
    <w:link w:val="356"/>
    <w:qFormat/>
    <w:uiPriority w:val="0"/>
    <w:pPr>
      <w:adjustRightInd w:val="0"/>
      <w:snapToGrid w:val="0"/>
      <w:jc w:val="center"/>
    </w:pPr>
    <w:rPr>
      <w:rFonts w:ascii="宋体" w:hAnsi="宋体"/>
    </w:rPr>
  </w:style>
  <w:style w:type="character" w:customStyle="1" w:styleId="356">
    <w:name w:val="表格五号 Char"/>
    <w:link w:val="355"/>
    <w:qFormat/>
    <w:uiPriority w:val="0"/>
    <w:rPr>
      <w:rFonts w:ascii="宋体" w:hAnsi="宋体"/>
      <w:kern w:val="2"/>
      <w:sz w:val="21"/>
      <w:szCs w:val="21"/>
    </w:rPr>
  </w:style>
  <w:style w:type="paragraph" w:customStyle="1" w:styleId="357">
    <w:name w:val="表头四号"/>
    <w:basedOn w:val="50"/>
    <w:link w:val="358"/>
    <w:qFormat/>
    <w:uiPriority w:val="0"/>
    <w:pPr>
      <w:adjustRightInd w:val="0"/>
      <w:snapToGrid w:val="0"/>
      <w:spacing w:beforeLines="50" w:line="500" w:lineRule="atLeast"/>
      <w:ind w:left="0" w:firstLine="0" w:firstLineChars="0"/>
      <w:contextualSpacing w:val="0"/>
    </w:pPr>
    <w:rPr>
      <w:rFonts w:ascii="宋体" w:hAnsi="宋体"/>
      <w:b/>
      <w:bCs/>
      <w:sz w:val="28"/>
      <w:szCs w:val="28"/>
    </w:rPr>
  </w:style>
  <w:style w:type="character" w:customStyle="1" w:styleId="358">
    <w:name w:val="表头四号 Char Char"/>
    <w:link w:val="357"/>
    <w:qFormat/>
    <w:uiPriority w:val="0"/>
    <w:rPr>
      <w:rFonts w:ascii="宋体" w:hAnsi="宋体"/>
      <w:b/>
      <w:bCs/>
      <w:kern w:val="2"/>
      <w:sz w:val="28"/>
      <w:szCs w:val="28"/>
    </w:rPr>
  </w:style>
  <w:style w:type="paragraph" w:customStyle="1" w:styleId="359">
    <w:name w:val="附录表标题"/>
    <w:next w:val="1"/>
    <w:qFormat/>
    <w:uiPriority w:val="0"/>
    <w:pPr>
      <w:numPr>
        <w:ilvl w:val="0"/>
        <w:numId w:val="5"/>
      </w:numPr>
      <w:jc w:val="center"/>
      <w:textAlignment w:val="baseline"/>
    </w:pPr>
    <w:rPr>
      <w:rFonts w:ascii="黑体" w:hAnsi="Times New Roman" w:eastAsia="黑体" w:cs="Times New Roman"/>
      <w:kern w:val="21"/>
      <w:sz w:val="21"/>
      <w:lang w:val="en-US" w:eastAsia="zh-CN" w:bidi="ar-SA"/>
    </w:rPr>
  </w:style>
  <w:style w:type="character" w:customStyle="1" w:styleId="360">
    <w:name w:val="font41"/>
    <w:qFormat/>
    <w:uiPriority w:val="0"/>
    <w:rPr>
      <w:rFonts w:ascii="宋体" w:eastAsia="宋体" w:cs="宋体"/>
      <w:color w:val="000000"/>
      <w:sz w:val="20"/>
      <w:szCs w:val="20"/>
      <w:u w:val="none"/>
      <w:lang w:bidi="ar-SA"/>
    </w:rPr>
  </w:style>
  <w:style w:type="character" w:customStyle="1" w:styleId="361">
    <w:name w:val="信息标题 Char Char"/>
    <w:qFormat/>
    <w:uiPriority w:val="0"/>
    <w:rPr>
      <w:rFonts w:ascii="Arial" w:hAnsi="Arial" w:eastAsia="宋体" w:cs="Arial"/>
      <w:szCs w:val="24"/>
      <w:shd w:val="pct20" w:color="auto" w:fill="auto"/>
    </w:rPr>
  </w:style>
  <w:style w:type="paragraph" w:customStyle="1" w:styleId="362">
    <w:name w:val="修订1"/>
    <w:hidden/>
    <w:qFormat/>
    <w:uiPriority w:val="99"/>
    <w:rPr>
      <w:rFonts w:ascii="Calibri" w:hAnsi="Calibri" w:eastAsia="宋体" w:cs="Times New Roman"/>
      <w:kern w:val="2"/>
      <w:sz w:val="21"/>
      <w:szCs w:val="21"/>
      <w:lang w:val="en-US" w:eastAsia="zh-CN" w:bidi="ar-SA"/>
    </w:rPr>
  </w:style>
  <w:style w:type="character" w:customStyle="1" w:styleId="363">
    <w:name w:val="正文文本 3 Char"/>
    <w:basedOn w:val="74"/>
    <w:link w:val="25"/>
    <w:qFormat/>
    <w:uiPriority w:val="0"/>
    <w:rPr>
      <w:sz w:val="16"/>
      <w:szCs w:val="16"/>
    </w:rPr>
  </w:style>
  <w:style w:type="character" w:customStyle="1" w:styleId="364">
    <w:name w:val="签名 Char"/>
    <w:basedOn w:val="74"/>
    <w:link w:val="43"/>
    <w:qFormat/>
    <w:uiPriority w:val="0"/>
    <w:rPr>
      <w:szCs w:val="24"/>
    </w:rPr>
  </w:style>
  <w:style w:type="character" w:customStyle="1" w:styleId="365">
    <w:name w:val="副标题 Char"/>
    <w:basedOn w:val="74"/>
    <w:link w:val="49"/>
    <w:qFormat/>
    <w:uiPriority w:val="0"/>
    <w:rPr>
      <w:rFonts w:ascii="Arial" w:hAnsi="Arial"/>
      <w:b/>
      <w:bCs/>
      <w:kern w:val="28"/>
      <w:sz w:val="32"/>
      <w:szCs w:val="32"/>
    </w:rPr>
  </w:style>
  <w:style w:type="character" w:customStyle="1" w:styleId="366">
    <w:name w:val="脚注文本 Char"/>
    <w:basedOn w:val="74"/>
    <w:link w:val="51"/>
    <w:qFormat/>
    <w:uiPriority w:val="0"/>
    <w:rPr>
      <w:sz w:val="18"/>
      <w:szCs w:val="18"/>
    </w:rPr>
  </w:style>
  <w:style w:type="character" w:customStyle="1" w:styleId="367">
    <w:name w:val="正文文本 2 Char"/>
    <w:basedOn w:val="74"/>
    <w:link w:val="60"/>
    <w:qFormat/>
    <w:uiPriority w:val="0"/>
    <w:rPr>
      <w:sz w:val="24"/>
    </w:rPr>
  </w:style>
  <w:style w:type="character" w:customStyle="1" w:styleId="368">
    <w:name w:val="标题 Char"/>
    <w:basedOn w:val="74"/>
    <w:link w:val="67"/>
    <w:qFormat/>
    <w:uiPriority w:val="0"/>
    <w:rPr>
      <w:rFonts w:ascii="Arial" w:hAnsi="Arial"/>
      <w:b/>
      <w:bCs/>
      <w:sz w:val="32"/>
      <w:szCs w:val="32"/>
    </w:rPr>
  </w:style>
  <w:style w:type="paragraph" w:customStyle="1" w:styleId="369">
    <w:name w:val="样式 段后: 0.2 行"/>
    <w:basedOn w:val="1"/>
    <w:qFormat/>
    <w:uiPriority w:val="0"/>
    <w:pPr>
      <w:adjustRightInd w:val="0"/>
      <w:snapToGrid w:val="0"/>
      <w:spacing w:afterLines="50" w:line="420" w:lineRule="exact"/>
      <w:ind w:firstLine="200" w:firstLineChars="200"/>
    </w:pPr>
    <w:rPr>
      <w:rFonts w:ascii="Times New Roman" w:hAnsi="Times New Roman" w:cs="宋体"/>
      <w:snapToGrid w:val="0"/>
      <w:kern w:val="0"/>
      <w:sz w:val="24"/>
      <w:szCs w:val="20"/>
    </w:rPr>
  </w:style>
  <w:style w:type="paragraph" w:customStyle="1" w:styleId="370">
    <w:name w:val="无间隔1"/>
    <w:qFormat/>
    <w:uiPriority w:val="0"/>
    <w:pPr>
      <w:widowControl w:val="0"/>
      <w:spacing w:line="360" w:lineRule="auto"/>
      <w:jc w:val="both"/>
    </w:pPr>
    <w:rPr>
      <w:rFonts w:ascii="Arial" w:hAnsi="Arial" w:eastAsia="宋体" w:cs="Times New Roman"/>
      <w:kern w:val="2"/>
      <w:sz w:val="24"/>
      <w:szCs w:val="24"/>
      <w:lang w:val="en-US" w:eastAsia="zh-CN" w:bidi="ar-SA"/>
    </w:rPr>
  </w:style>
  <w:style w:type="character" w:customStyle="1" w:styleId="371">
    <w:name w:val="标题 1 Char2"/>
    <w:qFormat/>
    <w:uiPriority w:val="0"/>
    <w:rPr>
      <w:b/>
      <w:kern w:val="44"/>
      <w:sz w:val="30"/>
    </w:rPr>
  </w:style>
  <w:style w:type="paragraph" w:customStyle="1" w:styleId="372">
    <w:name w:val="Char Char Char Char Char Char Char Char Char Char Char Char Char Char Char Char Char Char Char Char Char Char Char Char Char 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373">
    <w:name w:val="样式3"/>
    <w:basedOn w:val="42"/>
    <w:next w:val="42"/>
    <w:qFormat/>
    <w:uiPriority w:val="0"/>
    <w:pPr>
      <w:pBdr>
        <w:bottom w:val="none" w:color="auto" w:sz="0" w:space="0"/>
      </w:pBdr>
      <w:tabs>
        <w:tab w:val="left" w:pos="709"/>
      </w:tabs>
      <w:adjustRightInd/>
      <w:spacing w:before="80" w:afterLines="20" w:line="240" w:lineRule="atLeast"/>
      <w:ind w:left="709" w:hanging="709" w:firstLineChars="200"/>
    </w:pPr>
    <w:rPr>
      <w:rFonts w:ascii="Times New Roman" w:hAnsi="Times New Roman" w:eastAsia="宋体" w:cs="Times New Roman"/>
      <w:kern w:val="0"/>
      <w:szCs w:val="20"/>
    </w:rPr>
  </w:style>
  <w:style w:type="paragraph" w:customStyle="1" w:styleId="374">
    <w:name w:val="样式4"/>
    <w:basedOn w:val="7"/>
    <w:qFormat/>
    <w:uiPriority w:val="0"/>
    <w:pPr>
      <w:numPr>
        <w:ilvl w:val="0"/>
        <w:numId w:val="0"/>
      </w:numPr>
      <w:tabs>
        <w:tab w:val="left" w:pos="720"/>
        <w:tab w:val="left" w:pos="851"/>
      </w:tabs>
      <w:adjustRightInd/>
      <w:snapToGrid/>
      <w:spacing w:beforeLines="50" w:afterLines="20" w:line="400" w:lineRule="exact"/>
      <w:ind w:left="851" w:hanging="851"/>
    </w:pPr>
    <w:rPr>
      <w:rFonts w:eastAsia="宋体"/>
      <w:b w:val="0"/>
      <w:bCs w:val="0"/>
      <w:color w:val="auto"/>
      <w:kern w:val="0"/>
      <w:szCs w:val="20"/>
    </w:rPr>
  </w:style>
  <w:style w:type="paragraph" w:customStyle="1" w:styleId="375">
    <w:name w:val="表格1"/>
    <w:basedOn w:val="1"/>
    <w:qFormat/>
    <w:uiPriority w:val="0"/>
    <w:pPr>
      <w:adjustRightInd w:val="0"/>
      <w:jc w:val="center"/>
      <w:textAlignment w:val="baseline"/>
    </w:pPr>
    <w:rPr>
      <w:rFonts w:ascii="CG Times (WN)" w:hAnsi="Times New Roman"/>
      <w:kern w:val="0"/>
      <w:szCs w:val="20"/>
    </w:rPr>
  </w:style>
  <w:style w:type="paragraph" w:customStyle="1" w:styleId="376">
    <w:name w:val="小五表格"/>
    <w:basedOn w:val="1"/>
    <w:qFormat/>
    <w:uiPriority w:val="0"/>
    <w:pPr>
      <w:spacing w:afterLines="20" w:line="400" w:lineRule="exact"/>
      <w:ind w:firstLine="480" w:firstLineChars="200"/>
      <w:jc w:val="left"/>
    </w:pPr>
    <w:rPr>
      <w:rFonts w:ascii="Times New Roman" w:hAnsi="Times New Roman"/>
      <w:sz w:val="18"/>
      <w:szCs w:val="24"/>
    </w:rPr>
  </w:style>
  <w:style w:type="paragraph" w:customStyle="1" w:styleId="377">
    <w:name w:val="样式1"/>
    <w:basedOn w:val="5"/>
    <w:qFormat/>
    <w:uiPriority w:val="0"/>
    <w:pPr>
      <w:numPr>
        <w:ilvl w:val="0"/>
        <w:numId w:val="0"/>
      </w:numPr>
      <w:tabs>
        <w:tab w:val="left" w:pos="576"/>
      </w:tabs>
      <w:adjustRightInd/>
      <w:snapToGrid/>
      <w:spacing w:before="240" w:afterLines="20" w:line="420" w:lineRule="exact"/>
      <w:ind w:left="576" w:hanging="576"/>
    </w:pPr>
    <w:rPr>
      <w:rFonts w:ascii="Times New Roman" w:hAnsi="Times New Roman"/>
      <w:color w:val="000000"/>
      <w:sz w:val="28"/>
    </w:rPr>
  </w:style>
  <w:style w:type="paragraph" w:customStyle="1" w:styleId="378">
    <w:name w:val="正文A"/>
    <w:qFormat/>
    <w:uiPriority w:val="0"/>
    <w:pPr>
      <w:tabs>
        <w:tab w:val="left" w:pos="0"/>
      </w:tabs>
      <w:adjustRightInd w:val="0"/>
      <w:snapToGrid w:val="0"/>
      <w:spacing w:before="120" w:line="400" w:lineRule="exact"/>
      <w:jc w:val="center"/>
    </w:pPr>
    <w:rPr>
      <w:rFonts w:ascii="Times New Roman" w:hAnsi="Times New Roman" w:eastAsia="宋体" w:cs="Times New Roman"/>
      <w:b/>
      <w:sz w:val="21"/>
      <w:lang w:val="en-US" w:eastAsia="zh-CN" w:bidi="ar-SA"/>
    </w:rPr>
  </w:style>
  <w:style w:type="table" w:customStyle="1" w:styleId="379">
    <w:name w:val="网格型1231"/>
    <w:basedOn w:val="71"/>
    <w:qFormat/>
    <w:uiPriority w:val="0"/>
    <w:pPr>
      <w:widowControl w:val="0"/>
      <w:spacing w:afterLines="20" w:line="400" w:lineRule="exact"/>
      <w:ind w:firstLine="480" w:firstLineChars="20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380">
    <w:name w:val="标题 2 + (西文) 黑体 (中文) 黑体 四号 非加粗"/>
    <w:basedOn w:val="5"/>
    <w:next w:val="6"/>
    <w:qFormat/>
    <w:uiPriority w:val="0"/>
    <w:pPr>
      <w:numPr>
        <w:ilvl w:val="0"/>
        <w:numId w:val="0"/>
      </w:numPr>
      <w:tabs>
        <w:tab w:val="left" w:pos="840"/>
      </w:tabs>
      <w:adjustRightInd/>
      <w:snapToGrid/>
      <w:spacing w:beforeLines="50" w:line="240" w:lineRule="auto"/>
      <w:ind w:left="840" w:hanging="420"/>
    </w:pPr>
    <w:rPr>
      <w:rFonts w:ascii="Times New Roman" w:hAnsi="Times New Roman"/>
      <w:bCs w:val="0"/>
      <w:sz w:val="28"/>
      <w:szCs w:val="20"/>
    </w:rPr>
  </w:style>
  <w:style w:type="paragraph" w:customStyle="1" w:styleId="381">
    <w:name w:val="标题 1 + (西文) 黑体 (中文) 黑体 三号 居中"/>
    <w:basedOn w:val="4"/>
    <w:next w:val="380"/>
    <w:qFormat/>
    <w:uiPriority w:val="0"/>
    <w:pPr>
      <w:numPr>
        <w:numId w:val="0"/>
      </w:numPr>
      <w:tabs>
        <w:tab w:val="left" w:pos="600"/>
      </w:tabs>
      <w:adjustRightInd/>
      <w:snapToGrid/>
      <w:spacing w:beforeLines="50" w:line="240" w:lineRule="auto"/>
      <w:ind w:firstLine="113"/>
    </w:pPr>
    <w:rPr>
      <w:rFonts w:ascii="黑体" w:cs="宋体"/>
      <w:sz w:val="32"/>
      <w:szCs w:val="20"/>
    </w:rPr>
  </w:style>
  <w:style w:type="paragraph" w:customStyle="1" w:styleId="382">
    <w:name w:val="表文C"/>
    <w:basedOn w:val="1"/>
    <w:qFormat/>
    <w:uiPriority w:val="0"/>
    <w:pPr>
      <w:widowControl/>
      <w:tabs>
        <w:tab w:val="left" w:pos="0"/>
      </w:tabs>
      <w:adjustRightInd w:val="0"/>
      <w:snapToGrid w:val="0"/>
      <w:jc w:val="center"/>
    </w:pPr>
    <w:rPr>
      <w:rFonts w:ascii="Times New Roman" w:hAnsi="Times New Roman" w:cs="Plotter"/>
      <w:snapToGrid w:val="0"/>
      <w:kern w:val="0"/>
      <w:szCs w:val="20"/>
    </w:rPr>
  </w:style>
  <w:style w:type="paragraph" w:customStyle="1" w:styleId="383">
    <w:name w:val="表名A"/>
    <w:basedOn w:val="1"/>
    <w:qFormat/>
    <w:uiPriority w:val="0"/>
    <w:pPr>
      <w:widowControl/>
      <w:tabs>
        <w:tab w:val="left" w:pos="0"/>
      </w:tabs>
      <w:adjustRightInd w:val="0"/>
      <w:snapToGrid w:val="0"/>
      <w:spacing w:beforeLines="80" w:afterLines="20"/>
      <w:jc w:val="center"/>
    </w:pPr>
    <w:rPr>
      <w:rFonts w:ascii="Times New Roman" w:hAnsi="Times New Roman" w:cs="Plotter"/>
      <w:b/>
      <w:snapToGrid w:val="0"/>
      <w:kern w:val="0"/>
      <w:szCs w:val="20"/>
    </w:rPr>
  </w:style>
  <w:style w:type="paragraph" w:customStyle="1" w:styleId="384">
    <w:name w:val="表文B"/>
    <w:qFormat/>
    <w:uiPriority w:val="0"/>
    <w:pPr>
      <w:tabs>
        <w:tab w:val="left" w:pos="0"/>
      </w:tabs>
      <w:adjustRightInd w:val="0"/>
      <w:snapToGrid w:val="0"/>
      <w:spacing w:beforeLines="25" w:afterLines="15" w:line="264" w:lineRule="auto"/>
    </w:pPr>
    <w:rPr>
      <w:rFonts w:ascii="宋体" w:hAnsi="Times New Roman" w:eastAsia="宋体" w:cs="Times New Roman"/>
      <w:snapToGrid w:val="0"/>
      <w:sz w:val="18"/>
      <w:lang w:val="en-US" w:eastAsia="zh-CN" w:bidi="ar-SA"/>
    </w:rPr>
  </w:style>
  <w:style w:type="character" w:customStyle="1" w:styleId="385">
    <w:name w:val="标题 2 + (西文) 黑体 (中文) 黑体 四号 非加粗 Char"/>
    <w:qFormat/>
    <w:uiPriority w:val="0"/>
    <w:rPr>
      <w:rFonts w:eastAsia="黑体"/>
      <w:b/>
      <w:kern w:val="2"/>
      <w:sz w:val="28"/>
      <w:lang w:val="en-US" w:eastAsia="zh-CN" w:bidi="ar-SA"/>
    </w:rPr>
  </w:style>
  <w:style w:type="paragraph" w:customStyle="1" w:styleId="386">
    <w:name w:val="表格目录"/>
    <w:basedOn w:val="1"/>
    <w:next w:val="1"/>
    <w:qFormat/>
    <w:uiPriority w:val="0"/>
    <w:pPr>
      <w:widowControl/>
      <w:jc w:val="center"/>
    </w:pPr>
    <w:rPr>
      <w:rFonts w:ascii="Times New Roman" w:hAnsi="Times New Roman"/>
      <w:b/>
      <w:bCs/>
      <w:kern w:val="0"/>
      <w:sz w:val="22"/>
      <w:szCs w:val="20"/>
    </w:rPr>
  </w:style>
  <w:style w:type="paragraph" w:customStyle="1" w:styleId="387">
    <w:name w:val="样式 标题 3 + 段前: 1 行"/>
    <w:basedOn w:val="6"/>
    <w:qFormat/>
    <w:uiPriority w:val="0"/>
    <w:pPr>
      <w:numPr>
        <w:ilvl w:val="0"/>
        <w:numId w:val="0"/>
      </w:numPr>
      <w:tabs>
        <w:tab w:val="left" w:pos="720"/>
      </w:tabs>
      <w:adjustRightInd/>
      <w:snapToGrid/>
      <w:spacing w:beforeLines="50" w:line="240" w:lineRule="auto"/>
      <w:ind w:left="720" w:hanging="720"/>
      <w:jc w:val="left"/>
    </w:pPr>
    <w:rPr>
      <w:rFonts w:eastAsia="黑体" w:cs="宋体"/>
      <w:b w:val="0"/>
      <w:bCs w:val="0"/>
      <w:szCs w:val="20"/>
    </w:rPr>
  </w:style>
  <w:style w:type="character" w:customStyle="1" w:styleId="388">
    <w:name w:val="正文文本2"/>
    <w:qFormat/>
    <w:uiPriority w:val="0"/>
    <w:rPr>
      <w:rFonts w:eastAsia="宋体"/>
      <w:kern w:val="2"/>
      <w:sz w:val="21"/>
      <w:szCs w:val="24"/>
      <w:lang w:val="en-US" w:eastAsia="zh-CN" w:bidi="ar-SA"/>
    </w:rPr>
  </w:style>
  <w:style w:type="paragraph" w:customStyle="1" w:styleId="389">
    <w:name w:val="序列样式1"/>
    <w:basedOn w:val="1"/>
    <w:qFormat/>
    <w:uiPriority w:val="0"/>
    <w:pPr>
      <w:tabs>
        <w:tab w:val="left" w:pos="360"/>
        <w:tab w:val="left" w:pos="840"/>
      </w:tabs>
      <w:spacing w:afterLines="20" w:line="400" w:lineRule="exact"/>
      <w:ind w:firstLine="200"/>
    </w:pPr>
    <w:rPr>
      <w:rFonts w:ascii="Times New Roman" w:hAnsi="Times New Roman"/>
      <w:sz w:val="24"/>
      <w:szCs w:val="28"/>
    </w:rPr>
  </w:style>
  <w:style w:type="paragraph" w:customStyle="1" w:styleId="390">
    <w:name w:val="zhengwen"/>
    <w:basedOn w:val="1"/>
    <w:qFormat/>
    <w:uiPriority w:val="0"/>
    <w:pPr>
      <w:tabs>
        <w:tab w:val="left" w:pos="360"/>
      </w:tabs>
      <w:spacing w:before="20" w:after="20" w:line="400" w:lineRule="exact"/>
      <w:ind w:firstLine="200"/>
    </w:pPr>
    <w:rPr>
      <w:rFonts w:ascii="Times New Roman" w:hAnsi="Times New Roman"/>
      <w:sz w:val="24"/>
      <w:szCs w:val="24"/>
    </w:rPr>
  </w:style>
  <w:style w:type="paragraph" w:customStyle="1" w:styleId="391">
    <w:name w:val="插图"/>
    <w:basedOn w:val="1"/>
    <w:next w:val="1"/>
    <w:qFormat/>
    <w:uiPriority w:val="0"/>
    <w:pPr>
      <w:keepLines/>
      <w:adjustRightInd w:val="0"/>
      <w:spacing w:before="360" w:after="300" w:line="567" w:lineRule="atLeast"/>
      <w:jc w:val="center"/>
      <w:textAlignment w:val="baseline"/>
    </w:pPr>
    <w:rPr>
      <w:rFonts w:ascii="Times New Roman" w:hAnsi="Times New Roman"/>
      <w:spacing w:val="6"/>
      <w:kern w:val="0"/>
      <w:sz w:val="24"/>
      <w:szCs w:val="20"/>
    </w:rPr>
  </w:style>
  <w:style w:type="paragraph" w:customStyle="1" w:styleId="392">
    <w:name w:val="样式 标题 2 + 段前: 1 行 段后: 0.5 行"/>
    <w:basedOn w:val="5"/>
    <w:qFormat/>
    <w:uiPriority w:val="0"/>
    <w:pPr>
      <w:numPr>
        <w:ilvl w:val="0"/>
        <w:numId w:val="0"/>
      </w:numPr>
      <w:tabs>
        <w:tab w:val="left" w:pos="840"/>
      </w:tabs>
      <w:spacing w:beforeLines="100" w:afterLines="50"/>
      <w:jc w:val="left"/>
    </w:pPr>
    <w:rPr>
      <w:rFonts w:ascii="Arial" w:hAnsi="Arial" w:eastAsia="楷体_GB2312" w:cs="宋体"/>
      <w:sz w:val="28"/>
      <w:szCs w:val="20"/>
    </w:rPr>
  </w:style>
  <w:style w:type="paragraph" w:customStyle="1" w:styleId="393">
    <w:name w:val="样式 两端对齐 首行缩进:  0.85 厘米"/>
    <w:basedOn w:val="1"/>
    <w:qFormat/>
    <w:uiPriority w:val="0"/>
    <w:pPr>
      <w:tabs>
        <w:tab w:val="left" w:pos="0"/>
      </w:tabs>
      <w:adjustRightInd w:val="0"/>
      <w:snapToGrid w:val="0"/>
      <w:spacing w:line="360" w:lineRule="auto"/>
      <w:ind w:left="340" w:hanging="340"/>
    </w:pPr>
    <w:rPr>
      <w:rFonts w:ascii="Times New Roman" w:hAnsi="Times New Roman" w:eastAsia="楷体_GB2312" w:cs="宋体"/>
      <w:sz w:val="24"/>
      <w:szCs w:val="20"/>
    </w:rPr>
  </w:style>
  <w:style w:type="paragraph" w:customStyle="1" w:styleId="394">
    <w:name w:val="样式 标题 3 + 段前: 0 磅 段后: 0 磅 行距: 1.5 倍行距"/>
    <w:basedOn w:val="6"/>
    <w:qFormat/>
    <w:uiPriority w:val="0"/>
    <w:pPr>
      <w:numPr>
        <w:ilvl w:val="0"/>
        <w:numId w:val="0"/>
      </w:numPr>
      <w:tabs>
        <w:tab w:val="left" w:pos="0"/>
      </w:tabs>
      <w:adjustRightInd/>
      <w:ind w:left="340" w:hanging="340"/>
    </w:pPr>
    <w:rPr>
      <w:rFonts w:eastAsia="黑体" w:cs="宋体"/>
      <w:b w:val="0"/>
      <w:bCs w:val="0"/>
      <w:szCs w:val="20"/>
    </w:rPr>
  </w:style>
  <w:style w:type="paragraph" w:customStyle="1" w:styleId="395">
    <w:name w:val="标注"/>
    <w:basedOn w:val="1"/>
    <w:qFormat/>
    <w:uiPriority w:val="0"/>
    <w:pPr>
      <w:tabs>
        <w:tab w:val="left" w:pos="1069"/>
      </w:tabs>
      <w:spacing w:line="240" w:lineRule="exact"/>
      <w:jc w:val="center"/>
    </w:pPr>
    <w:rPr>
      <w:rFonts w:ascii="宋体" w:hAnsi="宋体"/>
    </w:rPr>
  </w:style>
  <w:style w:type="paragraph" w:customStyle="1" w:styleId="396">
    <w:name w:val="2"/>
    <w:basedOn w:val="1"/>
    <w:next w:val="30"/>
    <w:qFormat/>
    <w:uiPriority w:val="0"/>
    <w:pPr>
      <w:tabs>
        <w:tab w:val="left" w:pos="0"/>
      </w:tabs>
      <w:spacing w:beforeLines="50" w:line="360" w:lineRule="exact"/>
      <w:ind w:left="340" w:hanging="340"/>
      <w:jc w:val="center"/>
    </w:pPr>
    <w:rPr>
      <w:rFonts w:ascii="Times New Roman" w:hAnsi="Times New Roman"/>
      <w:b/>
      <w:szCs w:val="24"/>
    </w:rPr>
  </w:style>
  <w:style w:type="paragraph" w:customStyle="1" w:styleId="397">
    <w:name w:val="1"/>
    <w:basedOn w:val="1"/>
    <w:next w:val="17"/>
    <w:qFormat/>
    <w:uiPriority w:val="0"/>
    <w:pPr>
      <w:tabs>
        <w:tab w:val="left" w:pos="0"/>
      </w:tabs>
      <w:spacing w:line="420" w:lineRule="exact"/>
      <w:ind w:left="340" w:firstLine="480"/>
    </w:pPr>
    <w:rPr>
      <w:rFonts w:ascii="Times New Roman" w:hAnsi="Times New Roman"/>
      <w:szCs w:val="20"/>
    </w:rPr>
  </w:style>
  <w:style w:type="character" w:customStyle="1" w:styleId="398">
    <w:name w:val="unnamednews1"/>
    <w:qFormat/>
    <w:uiPriority w:val="0"/>
    <w:rPr>
      <w:rFonts w:hint="default"/>
      <w:color w:val="000000"/>
      <w:sz w:val="28"/>
      <w:szCs w:val="28"/>
      <w:u w:val="none"/>
    </w:rPr>
  </w:style>
  <w:style w:type="paragraph" w:customStyle="1" w:styleId="399">
    <w:name w:val="样式 标题 2 + (西文) Times New Roman (中文) 宋体 行距: 固定值 20 磅"/>
    <w:basedOn w:val="5"/>
    <w:qFormat/>
    <w:uiPriority w:val="0"/>
    <w:pPr>
      <w:numPr>
        <w:ilvl w:val="0"/>
        <w:numId w:val="0"/>
      </w:numPr>
      <w:tabs>
        <w:tab w:val="left" w:pos="1429"/>
      </w:tabs>
      <w:adjustRightInd/>
      <w:spacing w:before="180" w:after="60" w:line="400" w:lineRule="exact"/>
      <w:ind w:left="709"/>
    </w:pPr>
    <w:rPr>
      <w:rFonts w:ascii="Times New Roman" w:hAnsi="Times New Roman" w:eastAsia="宋体" w:cs="宋体"/>
      <w:sz w:val="28"/>
      <w:szCs w:val="20"/>
    </w:rPr>
  </w:style>
  <w:style w:type="paragraph" w:customStyle="1" w:styleId="400">
    <w:name w:val="样式 标题 3 + (中文) 宋体 加粗 左侧:  1.25 厘米 行距: 固定值 20 磅"/>
    <w:basedOn w:val="6"/>
    <w:qFormat/>
    <w:uiPriority w:val="0"/>
    <w:pPr>
      <w:numPr>
        <w:ilvl w:val="0"/>
        <w:numId w:val="0"/>
      </w:numPr>
      <w:tabs>
        <w:tab w:val="left" w:pos="1429"/>
      </w:tabs>
      <w:adjustRightInd/>
      <w:spacing w:before="60" w:line="400" w:lineRule="exact"/>
      <w:ind w:left="709"/>
    </w:pPr>
    <w:rPr>
      <w:rFonts w:cs="宋体"/>
      <w:szCs w:val="20"/>
    </w:rPr>
  </w:style>
  <w:style w:type="paragraph" w:customStyle="1" w:styleId="401">
    <w:name w:val="样式 标题 3 + (中文) 宋体 段前: 0 磅 行距: 固定值 20 磅"/>
    <w:basedOn w:val="6"/>
    <w:qFormat/>
    <w:uiPriority w:val="0"/>
    <w:pPr>
      <w:numPr>
        <w:ilvl w:val="0"/>
        <w:numId w:val="0"/>
      </w:numPr>
      <w:tabs>
        <w:tab w:val="left" w:pos="1429"/>
      </w:tabs>
      <w:adjustRightInd/>
      <w:spacing w:line="400" w:lineRule="exact"/>
      <w:ind w:left="709"/>
    </w:pPr>
    <w:rPr>
      <w:rFonts w:cs="宋体"/>
      <w:b w:val="0"/>
      <w:bCs w:val="0"/>
      <w:szCs w:val="20"/>
    </w:rPr>
  </w:style>
  <w:style w:type="paragraph" w:customStyle="1" w:styleId="402">
    <w:name w:val="样式 目录 1 + 首行缩进:  2 字符"/>
    <w:basedOn w:val="44"/>
    <w:qFormat/>
    <w:uiPriority w:val="0"/>
    <w:rPr>
      <w:rFonts w:eastAsia="宋体" w:cs="宋体" w:asciiTheme="minorHAnsi" w:hAnsiTheme="minorHAnsi"/>
      <w:b w:val="0"/>
      <w:sz w:val="20"/>
      <w:szCs w:val="20"/>
    </w:rPr>
  </w:style>
  <w:style w:type="paragraph" w:customStyle="1" w:styleId="403">
    <w:name w:val="内容"/>
    <w:basedOn w:val="1"/>
    <w:qFormat/>
    <w:uiPriority w:val="0"/>
    <w:pPr>
      <w:spacing w:line="360" w:lineRule="auto"/>
    </w:pPr>
    <w:rPr>
      <w:rFonts w:ascii="Times New Roman" w:hAnsi="Times New Roman"/>
      <w:sz w:val="28"/>
      <w:szCs w:val="20"/>
    </w:rPr>
  </w:style>
  <w:style w:type="paragraph" w:customStyle="1" w:styleId="404">
    <w:name w:val="文本框文字"/>
    <w:basedOn w:val="1"/>
    <w:next w:val="17"/>
    <w:qFormat/>
    <w:uiPriority w:val="0"/>
    <w:pPr>
      <w:jc w:val="center"/>
    </w:pPr>
    <w:rPr>
      <w:rFonts w:ascii="Times New Roman" w:hAnsi="Times New Roman"/>
      <w:szCs w:val="24"/>
    </w:rPr>
  </w:style>
  <w:style w:type="paragraph" w:customStyle="1" w:styleId="405">
    <w:name w:val="符号后文字"/>
    <w:basedOn w:val="17"/>
    <w:qFormat/>
    <w:uiPriority w:val="0"/>
    <w:pPr>
      <w:spacing w:before="62" w:line="400" w:lineRule="exact"/>
      <w:ind w:firstLine="480"/>
      <w:outlineLvl w:val="0"/>
    </w:pPr>
    <w:rPr>
      <w:rFonts w:ascii="Times New Roman" w:hAnsi="Times New Roman"/>
      <w:kern w:val="0"/>
      <w:sz w:val="24"/>
      <w:szCs w:val="20"/>
      <w:u w:val="single"/>
    </w:rPr>
  </w:style>
  <w:style w:type="paragraph" w:customStyle="1" w:styleId="406">
    <w:name w:val="图表名A"/>
    <w:qFormat/>
    <w:uiPriority w:val="0"/>
    <w:pPr>
      <w:tabs>
        <w:tab w:val="left" w:pos="0"/>
      </w:tabs>
      <w:adjustRightInd w:val="0"/>
      <w:snapToGrid w:val="0"/>
      <w:spacing w:beforeLines="50" w:afterLines="50"/>
      <w:jc w:val="center"/>
    </w:pPr>
    <w:rPr>
      <w:rFonts w:ascii="Times New Roman" w:hAnsi="Times New Roman" w:eastAsia="宋体" w:cs="Times New Roman"/>
      <w:b/>
      <w:snapToGrid w:val="0"/>
      <w:sz w:val="24"/>
      <w:lang w:val="en-US" w:eastAsia="zh-CN" w:bidi="ar-SA"/>
    </w:rPr>
  </w:style>
  <w:style w:type="character" w:customStyle="1" w:styleId="407">
    <w:name w:val="a"/>
    <w:basedOn w:val="74"/>
    <w:qFormat/>
    <w:uiPriority w:val="0"/>
  </w:style>
  <w:style w:type="paragraph" w:customStyle="1" w:styleId="408">
    <w:name w:val="xl24"/>
    <w:basedOn w:val="1"/>
    <w:qFormat/>
    <w:uiPriority w:val="0"/>
    <w:pPr>
      <w:widowControl/>
      <w:spacing w:before="100" w:beforeAutospacing="1" w:after="100" w:afterAutospacing="1"/>
      <w:jc w:val="center"/>
    </w:pPr>
    <w:rPr>
      <w:rFonts w:ascii="Arial Unicode MS" w:hAnsi="Arial Unicode MS"/>
      <w:kern w:val="0"/>
      <w:sz w:val="20"/>
      <w:szCs w:val="20"/>
    </w:rPr>
  </w:style>
  <w:style w:type="paragraph" w:customStyle="1" w:styleId="409">
    <w:name w:val="纯文本2"/>
    <w:basedOn w:val="1"/>
    <w:next w:val="35"/>
    <w:qFormat/>
    <w:uiPriority w:val="0"/>
    <w:pPr>
      <w:adjustRightInd w:val="0"/>
      <w:spacing w:line="312" w:lineRule="atLeast"/>
      <w:textAlignment w:val="baseline"/>
    </w:pPr>
    <w:rPr>
      <w:rFonts w:ascii="宋体" w:hAnsi="Courier New" w:cs="Courier New"/>
    </w:rPr>
  </w:style>
  <w:style w:type="paragraph" w:customStyle="1" w:styleId="410">
    <w:name w:val="公式"/>
    <w:next w:val="1"/>
    <w:qFormat/>
    <w:uiPriority w:val="0"/>
    <w:pPr>
      <w:jc w:val="center"/>
    </w:pPr>
    <w:rPr>
      <w:rFonts w:ascii="Times New Roman" w:hAnsi="Times New Roman" w:eastAsia="宋体" w:cs="Times New Roman"/>
      <w:kern w:val="2"/>
      <w:sz w:val="24"/>
      <w:szCs w:val="24"/>
      <w:lang w:val="en-US" w:eastAsia="zh-CN" w:bidi="ar-SA"/>
    </w:rPr>
  </w:style>
  <w:style w:type="paragraph" w:customStyle="1" w:styleId="411">
    <w:name w:val="符号后文字2"/>
    <w:basedOn w:val="1"/>
    <w:qFormat/>
    <w:uiPriority w:val="0"/>
    <w:pPr>
      <w:tabs>
        <w:tab w:val="left" w:pos="1191"/>
      </w:tabs>
      <w:spacing w:beforeLines="20" w:line="400" w:lineRule="exact"/>
      <w:ind w:left="1191" w:hanging="1191"/>
    </w:pPr>
    <w:rPr>
      <w:rFonts w:ascii="Times New Roman" w:hAnsi="Times New Roman"/>
      <w:sz w:val="24"/>
      <w:szCs w:val="24"/>
    </w:rPr>
  </w:style>
  <w:style w:type="paragraph" w:customStyle="1" w:styleId="412">
    <w:name w:val="5"/>
    <w:basedOn w:val="1"/>
    <w:next w:val="35"/>
    <w:qFormat/>
    <w:uiPriority w:val="0"/>
    <w:pPr>
      <w:adjustRightInd w:val="0"/>
      <w:spacing w:line="312" w:lineRule="atLeast"/>
      <w:textAlignment w:val="baseline"/>
    </w:pPr>
    <w:rPr>
      <w:rFonts w:ascii="宋体" w:hAnsi="Courier New" w:cs="Courier New"/>
    </w:rPr>
  </w:style>
  <w:style w:type="paragraph" w:customStyle="1" w:styleId="413">
    <w:name w:val="符号 Char"/>
    <w:basedOn w:val="2"/>
    <w:link w:val="414"/>
    <w:qFormat/>
    <w:uiPriority w:val="0"/>
    <w:pPr>
      <w:widowControl/>
      <w:tabs>
        <w:tab w:val="left" w:pos="280"/>
        <w:tab w:val="left" w:pos="560"/>
      </w:tabs>
      <w:spacing w:after="0" w:line="360" w:lineRule="auto"/>
      <w:ind w:firstLine="480" w:firstLineChars="200"/>
    </w:pPr>
    <w:rPr>
      <w:rFonts w:ascii="新宋体" w:hAnsi="Times New Roman" w:eastAsia="新宋体"/>
      <w:iCs/>
      <w:kern w:val="0"/>
      <w:sz w:val="24"/>
      <w:szCs w:val="24"/>
    </w:rPr>
  </w:style>
  <w:style w:type="character" w:customStyle="1" w:styleId="414">
    <w:name w:val="符号 Char Char"/>
    <w:link w:val="413"/>
    <w:qFormat/>
    <w:uiPriority w:val="0"/>
    <w:rPr>
      <w:rFonts w:ascii="新宋体" w:eastAsia="新宋体"/>
      <w:iCs/>
      <w:sz w:val="24"/>
      <w:szCs w:val="24"/>
    </w:rPr>
  </w:style>
  <w:style w:type="paragraph" w:customStyle="1" w:styleId="415">
    <w:name w:val="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416">
    <w:name w:val="Char Char Char Char Char Char Char Char Char2 Char Char Char Char Char Char Char Char Char"/>
    <w:basedOn w:val="1"/>
    <w:qFormat/>
    <w:uiPriority w:val="0"/>
    <w:pPr>
      <w:spacing w:line="360" w:lineRule="auto"/>
      <w:ind w:firstLine="200" w:firstLineChars="200"/>
    </w:pPr>
    <w:rPr>
      <w:rFonts w:ascii="宋体" w:hAnsi="宋体" w:cs="宋体"/>
      <w:sz w:val="24"/>
      <w:szCs w:val="24"/>
    </w:rPr>
  </w:style>
  <w:style w:type="character" w:customStyle="1" w:styleId="417">
    <w:name w:val="正文（首行缩进两字）"/>
    <w:qFormat/>
    <w:uiPriority w:val="0"/>
    <w:rPr>
      <w:rFonts w:eastAsia="宋体"/>
      <w:kern w:val="2"/>
      <w:sz w:val="21"/>
      <w:lang w:val="en-US" w:eastAsia="zh-CN" w:bidi="ar-SA"/>
    </w:rPr>
  </w:style>
  <w:style w:type="paragraph" w:customStyle="1" w:styleId="418">
    <w:name w:val="12 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419">
    <w:name w:val="黑体"/>
    <w:basedOn w:val="1"/>
    <w:next w:val="390"/>
    <w:qFormat/>
    <w:uiPriority w:val="0"/>
    <w:pPr>
      <w:tabs>
        <w:tab w:val="left" w:pos="785"/>
      </w:tabs>
      <w:spacing w:afterLines="20" w:line="400" w:lineRule="exact"/>
      <w:ind w:left="-29" w:firstLine="454"/>
    </w:pPr>
    <w:rPr>
      <w:rFonts w:ascii="Times New Roman" w:hAnsi="Times New Roman"/>
      <w:color w:val="FF0000"/>
      <w:sz w:val="24"/>
      <w:szCs w:val="24"/>
    </w:rPr>
  </w:style>
  <w:style w:type="character" w:customStyle="1" w:styleId="420">
    <w:name w:val="表格 Char"/>
    <w:link w:val="117"/>
    <w:qFormat/>
    <w:uiPriority w:val="0"/>
    <w:rPr>
      <w:rFonts w:ascii="宋体" w:hAnsi="宋体" w:eastAsia="宋体" w:cs="宋体"/>
      <w:sz w:val="21"/>
      <w:szCs w:val="21"/>
    </w:rPr>
  </w:style>
  <w:style w:type="paragraph" w:customStyle="1" w:styleId="421">
    <w:name w:val="符号"/>
    <w:basedOn w:val="2"/>
    <w:qFormat/>
    <w:uiPriority w:val="0"/>
    <w:pPr>
      <w:widowControl/>
      <w:tabs>
        <w:tab w:val="left" w:pos="280"/>
        <w:tab w:val="left" w:pos="560"/>
      </w:tabs>
      <w:spacing w:after="0" w:line="360" w:lineRule="auto"/>
      <w:ind w:firstLine="480" w:firstLineChars="200"/>
    </w:pPr>
    <w:rPr>
      <w:rFonts w:ascii="新宋体" w:hAnsi="Times New Roman" w:eastAsia="新宋体"/>
      <w:iCs/>
      <w:kern w:val="0"/>
      <w:sz w:val="24"/>
      <w:szCs w:val="24"/>
    </w:rPr>
  </w:style>
  <w:style w:type="paragraph" w:customStyle="1" w:styleId="422">
    <w:name w:val="样式 正文文本正文文字 + 居中 段后: 0 磅 行距: 最小值 12 磅"/>
    <w:basedOn w:val="2"/>
    <w:qFormat/>
    <w:uiPriority w:val="0"/>
    <w:pPr>
      <w:spacing w:after="0" w:line="240" w:lineRule="atLeast"/>
      <w:jc w:val="center"/>
    </w:pPr>
    <w:rPr>
      <w:rFonts w:ascii="Times New Roman" w:hAnsi="Times New Roman"/>
      <w:kern w:val="0"/>
      <w:sz w:val="20"/>
      <w:szCs w:val="20"/>
    </w:rPr>
  </w:style>
  <w:style w:type="paragraph" w:customStyle="1" w:styleId="423">
    <w:name w:val="7"/>
    <w:basedOn w:val="1"/>
    <w:next w:val="2"/>
    <w:qFormat/>
    <w:uiPriority w:val="0"/>
    <w:pPr>
      <w:spacing w:line="240" w:lineRule="atLeast"/>
      <w:jc w:val="center"/>
    </w:pPr>
    <w:rPr>
      <w:rFonts w:ascii="Times New Roman" w:hAnsi="Times New Roman"/>
      <w:szCs w:val="24"/>
    </w:rPr>
  </w:style>
  <w:style w:type="character" w:customStyle="1" w:styleId="424">
    <w:name w:val="正文文本4"/>
    <w:qFormat/>
    <w:uiPriority w:val="0"/>
    <w:rPr>
      <w:rFonts w:eastAsia="宋体"/>
      <w:kern w:val="2"/>
      <w:sz w:val="21"/>
      <w:szCs w:val="24"/>
      <w:lang w:val="en-US" w:eastAsia="zh-CN" w:bidi="ar-SA"/>
    </w:rPr>
  </w:style>
  <w:style w:type="character" w:customStyle="1" w:styleId="425">
    <w:name w:val="tpc_content1"/>
    <w:qFormat/>
    <w:uiPriority w:val="0"/>
    <w:rPr>
      <w:sz w:val="20"/>
      <w:szCs w:val="20"/>
    </w:rPr>
  </w:style>
  <w:style w:type="character" w:customStyle="1" w:styleId="426">
    <w:name w:val="正文非缩进 Char"/>
    <w:qFormat/>
    <w:uiPriority w:val="0"/>
    <w:rPr>
      <w:rFonts w:eastAsia="宋体"/>
      <w:kern w:val="2"/>
      <w:sz w:val="21"/>
      <w:lang w:val="en-US" w:eastAsia="zh-CN" w:bidi="ar-SA"/>
    </w:rPr>
  </w:style>
  <w:style w:type="paragraph" w:customStyle="1" w:styleId="427">
    <w:name w:val="12 Char Char Char Char Char Char Char Char Char Char"/>
    <w:basedOn w:val="1"/>
    <w:qFormat/>
    <w:uiPriority w:val="0"/>
    <w:pPr>
      <w:spacing w:line="360" w:lineRule="auto"/>
      <w:ind w:firstLine="200" w:firstLineChars="200"/>
    </w:pPr>
    <w:rPr>
      <w:rFonts w:ascii="宋体" w:hAnsi="宋体" w:cs="宋体"/>
      <w:sz w:val="24"/>
      <w:szCs w:val="24"/>
    </w:rPr>
  </w:style>
  <w:style w:type="character" w:customStyle="1" w:styleId="428">
    <w:name w:val="正文缩进1"/>
    <w:qFormat/>
    <w:uiPriority w:val="0"/>
    <w:rPr>
      <w:rFonts w:eastAsia="宋体"/>
      <w:kern w:val="2"/>
      <w:sz w:val="24"/>
      <w:lang w:val="en-US" w:eastAsia="zh-CN" w:bidi="ar-SA"/>
    </w:rPr>
  </w:style>
  <w:style w:type="character" w:customStyle="1" w:styleId="429">
    <w:name w:val="0"/>
    <w:qFormat/>
    <w:uiPriority w:val="0"/>
    <w:rPr>
      <w:sz w:val="18"/>
    </w:rPr>
  </w:style>
  <w:style w:type="paragraph" w:customStyle="1" w:styleId="430">
    <w:name w:val="正文(首行缩进)"/>
    <w:basedOn w:val="1"/>
    <w:qFormat/>
    <w:uiPriority w:val="0"/>
    <w:pPr>
      <w:spacing w:line="360" w:lineRule="auto"/>
      <w:ind w:firstLine="480" w:firstLineChars="200"/>
    </w:pPr>
    <w:rPr>
      <w:rFonts w:ascii="宋体" w:hAnsi="宋体"/>
      <w:kern w:val="24"/>
      <w:sz w:val="24"/>
      <w:szCs w:val="20"/>
    </w:rPr>
  </w:style>
  <w:style w:type="paragraph" w:customStyle="1" w:styleId="431">
    <w:name w:val="Char Char Char Char Char Char Char Char Char2 Char Char Char 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432">
    <w:name w:val="表格11"/>
    <w:basedOn w:val="1"/>
    <w:qFormat/>
    <w:uiPriority w:val="0"/>
    <w:pPr>
      <w:snapToGrid w:val="0"/>
      <w:jc w:val="center"/>
    </w:pPr>
    <w:rPr>
      <w:rFonts w:ascii="Times New Roman" w:hAnsi="Times New Roman"/>
      <w:kern w:val="0"/>
    </w:rPr>
  </w:style>
  <w:style w:type="paragraph" w:customStyle="1" w:styleId="433">
    <w:name w:val="样式 正文文本正文文字 Char"/>
    <w:basedOn w:val="2"/>
    <w:qFormat/>
    <w:uiPriority w:val="0"/>
    <w:pPr>
      <w:spacing w:after="0" w:line="240" w:lineRule="atLeast"/>
      <w:jc w:val="center"/>
    </w:pPr>
    <w:rPr>
      <w:rFonts w:ascii="Times New Roman" w:hAnsi="Times New Roman"/>
      <w:bCs/>
      <w:kern w:val="0"/>
      <w:sz w:val="20"/>
      <w:szCs w:val="24"/>
    </w:rPr>
  </w:style>
  <w:style w:type="paragraph" w:customStyle="1" w:styleId="434">
    <w:name w:val="正文文本1 Char1 Char Char Char Char Char Char Char"/>
    <w:basedOn w:val="1"/>
    <w:next w:val="2"/>
    <w:qFormat/>
    <w:uiPriority w:val="0"/>
    <w:pPr>
      <w:spacing w:line="240" w:lineRule="atLeast"/>
      <w:jc w:val="center"/>
    </w:pPr>
    <w:rPr>
      <w:rFonts w:ascii="Times New Roman" w:hAnsi="Times New Roman"/>
      <w:szCs w:val="24"/>
    </w:rPr>
  </w:style>
  <w:style w:type="paragraph" w:customStyle="1" w:styleId="435">
    <w:name w:val="样式 正文文本正文文字"/>
    <w:basedOn w:val="2"/>
    <w:qFormat/>
    <w:uiPriority w:val="0"/>
    <w:pPr>
      <w:spacing w:after="0" w:line="240" w:lineRule="atLeast"/>
      <w:jc w:val="center"/>
    </w:pPr>
    <w:rPr>
      <w:rFonts w:ascii="Times New Roman" w:hAnsi="Times New Roman"/>
      <w:bCs/>
      <w:kern w:val="0"/>
      <w:sz w:val="20"/>
      <w:szCs w:val="24"/>
    </w:rPr>
  </w:style>
  <w:style w:type="character" w:customStyle="1" w:styleId="436">
    <w:name w:val="viewinfo"/>
    <w:qFormat/>
    <w:uiPriority w:val="0"/>
    <w:rPr>
      <w:rFonts w:hint="default"/>
      <w:sz w:val="18"/>
      <w:szCs w:val="18"/>
      <w:u w:val="none"/>
    </w:rPr>
  </w:style>
  <w:style w:type="paragraph" w:customStyle="1" w:styleId="437">
    <w:name w:val="下划线"/>
    <w:basedOn w:val="1"/>
    <w:next w:val="1"/>
    <w:qFormat/>
    <w:uiPriority w:val="0"/>
    <w:pPr>
      <w:spacing w:beforeLines="50" w:line="400" w:lineRule="exact"/>
      <w:ind w:firstLine="480" w:firstLineChars="200"/>
    </w:pPr>
    <w:rPr>
      <w:rFonts w:ascii="Times New Roman" w:hAnsi="Times New Roman"/>
      <w:bCs/>
      <w:color w:val="000000"/>
      <w:sz w:val="24"/>
      <w:szCs w:val="24"/>
    </w:rPr>
  </w:style>
  <w:style w:type="paragraph" w:customStyle="1" w:styleId="438">
    <w:name w:val="8"/>
    <w:basedOn w:val="1"/>
    <w:next w:val="27"/>
    <w:qFormat/>
    <w:uiPriority w:val="0"/>
    <w:pPr>
      <w:spacing w:afterLines="20" w:line="400" w:lineRule="exact"/>
      <w:ind w:firstLine="480" w:firstLineChars="200"/>
    </w:pPr>
    <w:rPr>
      <w:rFonts w:ascii="Times New Roman" w:hAnsi="Times New Roman"/>
      <w:sz w:val="24"/>
      <w:szCs w:val="24"/>
    </w:rPr>
  </w:style>
  <w:style w:type="character" w:customStyle="1" w:styleId="439">
    <w:name w:val="样式 黑色"/>
    <w:qFormat/>
    <w:uiPriority w:val="0"/>
    <w:rPr>
      <w:rFonts w:eastAsia="宋体"/>
      <w:color w:val="000000"/>
      <w:sz w:val="24"/>
      <w:szCs w:val="24"/>
      <w:u w:val="none"/>
      <w:vertAlign w:val="baseline"/>
    </w:rPr>
  </w:style>
  <w:style w:type="character" w:customStyle="1" w:styleId="440">
    <w:name w:val="title1"/>
    <w:basedOn w:val="74"/>
    <w:qFormat/>
    <w:uiPriority w:val="0"/>
  </w:style>
  <w:style w:type="paragraph" w:customStyle="1" w:styleId="441">
    <w:name w:val="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442">
    <w:name w:val="图表"/>
    <w:basedOn w:val="57"/>
    <w:next w:val="1"/>
    <w:qFormat/>
    <w:uiPriority w:val="0"/>
    <w:pPr>
      <w:spacing w:beforeLines="50" w:line="240" w:lineRule="auto"/>
      <w:ind w:left="0"/>
    </w:pPr>
    <w:rPr>
      <w:bCs/>
      <w:sz w:val="24"/>
      <w:szCs w:val="24"/>
    </w:rPr>
  </w:style>
  <w:style w:type="character" w:customStyle="1" w:styleId="443">
    <w:name w:val="zhengw1"/>
    <w:qFormat/>
    <w:uiPriority w:val="0"/>
    <w:rPr>
      <w:rFonts w:hint="default"/>
      <w:sz w:val="24"/>
      <w:szCs w:val="24"/>
    </w:rPr>
  </w:style>
  <w:style w:type="paragraph" w:customStyle="1" w:styleId="444">
    <w:name w:val="样式 标题 2 + 段前: 0.5 行 段后: 0.5 行"/>
    <w:basedOn w:val="5"/>
    <w:qFormat/>
    <w:uiPriority w:val="0"/>
    <w:pPr>
      <w:numPr>
        <w:ilvl w:val="0"/>
        <w:numId w:val="0"/>
      </w:numPr>
      <w:tabs>
        <w:tab w:val="left" w:pos="576"/>
      </w:tabs>
      <w:adjustRightInd/>
      <w:snapToGrid/>
      <w:spacing w:before="120" w:after="120" w:line="400" w:lineRule="exact"/>
      <w:ind w:left="576" w:hanging="576"/>
    </w:pPr>
    <w:rPr>
      <w:rFonts w:ascii="Times New Roman" w:hAnsi="Times New Roman"/>
      <w:bCs w:val="0"/>
      <w:sz w:val="28"/>
    </w:rPr>
  </w:style>
  <w:style w:type="character" w:customStyle="1" w:styleId="445">
    <w:name w:val="dectext1"/>
    <w:qFormat/>
    <w:uiPriority w:val="0"/>
    <w:rPr>
      <w:rFonts w:hint="eastAsia" w:ascii="宋体" w:hAnsi="宋体" w:eastAsia="宋体"/>
      <w:color w:val="333333"/>
      <w:sz w:val="18"/>
      <w:szCs w:val="18"/>
      <w:u w:val="none"/>
    </w:rPr>
  </w:style>
  <w:style w:type="paragraph" w:customStyle="1" w:styleId="446">
    <w:name w:val="ST20_5"/>
    <w:qFormat/>
    <w:uiPriority w:val="0"/>
    <w:pPr>
      <w:widowControl w:val="0"/>
      <w:autoSpaceDE w:val="0"/>
      <w:autoSpaceDN w:val="0"/>
      <w:adjustRightInd w:val="0"/>
      <w:jc w:val="both"/>
      <w:textAlignment w:val="baseline"/>
    </w:pPr>
    <w:rPr>
      <w:rFonts w:ascii="宋体" w:hAnsi="Tms Rmn" w:eastAsia="宋体" w:cs="Times New Roman"/>
      <w:sz w:val="21"/>
      <w:lang w:val="en-US" w:eastAsia="zh-CN" w:bidi="ar-SA"/>
    </w:rPr>
  </w:style>
  <w:style w:type="character" w:customStyle="1" w:styleId="447">
    <w:name w:val="正文文本3"/>
    <w:qFormat/>
    <w:uiPriority w:val="0"/>
    <w:rPr>
      <w:rFonts w:eastAsia="宋体"/>
      <w:kern w:val="2"/>
      <w:sz w:val="21"/>
      <w:szCs w:val="24"/>
      <w:lang w:val="en-US" w:eastAsia="zh-CN" w:bidi="ar-SA"/>
    </w:rPr>
  </w:style>
  <w:style w:type="character" w:customStyle="1" w:styleId="448">
    <w:name w:val="样式 正文文本正文文字 Char Char"/>
    <w:qFormat/>
    <w:uiPriority w:val="0"/>
    <w:rPr>
      <w:rFonts w:eastAsia="宋体"/>
      <w:bCs/>
      <w:kern w:val="2"/>
      <w:sz w:val="21"/>
      <w:szCs w:val="24"/>
      <w:lang w:val="en-US" w:eastAsia="zh-CN" w:bidi="ar-SA"/>
    </w:rPr>
  </w:style>
  <w:style w:type="paragraph" w:customStyle="1" w:styleId="449">
    <w:name w:val="xl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Times New Roman" w:hAnsi="Times New Roman" w:eastAsia="Arial Unicode MS"/>
      <w:kern w:val="0"/>
      <w:sz w:val="20"/>
      <w:szCs w:val="20"/>
    </w:rPr>
  </w:style>
  <w:style w:type="paragraph" w:customStyle="1" w:styleId="450">
    <w:name w:val="6"/>
    <w:basedOn w:val="1"/>
    <w:next w:val="2"/>
    <w:qFormat/>
    <w:uiPriority w:val="0"/>
    <w:pPr>
      <w:spacing w:line="240" w:lineRule="atLeast"/>
      <w:jc w:val="center"/>
    </w:pPr>
    <w:rPr>
      <w:rFonts w:ascii="Times New Roman" w:hAnsi="Times New Roman"/>
      <w:szCs w:val="24"/>
    </w:rPr>
  </w:style>
  <w:style w:type="paragraph" w:customStyle="1" w:styleId="451">
    <w:name w:val="Char1"/>
    <w:basedOn w:val="1"/>
    <w:link w:val="622"/>
    <w:qFormat/>
    <w:uiPriority w:val="0"/>
    <w:pPr>
      <w:spacing w:line="360" w:lineRule="auto"/>
      <w:ind w:firstLine="200" w:firstLineChars="200"/>
    </w:pPr>
    <w:rPr>
      <w:rFonts w:ascii="宋体" w:hAnsi="宋体"/>
      <w:kern w:val="0"/>
      <w:sz w:val="24"/>
      <w:szCs w:val="24"/>
    </w:rPr>
  </w:style>
  <w:style w:type="paragraph" w:customStyle="1" w:styleId="452">
    <w:name w:val="Char 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453">
    <w:name w:val="正文居中"/>
    <w:basedOn w:val="1"/>
    <w:qFormat/>
    <w:uiPriority w:val="0"/>
    <w:pPr>
      <w:adjustRightInd w:val="0"/>
      <w:snapToGrid w:val="0"/>
      <w:jc w:val="center"/>
    </w:pPr>
    <w:rPr>
      <w:rFonts w:ascii="Times New Roman" w:hAnsi="Times New Roman"/>
      <w:sz w:val="24"/>
      <w:szCs w:val="24"/>
    </w:rPr>
  </w:style>
  <w:style w:type="paragraph" w:customStyle="1" w:styleId="454">
    <w:name w:val="正文首行缩进:2字符"/>
    <w:basedOn w:val="1"/>
    <w:qFormat/>
    <w:uiPriority w:val="0"/>
    <w:pPr>
      <w:ind w:firstLine="560" w:firstLineChars="200"/>
    </w:pPr>
    <w:rPr>
      <w:rFonts w:ascii="Times New Roman" w:hAnsi="Times New Roman" w:cs="宋体"/>
      <w:sz w:val="28"/>
      <w:szCs w:val="20"/>
    </w:rPr>
  </w:style>
  <w:style w:type="paragraph" w:customStyle="1" w:styleId="455">
    <w:name w:val="Char Char Char"/>
    <w:basedOn w:val="1"/>
    <w:qFormat/>
    <w:uiPriority w:val="0"/>
    <w:pPr>
      <w:spacing w:line="360" w:lineRule="auto"/>
      <w:ind w:firstLine="200" w:firstLineChars="200"/>
    </w:pPr>
    <w:rPr>
      <w:rFonts w:ascii="宋体" w:hAnsi="宋体" w:cs="宋体"/>
      <w:sz w:val="24"/>
      <w:szCs w:val="24"/>
    </w:rPr>
  </w:style>
  <w:style w:type="paragraph" w:customStyle="1" w:styleId="456">
    <w:name w:val="Char Char Char Char Char Char Char Char Char Char Char Char Char Char Char Char Char Char Char Char Char Char Char Char"/>
    <w:basedOn w:val="1"/>
    <w:qFormat/>
    <w:uiPriority w:val="0"/>
    <w:pPr>
      <w:spacing w:line="360" w:lineRule="auto"/>
      <w:ind w:firstLine="200" w:firstLineChars="200"/>
    </w:pPr>
    <w:rPr>
      <w:rFonts w:ascii="宋体" w:hAnsi="宋体" w:cs="宋体"/>
      <w:sz w:val="24"/>
      <w:szCs w:val="24"/>
    </w:rPr>
  </w:style>
  <w:style w:type="character" w:customStyle="1" w:styleId="457">
    <w:name w:val="highlight1"/>
    <w:qFormat/>
    <w:uiPriority w:val="0"/>
    <w:rPr>
      <w:sz w:val="21"/>
      <w:szCs w:val="21"/>
    </w:rPr>
  </w:style>
  <w:style w:type="paragraph" w:customStyle="1" w:styleId="458">
    <w:name w:val="Char Char Char Char Char Char Char Char Char Char Char Char Char Char Char Char Char Char Char Char Char Char 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459">
    <w:name w:val="12 Char Char Char Char"/>
    <w:basedOn w:val="1"/>
    <w:qFormat/>
    <w:uiPriority w:val="0"/>
    <w:pPr>
      <w:spacing w:line="360" w:lineRule="auto"/>
      <w:ind w:firstLine="200" w:firstLineChars="200"/>
    </w:pPr>
    <w:rPr>
      <w:rFonts w:ascii="宋体" w:hAnsi="宋体" w:cs="宋体"/>
      <w:sz w:val="24"/>
      <w:szCs w:val="24"/>
    </w:rPr>
  </w:style>
  <w:style w:type="paragraph" w:customStyle="1" w:styleId="460">
    <w:name w:val="Char Char Char Char Char Char Char Char Char Char Char Char Char 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461">
    <w:name w:val="Char Char Char Char Char Char1 Char Char Char1 Char"/>
    <w:basedOn w:val="1"/>
    <w:qFormat/>
    <w:uiPriority w:val="0"/>
    <w:pPr>
      <w:adjustRightInd w:val="0"/>
      <w:snapToGrid w:val="0"/>
      <w:spacing w:line="360" w:lineRule="auto"/>
      <w:ind w:left="5652" w:firstLine="360" w:firstLineChars="200"/>
      <w:jc w:val="left"/>
    </w:pPr>
    <w:rPr>
      <w:rFonts w:ascii="仿宋_GB2312" w:hAnsi="仿宋_GB2312" w:eastAsia="仿宋_GB2312" w:cs="宋体"/>
      <w:sz w:val="24"/>
      <w:szCs w:val="24"/>
    </w:rPr>
  </w:style>
  <w:style w:type="paragraph" w:customStyle="1" w:styleId="462">
    <w:name w:val="报告正文"/>
    <w:basedOn w:val="1"/>
    <w:qFormat/>
    <w:uiPriority w:val="0"/>
    <w:pPr>
      <w:spacing w:before="50" w:line="360" w:lineRule="auto"/>
      <w:ind w:firstLine="540"/>
    </w:pPr>
    <w:rPr>
      <w:rFonts w:ascii="Times New Roman" w:hAnsi="Times New Roman"/>
      <w:sz w:val="24"/>
      <w:szCs w:val="24"/>
    </w:rPr>
  </w:style>
  <w:style w:type="character" w:customStyle="1" w:styleId="463">
    <w:name w:val="Char5 Char Char"/>
    <w:qFormat/>
    <w:uiPriority w:val="0"/>
    <w:rPr>
      <w:rFonts w:eastAsia="宋体"/>
      <w:kern w:val="2"/>
      <w:sz w:val="18"/>
      <w:lang w:val="en-US" w:eastAsia="zh-CN" w:bidi="ar-SA"/>
    </w:rPr>
  </w:style>
  <w:style w:type="paragraph" w:customStyle="1" w:styleId="464">
    <w:name w:val="Char Char Char Char Char Char"/>
    <w:basedOn w:val="1"/>
    <w:qFormat/>
    <w:uiPriority w:val="0"/>
    <w:pPr>
      <w:spacing w:line="360" w:lineRule="auto"/>
      <w:ind w:firstLine="200" w:firstLineChars="200"/>
    </w:pPr>
    <w:rPr>
      <w:rFonts w:ascii="宋体" w:hAnsi="宋体" w:cs="宋体"/>
      <w:sz w:val="24"/>
      <w:szCs w:val="24"/>
    </w:rPr>
  </w:style>
  <w:style w:type="character" w:customStyle="1" w:styleId="465">
    <w:name w:val="正文文字 3 Char Char Char"/>
    <w:qFormat/>
    <w:uiPriority w:val="0"/>
    <w:rPr>
      <w:rFonts w:eastAsia="宋体"/>
      <w:kern w:val="2"/>
      <w:sz w:val="21"/>
      <w:lang w:val="en-US" w:eastAsia="zh-CN" w:bidi="ar-SA"/>
    </w:rPr>
  </w:style>
  <w:style w:type="character" w:customStyle="1" w:styleId="466">
    <w:name w:val="纯文本2 Char"/>
    <w:qFormat/>
    <w:uiPriority w:val="0"/>
    <w:rPr>
      <w:rFonts w:ascii="宋体" w:hAnsi="Courier New" w:eastAsia="宋体"/>
      <w:kern w:val="2"/>
      <w:sz w:val="21"/>
      <w:lang w:val="en-US" w:eastAsia="zh-CN" w:bidi="ar-SA"/>
    </w:rPr>
  </w:style>
  <w:style w:type="character" w:customStyle="1" w:styleId="467">
    <w:name w:val="普通文字1"/>
    <w:qFormat/>
    <w:uiPriority w:val="0"/>
    <w:rPr>
      <w:rFonts w:ascii="宋体" w:hAnsi="Courier New" w:eastAsia="宋体"/>
      <w:kern w:val="2"/>
      <w:sz w:val="21"/>
      <w:lang w:val="en-US" w:eastAsia="zh-CN" w:bidi="ar-SA"/>
    </w:rPr>
  </w:style>
  <w:style w:type="paragraph" w:customStyle="1" w:styleId="468">
    <w:name w:val="黑宋体"/>
    <w:basedOn w:val="7"/>
    <w:qFormat/>
    <w:uiPriority w:val="0"/>
    <w:pPr>
      <w:numPr>
        <w:ilvl w:val="0"/>
        <w:numId w:val="0"/>
      </w:numPr>
      <w:tabs>
        <w:tab w:val="left" w:pos="720"/>
      </w:tabs>
      <w:adjustRightInd/>
      <w:snapToGrid/>
      <w:spacing w:afterLines="50" w:line="300" w:lineRule="auto"/>
      <w:ind w:firstLine="482" w:firstLineChars="200"/>
      <w:jc w:val="left"/>
      <w:textAlignment w:val="baseline"/>
      <w:outlineLvl w:val="9"/>
    </w:pPr>
    <w:rPr>
      <w:rFonts w:ascii="楷体_GB2312" w:eastAsia="楷体_GB2312"/>
      <w:bCs w:val="0"/>
      <w:color w:val="000000"/>
      <w:kern w:val="0"/>
    </w:rPr>
  </w:style>
  <w:style w:type="paragraph" w:customStyle="1" w:styleId="469">
    <w:name w:val="18"/>
    <w:basedOn w:val="1"/>
    <w:next w:val="30"/>
    <w:qFormat/>
    <w:uiPriority w:val="0"/>
    <w:pPr>
      <w:adjustRightInd w:val="0"/>
      <w:spacing w:afterLines="20" w:line="400" w:lineRule="exact"/>
      <w:jc w:val="center"/>
      <w:textAlignment w:val="baseline"/>
    </w:pPr>
    <w:rPr>
      <w:rFonts w:ascii="Times New Roman" w:hAnsi="Times New Roman"/>
      <w:b/>
      <w:szCs w:val="24"/>
    </w:rPr>
  </w:style>
  <w:style w:type="paragraph" w:customStyle="1" w:styleId="470">
    <w:name w:val="17"/>
    <w:basedOn w:val="1"/>
    <w:next w:val="30"/>
    <w:qFormat/>
    <w:uiPriority w:val="0"/>
    <w:pPr>
      <w:adjustRightInd w:val="0"/>
      <w:spacing w:afterLines="20" w:line="400" w:lineRule="exact"/>
      <w:jc w:val="center"/>
      <w:textAlignment w:val="baseline"/>
    </w:pPr>
    <w:rPr>
      <w:rFonts w:ascii="Times New Roman" w:hAnsi="Times New Roman"/>
      <w:b/>
      <w:szCs w:val="24"/>
    </w:rPr>
  </w:style>
  <w:style w:type="paragraph" w:customStyle="1" w:styleId="471">
    <w:name w:val="16"/>
    <w:basedOn w:val="1"/>
    <w:next w:val="30"/>
    <w:qFormat/>
    <w:uiPriority w:val="0"/>
    <w:pPr>
      <w:adjustRightInd w:val="0"/>
      <w:spacing w:afterLines="20" w:line="400" w:lineRule="exact"/>
      <w:jc w:val="center"/>
      <w:textAlignment w:val="baseline"/>
    </w:pPr>
    <w:rPr>
      <w:rFonts w:ascii="Times New Roman" w:hAnsi="Times New Roman"/>
      <w:b/>
      <w:szCs w:val="24"/>
    </w:rPr>
  </w:style>
  <w:style w:type="paragraph" w:customStyle="1" w:styleId="472">
    <w:name w:val="样式 标题 3 + (中文) 宋体"/>
    <w:basedOn w:val="6"/>
    <w:qFormat/>
    <w:uiPriority w:val="0"/>
    <w:pPr>
      <w:numPr>
        <w:ilvl w:val="0"/>
        <w:numId w:val="0"/>
      </w:numPr>
      <w:adjustRightInd/>
      <w:snapToGrid/>
      <w:spacing w:before="120" w:after="60" w:line="500" w:lineRule="exact"/>
      <w:jc w:val="left"/>
    </w:pPr>
    <w:rPr>
      <w:b w:val="0"/>
      <w:szCs w:val="24"/>
    </w:rPr>
  </w:style>
  <w:style w:type="paragraph" w:customStyle="1" w:styleId="473">
    <w:name w:val="正文文本缩进 21"/>
    <w:basedOn w:val="1"/>
    <w:qFormat/>
    <w:uiPriority w:val="0"/>
    <w:pPr>
      <w:autoSpaceDE w:val="0"/>
      <w:autoSpaceDN w:val="0"/>
      <w:adjustRightInd w:val="0"/>
      <w:ind w:firstLine="510"/>
      <w:jc w:val="left"/>
      <w:textAlignment w:val="baseline"/>
    </w:pPr>
    <w:rPr>
      <w:rFonts w:ascii="Times New Roman" w:hAnsi="Times New Roman"/>
      <w:kern w:val="0"/>
      <w:sz w:val="24"/>
      <w:szCs w:val="20"/>
    </w:rPr>
  </w:style>
  <w:style w:type="paragraph" w:customStyle="1" w:styleId="474">
    <w:name w:val="xl32"/>
    <w:basedOn w:val="1"/>
    <w:qFormat/>
    <w:uiPriority w:val="0"/>
    <w:pPr>
      <w:widowControl/>
      <w:spacing w:before="100" w:beforeAutospacing="1" w:after="100" w:afterAutospacing="1"/>
      <w:jc w:val="center"/>
      <w:textAlignment w:val="center"/>
    </w:pPr>
    <w:rPr>
      <w:rFonts w:hint="eastAsia" w:ascii="宋体" w:hAnsi="宋体"/>
      <w:kern w:val="0"/>
      <w:sz w:val="24"/>
      <w:szCs w:val="24"/>
    </w:rPr>
  </w:style>
  <w:style w:type="paragraph" w:customStyle="1" w:styleId="475">
    <w:name w:val="xl3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476">
    <w:name w:val="xl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477">
    <w:name w:val="xl35"/>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478">
    <w:name w:val="xl3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479">
    <w:name w:val="xl37"/>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480">
    <w:name w:val="xl3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481">
    <w:name w:val="xl3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482">
    <w:name w:val="xl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2"/>
      <w:szCs w:val="22"/>
    </w:rPr>
  </w:style>
  <w:style w:type="paragraph" w:customStyle="1" w:styleId="483">
    <w:name w:val="xl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2"/>
      <w:szCs w:val="22"/>
    </w:rPr>
  </w:style>
  <w:style w:type="paragraph" w:customStyle="1" w:styleId="484">
    <w:name w:val="xl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2"/>
      <w:szCs w:val="22"/>
    </w:rPr>
  </w:style>
  <w:style w:type="paragraph" w:customStyle="1" w:styleId="485">
    <w:name w:val="xl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kern w:val="0"/>
      <w:sz w:val="22"/>
      <w:szCs w:val="22"/>
    </w:rPr>
  </w:style>
  <w:style w:type="paragraph" w:customStyle="1" w:styleId="486">
    <w:name w:val="xl44"/>
    <w:basedOn w:val="1"/>
    <w:qFormat/>
    <w:uiPriority w:val="0"/>
    <w:pPr>
      <w:widowControl/>
      <w:spacing w:before="100" w:beforeAutospacing="1" w:after="100" w:afterAutospacing="1"/>
      <w:jc w:val="center"/>
      <w:textAlignment w:val="center"/>
    </w:pPr>
    <w:rPr>
      <w:rFonts w:hint="eastAsia" w:ascii="宋体" w:hAnsi="宋体"/>
      <w:kern w:val="0"/>
      <w:sz w:val="22"/>
      <w:szCs w:val="22"/>
    </w:rPr>
  </w:style>
  <w:style w:type="paragraph" w:customStyle="1" w:styleId="487">
    <w:name w:val="xl4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color w:val="FF00FF"/>
      <w:kern w:val="0"/>
      <w:sz w:val="22"/>
      <w:szCs w:val="22"/>
    </w:rPr>
  </w:style>
  <w:style w:type="paragraph" w:customStyle="1" w:styleId="488">
    <w:name w:val="xl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color w:val="FF00FF"/>
      <w:kern w:val="0"/>
      <w:sz w:val="22"/>
      <w:szCs w:val="22"/>
    </w:rPr>
  </w:style>
  <w:style w:type="paragraph" w:customStyle="1" w:styleId="489">
    <w:name w:val="xl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color w:val="FF00FF"/>
      <w:kern w:val="0"/>
      <w:sz w:val="22"/>
      <w:szCs w:val="22"/>
    </w:rPr>
  </w:style>
  <w:style w:type="paragraph" w:customStyle="1" w:styleId="490">
    <w:name w:val="xl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2"/>
      <w:szCs w:val="22"/>
    </w:rPr>
  </w:style>
  <w:style w:type="paragraph" w:customStyle="1" w:styleId="491">
    <w:name w:val="xl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2"/>
      <w:szCs w:val="22"/>
    </w:rPr>
  </w:style>
  <w:style w:type="paragraph" w:customStyle="1" w:styleId="492">
    <w:name w:val="xl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2"/>
      <w:szCs w:val="22"/>
    </w:rPr>
  </w:style>
  <w:style w:type="paragraph" w:customStyle="1" w:styleId="493">
    <w:name w:val="xl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2"/>
      <w:szCs w:val="22"/>
    </w:rPr>
  </w:style>
  <w:style w:type="paragraph" w:customStyle="1" w:styleId="494">
    <w:name w:val="xl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color w:val="FF0000"/>
      <w:kern w:val="0"/>
      <w:sz w:val="22"/>
      <w:szCs w:val="22"/>
    </w:rPr>
  </w:style>
  <w:style w:type="paragraph" w:customStyle="1" w:styleId="495">
    <w:name w:val="xl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2"/>
      <w:szCs w:val="22"/>
    </w:rPr>
  </w:style>
  <w:style w:type="paragraph" w:customStyle="1" w:styleId="496">
    <w:name w:val="xl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kern w:val="0"/>
      <w:sz w:val="22"/>
      <w:szCs w:val="22"/>
    </w:rPr>
  </w:style>
  <w:style w:type="paragraph" w:customStyle="1" w:styleId="497">
    <w:name w:val="xl55"/>
    <w:basedOn w:val="1"/>
    <w:qFormat/>
    <w:uiPriority w:val="0"/>
    <w:pPr>
      <w:widowControl/>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jc w:val="center"/>
      <w:textAlignment w:val="center"/>
    </w:pPr>
    <w:rPr>
      <w:rFonts w:hint="eastAsia" w:ascii="宋体" w:hAnsi="宋体"/>
      <w:kern w:val="0"/>
      <w:sz w:val="22"/>
      <w:szCs w:val="22"/>
    </w:rPr>
  </w:style>
  <w:style w:type="paragraph" w:customStyle="1" w:styleId="498">
    <w:name w:val="xl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499">
    <w:name w:val="xl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500">
    <w:name w:val="xl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501">
    <w:name w:val="xl59"/>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center"/>
      <w:textAlignment w:val="center"/>
    </w:pPr>
    <w:rPr>
      <w:rFonts w:hint="eastAsia" w:ascii="宋体" w:hAnsi="宋体"/>
      <w:kern w:val="0"/>
      <w:sz w:val="24"/>
      <w:szCs w:val="24"/>
    </w:rPr>
  </w:style>
  <w:style w:type="paragraph" w:customStyle="1" w:styleId="502">
    <w:name w:val="xl60"/>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center"/>
      <w:textAlignment w:val="center"/>
    </w:pPr>
    <w:rPr>
      <w:rFonts w:hint="eastAsia" w:ascii="宋体" w:hAnsi="宋体"/>
      <w:kern w:val="0"/>
      <w:sz w:val="24"/>
      <w:szCs w:val="24"/>
    </w:rPr>
  </w:style>
  <w:style w:type="paragraph" w:customStyle="1" w:styleId="503">
    <w:name w:val="xl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504">
    <w:name w:val="xl6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hint="eastAsia" w:ascii="宋体" w:hAnsi="宋体"/>
      <w:kern w:val="0"/>
      <w:sz w:val="24"/>
      <w:szCs w:val="24"/>
    </w:rPr>
  </w:style>
  <w:style w:type="paragraph" w:customStyle="1" w:styleId="505">
    <w:name w:val="xl63"/>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center"/>
      <w:textAlignment w:val="center"/>
    </w:pPr>
    <w:rPr>
      <w:rFonts w:hint="eastAsia" w:ascii="宋体" w:hAnsi="宋体"/>
      <w:kern w:val="0"/>
      <w:sz w:val="24"/>
      <w:szCs w:val="24"/>
    </w:rPr>
  </w:style>
  <w:style w:type="paragraph" w:customStyle="1" w:styleId="506">
    <w:name w:val="xl64"/>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center"/>
      <w:textAlignment w:val="center"/>
    </w:pPr>
    <w:rPr>
      <w:rFonts w:hint="eastAsia" w:ascii="宋体" w:hAnsi="宋体"/>
      <w:kern w:val="0"/>
      <w:sz w:val="24"/>
      <w:szCs w:val="24"/>
    </w:rPr>
  </w:style>
  <w:style w:type="paragraph" w:customStyle="1" w:styleId="507">
    <w:name w:val="xl2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kern w:val="0"/>
      <w:sz w:val="22"/>
      <w:szCs w:val="22"/>
    </w:rPr>
  </w:style>
  <w:style w:type="paragraph" w:customStyle="1" w:styleId="508">
    <w:name w:val="xl2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color w:val="FF0000"/>
      <w:kern w:val="0"/>
      <w:sz w:val="22"/>
      <w:szCs w:val="22"/>
    </w:rPr>
  </w:style>
  <w:style w:type="paragraph" w:customStyle="1" w:styleId="509">
    <w:name w:val="xl2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Arial Unicode MS" w:hAnsi="Arial Unicode MS"/>
      <w:kern w:val="0"/>
      <w:sz w:val="20"/>
      <w:szCs w:val="20"/>
    </w:rPr>
  </w:style>
  <w:style w:type="paragraph" w:customStyle="1" w:styleId="510">
    <w:name w:val="xl30"/>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Arial Unicode MS" w:hAnsi="Arial Unicode MS"/>
      <w:color w:val="FF0000"/>
      <w:kern w:val="0"/>
      <w:sz w:val="20"/>
      <w:szCs w:val="20"/>
    </w:rPr>
  </w:style>
  <w:style w:type="paragraph" w:customStyle="1" w:styleId="511">
    <w:name w:val="xl31"/>
    <w:basedOn w:val="1"/>
    <w:qFormat/>
    <w:uiPriority w:val="0"/>
    <w:pPr>
      <w:widowControl/>
      <w:spacing w:before="100" w:beforeAutospacing="1" w:after="100" w:afterAutospacing="1"/>
      <w:jc w:val="left"/>
      <w:textAlignment w:val="center"/>
    </w:pPr>
    <w:rPr>
      <w:rFonts w:ascii="Arial Unicode MS" w:hAnsi="Arial Unicode MS"/>
      <w:kern w:val="0"/>
      <w:sz w:val="24"/>
      <w:szCs w:val="24"/>
    </w:rPr>
  </w:style>
  <w:style w:type="paragraph" w:customStyle="1" w:styleId="512">
    <w:name w:val="表格 Char Char"/>
    <w:basedOn w:val="1"/>
    <w:qFormat/>
    <w:uiPriority w:val="0"/>
    <w:pPr>
      <w:widowControl/>
      <w:adjustRightInd w:val="0"/>
      <w:snapToGrid w:val="0"/>
      <w:jc w:val="center"/>
    </w:pPr>
    <w:rPr>
      <w:rFonts w:ascii="宋体" w:hAnsi="宋体"/>
      <w:kern w:val="0"/>
    </w:rPr>
  </w:style>
  <w:style w:type="paragraph" w:customStyle="1" w:styleId="513">
    <w:name w:val="XCHG论文正文"/>
    <w:basedOn w:val="1"/>
    <w:qFormat/>
    <w:uiPriority w:val="0"/>
    <w:pPr>
      <w:spacing w:line="288" w:lineRule="auto"/>
      <w:ind w:firstLine="480" w:firstLineChars="200"/>
    </w:pPr>
    <w:rPr>
      <w:rFonts w:ascii="Times New Roman" w:hAnsi="Times New Roman"/>
      <w:color w:val="000000"/>
      <w:sz w:val="24"/>
      <w:szCs w:val="24"/>
    </w:rPr>
  </w:style>
  <w:style w:type="character" w:customStyle="1" w:styleId="514">
    <w:name w:val="XCHG论文正文 Char"/>
    <w:qFormat/>
    <w:uiPriority w:val="0"/>
    <w:rPr>
      <w:rFonts w:eastAsia="宋体"/>
      <w:color w:val="000000"/>
      <w:kern w:val="2"/>
      <w:sz w:val="24"/>
      <w:szCs w:val="24"/>
      <w:lang w:val="en-US" w:eastAsia="zh-CN" w:bidi="ar-SA"/>
    </w:rPr>
  </w:style>
  <w:style w:type="paragraph" w:customStyle="1" w:styleId="515">
    <w:name w:val="字母编号2"/>
    <w:basedOn w:val="1"/>
    <w:qFormat/>
    <w:uiPriority w:val="0"/>
    <w:pPr>
      <w:tabs>
        <w:tab w:val="left" w:pos="817"/>
      </w:tabs>
      <w:spacing w:line="300" w:lineRule="auto"/>
      <w:ind w:firstLine="200" w:firstLineChars="200"/>
      <w:textAlignment w:val="center"/>
    </w:pPr>
    <w:rPr>
      <w:rFonts w:ascii="Times New Roman" w:hAnsi="Times New Roman"/>
      <w:sz w:val="24"/>
      <w:szCs w:val="24"/>
    </w:rPr>
  </w:style>
  <w:style w:type="paragraph" w:customStyle="1" w:styleId="516">
    <w:name w:val="图表1"/>
    <w:basedOn w:val="1"/>
    <w:qFormat/>
    <w:uiPriority w:val="0"/>
    <w:pPr>
      <w:snapToGrid w:val="0"/>
      <w:spacing w:line="240" w:lineRule="atLeast"/>
      <w:jc w:val="center"/>
    </w:pPr>
    <w:rPr>
      <w:rFonts w:ascii="Times New Roman" w:hAnsi="Times New Roman" w:eastAsia="楷体_GB2312"/>
      <w:sz w:val="24"/>
      <w:szCs w:val="24"/>
    </w:rPr>
  </w:style>
  <w:style w:type="character" w:customStyle="1" w:styleId="517">
    <w:name w:val="ourfont"/>
    <w:basedOn w:val="74"/>
    <w:qFormat/>
    <w:uiPriority w:val="0"/>
  </w:style>
  <w:style w:type="paragraph" w:customStyle="1" w:styleId="518">
    <w:name w:val="标题11"/>
    <w:basedOn w:val="1"/>
    <w:qFormat/>
    <w:uiPriority w:val="0"/>
    <w:rPr>
      <w:rFonts w:ascii="Times New Roman" w:hAnsi="Times New Roman"/>
    </w:rPr>
  </w:style>
  <w:style w:type="paragraph" w:customStyle="1" w:styleId="519">
    <w:name w:val="图文"/>
    <w:basedOn w:val="1"/>
    <w:qFormat/>
    <w:uiPriority w:val="0"/>
    <w:pPr>
      <w:adjustRightInd w:val="0"/>
      <w:snapToGrid w:val="0"/>
    </w:pPr>
    <w:rPr>
      <w:rFonts w:ascii="楷体_GB2312" w:hAnsi="Times New Roman" w:eastAsia="楷体_GB2312"/>
      <w:sz w:val="30"/>
      <w:szCs w:val="24"/>
    </w:rPr>
  </w:style>
  <w:style w:type="paragraph" w:customStyle="1" w:styleId="520">
    <w:name w:val="样式 段后: 3.1 磅 行距: 固定值 20 磅"/>
    <w:basedOn w:val="1"/>
    <w:qFormat/>
    <w:uiPriority w:val="0"/>
    <w:pPr>
      <w:spacing w:after="62" w:line="400" w:lineRule="exact"/>
      <w:ind w:firstLine="482"/>
    </w:pPr>
    <w:rPr>
      <w:rFonts w:ascii="Times New Roman" w:hAnsi="Times New Roman" w:cs="宋体"/>
      <w:color w:val="0000FF"/>
      <w:sz w:val="24"/>
      <w:szCs w:val="20"/>
    </w:rPr>
  </w:style>
  <w:style w:type="paragraph" w:customStyle="1" w:styleId="521">
    <w:name w:val="样式 首行缩进:  0.85 厘米 段后: 3.1 磅 行距: 固定值 20 磅"/>
    <w:basedOn w:val="1"/>
    <w:qFormat/>
    <w:uiPriority w:val="0"/>
    <w:pPr>
      <w:spacing w:afterLines="20" w:line="400" w:lineRule="exact"/>
      <w:ind w:firstLine="482"/>
    </w:pPr>
    <w:rPr>
      <w:rFonts w:ascii="Times New Roman" w:hAnsi="Times New Roman" w:cs="宋体"/>
      <w:sz w:val="24"/>
      <w:szCs w:val="20"/>
    </w:rPr>
  </w:style>
  <w:style w:type="character" w:customStyle="1" w:styleId="522">
    <w:name w:val="f141"/>
    <w:qFormat/>
    <w:uiPriority w:val="0"/>
    <w:rPr>
      <w:sz w:val="23"/>
      <w:szCs w:val="23"/>
    </w:rPr>
  </w:style>
  <w:style w:type="character" w:customStyle="1" w:styleId="523">
    <w:name w:val="正文文本1 Char1 Char Char Char Char Char Char Char Char"/>
    <w:qFormat/>
    <w:uiPriority w:val="0"/>
    <w:rPr>
      <w:rFonts w:eastAsia="宋体"/>
      <w:kern w:val="2"/>
      <w:sz w:val="21"/>
      <w:szCs w:val="24"/>
      <w:lang w:val="en-US" w:eastAsia="zh-CN" w:bidi="ar-SA"/>
    </w:rPr>
  </w:style>
  <w:style w:type="paragraph" w:customStyle="1" w:styleId="524">
    <w:name w:val="样式 标题 4 + 红色"/>
    <w:basedOn w:val="7"/>
    <w:qFormat/>
    <w:uiPriority w:val="0"/>
    <w:pPr>
      <w:numPr>
        <w:ilvl w:val="0"/>
        <w:numId w:val="0"/>
      </w:numPr>
      <w:tabs>
        <w:tab w:val="left" w:pos="720"/>
        <w:tab w:val="left" w:pos="1922"/>
      </w:tabs>
      <w:adjustRightInd/>
      <w:snapToGrid/>
      <w:spacing w:beforeLines="50" w:afterLines="20" w:line="240" w:lineRule="auto"/>
      <w:ind w:left="1922" w:hanging="420"/>
    </w:pPr>
    <w:rPr>
      <w:rFonts w:ascii="Arial" w:hAnsi="Arial" w:eastAsia="宋体"/>
      <w:b w:val="0"/>
      <w:bCs w:val="0"/>
      <w:color w:val="FF0000"/>
      <w:kern w:val="0"/>
    </w:rPr>
  </w:style>
  <w:style w:type="paragraph" w:customStyle="1" w:styleId="525">
    <w:name w:val="样式5"/>
    <w:basedOn w:val="17"/>
    <w:qFormat/>
    <w:uiPriority w:val="0"/>
    <w:pPr>
      <w:spacing w:afterLines="20" w:line="400" w:lineRule="exact"/>
      <w:ind w:firstLine="482" w:firstLineChars="0"/>
    </w:pPr>
    <w:rPr>
      <w:rFonts w:ascii="Times New Roman" w:hAnsi="Times New Roman"/>
      <w:kern w:val="0"/>
      <w:sz w:val="24"/>
      <w:szCs w:val="20"/>
    </w:rPr>
  </w:style>
  <w:style w:type="paragraph" w:customStyle="1" w:styleId="526">
    <w:name w:val="样式6"/>
    <w:basedOn w:val="1"/>
    <w:qFormat/>
    <w:uiPriority w:val="0"/>
    <w:pPr>
      <w:spacing w:afterLines="20" w:line="400" w:lineRule="exact"/>
      <w:ind w:firstLine="482"/>
    </w:pPr>
    <w:rPr>
      <w:rFonts w:ascii="Times New Roman" w:hAnsi="Times New Roman"/>
      <w:sz w:val="24"/>
      <w:szCs w:val="20"/>
    </w:rPr>
  </w:style>
  <w:style w:type="paragraph" w:customStyle="1" w:styleId="527">
    <w:name w:val="样式7"/>
    <w:basedOn w:val="1"/>
    <w:qFormat/>
    <w:uiPriority w:val="0"/>
    <w:pPr>
      <w:spacing w:afterLines="20" w:line="400" w:lineRule="exact"/>
      <w:ind w:firstLine="482"/>
    </w:pPr>
    <w:rPr>
      <w:rFonts w:ascii="Times New Roman" w:hAnsi="Times New Roman"/>
      <w:sz w:val="24"/>
      <w:szCs w:val="20"/>
    </w:rPr>
  </w:style>
  <w:style w:type="paragraph" w:customStyle="1" w:styleId="528">
    <w:name w:val="样式8"/>
    <w:basedOn w:val="1"/>
    <w:qFormat/>
    <w:uiPriority w:val="0"/>
    <w:pPr>
      <w:spacing w:afterLines="20" w:line="400" w:lineRule="exact"/>
      <w:ind w:firstLine="482"/>
    </w:pPr>
    <w:rPr>
      <w:rFonts w:ascii="Times New Roman" w:hAnsi="Times New Roman"/>
      <w:sz w:val="24"/>
      <w:szCs w:val="20"/>
    </w:rPr>
  </w:style>
  <w:style w:type="paragraph" w:customStyle="1" w:styleId="529">
    <w:name w:val="Char Char Char Char"/>
    <w:basedOn w:val="1"/>
    <w:qFormat/>
    <w:uiPriority w:val="0"/>
    <w:pPr>
      <w:spacing w:line="360" w:lineRule="auto"/>
      <w:ind w:firstLine="200" w:firstLineChars="200"/>
    </w:pPr>
    <w:rPr>
      <w:rFonts w:ascii="宋体" w:hAnsi="宋体" w:cs="宋体"/>
      <w:sz w:val="24"/>
      <w:szCs w:val="24"/>
    </w:rPr>
  </w:style>
  <w:style w:type="paragraph" w:customStyle="1" w:styleId="530">
    <w:name w:val="简单回函地址"/>
    <w:basedOn w:val="1"/>
    <w:qFormat/>
    <w:uiPriority w:val="0"/>
    <w:rPr>
      <w:rFonts w:ascii="Times New Roman" w:hAnsi="Times New Roman"/>
      <w:szCs w:val="24"/>
    </w:rPr>
  </w:style>
  <w:style w:type="paragraph" w:customStyle="1" w:styleId="531">
    <w:name w:val="xl102"/>
    <w:basedOn w:val="1"/>
    <w:qFormat/>
    <w:uiPriority w:val="0"/>
    <w:pPr>
      <w:widowControl/>
      <w:pBdr>
        <w:right w:val="single" w:color="auto" w:sz="8" w:space="0"/>
      </w:pBdr>
      <w:spacing w:before="100" w:beforeAutospacing="1" w:after="100" w:afterAutospacing="1"/>
      <w:jc w:val="center"/>
    </w:pPr>
    <w:rPr>
      <w:rFonts w:ascii="Times New Roman" w:hAnsi="Times New Roman" w:eastAsia="Arial Unicode MS"/>
      <w:kern w:val="0"/>
      <w:sz w:val="22"/>
      <w:szCs w:val="22"/>
    </w:rPr>
  </w:style>
  <w:style w:type="paragraph" w:customStyle="1" w:styleId="532">
    <w:name w:val="xl101"/>
    <w:basedOn w:val="1"/>
    <w:qFormat/>
    <w:uiPriority w:val="0"/>
    <w:pPr>
      <w:widowControl/>
      <w:pBdr>
        <w:bottom w:val="single" w:color="auto" w:sz="4" w:space="0"/>
        <w:right w:val="single" w:color="auto" w:sz="8" w:space="0"/>
      </w:pBdr>
      <w:spacing w:before="100" w:beforeAutospacing="1" w:after="100" w:afterAutospacing="1"/>
    </w:pPr>
    <w:rPr>
      <w:rFonts w:ascii="Times New Roman" w:hAnsi="Times New Roman" w:eastAsia="Arial Unicode MS"/>
      <w:kern w:val="0"/>
      <w:sz w:val="22"/>
      <w:szCs w:val="22"/>
    </w:rPr>
  </w:style>
  <w:style w:type="paragraph" w:customStyle="1" w:styleId="533">
    <w:name w:val="xl22"/>
    <w:basedOn w:val="1"/>
    <w:qFormat/>
    <w:uiPriority w:val="0"/>
    <w:pPr>
      <w:widowControl/>
      <w:spacing w:before="100" w:beforeAutospacing="1" w:after="100" w:afterAutospacing="1"/>
      <w:jc w:val="center"/>
    </w:pPr>
    <w:rPr>
      <w:rFonts w:hint="eastAsia" w:ascii="宋体" w:hAnsi="宋体"/>
      <w:kern w:val="0"/>
      <w:sz w:val="24"/>
      <w:szCs w:val="24"/>
    </w:rPr>
  </w:style>
  <w:style w:type="paragraph" w:customStyle="1" w:styleId="534">
    <w:name w:val="PP 行"/>
    <w:basedOn w:val="43"/>
    <w:qFormat/>
    <w:uiPriority w:val="0"/>
  </w:style>
  <w:style w:type="paragraph" w:customStyle="1" w:styleId="535">
    <w:name w:val="font1"/>
    <w:basedOn w:val="1"/>
    <w:qFormat/>
    <w:uiPriority w:val="0"/>
    <w:pPr>
      <w:widowControl/>
      <w:spacing w:before="100" w:beforeAutospacing="1" w:after="100" w:afterAutospacing="1"/>
      <w:jc w:val="left"/>
    </w:pPr>
    <w:rPr>
      <w:rFonts w:hint="eastAsia" w:ascii="宋体" w:hAnsi="宋体"/>
      <w:kern w:val="0"/>
      <w:sz w:val="24"/>
      <w:szCs w:val="24"/>
    </w:rPr>
  </w:style>
  <w:style w:type="character" w:customStyle="1" w:styleId="536">
    <w:name w:val="表名 Char"/>
    <w:qFormat/>
    <w:uiPriority w:val="0"/>
    <w:rPr>
      <w:rFonts w:ascii="宋体" w:hAnsi="Courier New" w:eastAsia="仿宋_GB2312" w:cs="Courier New"/>
      <w:b/>
      <w:sz w:val="28"/>
      <w:szCs w:val="21"/>
    </w:rPr>
  </w:style>
  <w:style w:type="character" w:customStyle="1" w:styleId="537">
    <w:name w:val="zt1"/>
    <w:basedOn w:val="74"/>
    <w:qFormat/>
    <w:uiPriority w:val="0"/>
  </w:style>
  <w:style w:type="paragraph" w:customStyle="1" w:styleId="538">
    <w:name w:val="样式 左侧:  0.98 厘米"/>
    <w:basedOn w:val="1"/>
    <w:qFormat/>
    <w:uiPriority w:val="0"/>
    <w:pPr>
      <w:adjustRightInd w:val="0"/>
      <w:snapToGrid w:val="0"/>
      <w:spacing w:line="490" w:lineRule="exact"/>
      <w:ind w:firstLine="560" w:firstLineChars="200"/>
    </w:pPr>
    <w:rPr>
      <w:rFonts w:ascii="Times New Roman" w:hAnsi="Times New Roman" w:eastAsia="仿宋_GB2312"/>
      <w:sz w:val="28"/>
      <w:szCs w:val="20"/>
    </w:rPr>
  </w:style>
  <w:style w:type="paragraph" w:customStyle="1" w:styleId="539">
    <w:name w:val="样式 样式 表格 + 左侧:  0.98 厘米 + 居中"/>
    <w:basedOn w:val="1"/>
    <w:qFormat/>
    <w:uiPriority w:val="0"/>
    <w:pPr>
      <w:adjustRightInd w:val="0"/>
      <w:snapToGrid w:val="0"/>
      <w:spacing w:before="100" w:beforeAutospacing="1" w:after="100" w:afterAutospacing="1" w:line="300" w:lineRule="auto"/>
      <w:jc w:val="center"/>
    </w:pPr>
    <w:rPr>
      <w:rFonts w:ascii="Arial" w:hAnsi="Arial"/>
      <w:snapToGrid w:val="0"/>
      <w:kern w:val="0"/>
      <w:szCs w:val="20"/>
    </w:rPr>
  </w:style>
  <w:style w:type="paragraph" w:customStyle="1" w:styleId="540">
    <w:name w:val="样式 样式 正文文本缩进 + 段后: 0 磅 + 首行缩进:  2 字符"/>
    <w:basedOn w:val="1"/>
    <w:qFormat/>
    <w:uiPriority w:val="0"/>
    <w:pPr>
      <w:spacing w:line="360" w:lineRule="auto"/>
      <w:ind w:firstLine="480" w:firstLineChars="200"/>
    </w:pPr>
    <w:rPr>
      <w:rFonts w:ascii="宋体" w:hAnsi="宋体" w:cs="宋体"/>
      <w:sz w:val="24"/>
      <w:szCs w:val="20"/>
    </w:rPr>
  </w:style>
  <w:style w:type="paragraph" w:customStyle="1" w:styleId="541">
    <w:name w:val="样式 正文首行缩进 + 首行缩进:  1 字符"/>
    <w:basedOn w:val="69"/>
    <w:next w:val="69"/>
    <w:qFormat/>
    <w:uiPriority w:val="0"/>
    <w:pPr>
      <w:adjustRightInd/>
      <w:snapToGrid/>
    </w:pPr>
    <w:rPr>
      <w:rFonts w:cs="宋体"/>
      <w:kern w:val="0"/>
      <w:szCs w:val="24"/>
    </w:rPr>
  </w:style>
  <w:style w:type="paragraph" w:customStyle="1" w:styleId="542">
    <w:name w:val="14"/>
    <w:basedOn w:val="1"/>
    <w:next w:val="17"/>
    <w:qFormat/>
    <w:uiPriority w:val="0"/>
    <w:pPr>
      <w:spacing w:line="420" w:lineRule="exact"/>
      <w:ind w:firstLine="480"/>
    </w:pPr>
    <w:rPr>
      <w:rFonts w:ascii="Times New Roman" w:hAnsi="Times New Roman"/>
      <w:szCs w:val="20"/>
    </w:rPr>
  </w:style>
  <w:style w:type="paragraph" w:customStyle="1" w:styleId="543">
    <w:name w:val="默认段落字体 Para Char Char Char Char Char Char Char Char Char Char"/>
    <w:basedOn w:val="1"/>
    <w:qFormat/>
    <w:uiPriority w:val="0"/>
    <w:rPr>
      <w:rFonts w:ascii="Times New Roman" w:hAnsi="Times New Roman"/>
      <w:szCs w:val="24"/>
    </w:rPr>
  </w:style>
  <w:style w:type="paragraph" w:customStyle="1" w:styleId="544">
    <w:name w:val="11"/>
    <w:basedOn w:val="1"/>
    <w:qFormat/>
    <w:uiPriority w:val="0"/>
    <w:pPr>
      <w:spacing w:line="360" w:lineRule="auto"/>
      <w:ind w:firstLine="200" w:firstLineChars="200"/>
    </w:pPr>
    <w:rPr>
      <w:rFonts w:ascii="宋体" w:hAnsi="宋体" w:cs="宋体"/>
      <w:sz w:val="24"/>
      <w:szCs w:val="24"/>
    </w:rPr>
  </w:style>
  <w:style w:type="paragraph" w:customStyle="1" w:styleId="545">
    <w:name w:val="9"/>
    <w:basedOn w:val="1"/>
    <w:next w:val="30"/>
    <w:qFormat/>
    <w:uiPriority w:val="0"/>
    <w:pPr>
      <w:adjustRightInd w:val="0"/>
      <w:spacing w:afterLines="20" w:line="400" w:lineRule="exact"/>
      <w:jc w:val="center"/>
      <w:textAlignment w:val="baseline"/>
    </w:pPr>
    <w:rPr>
      <w:rFonts w:ascii="Times New Roman" w:hAnsi="Times New Roman"/>
      <w:b/>
      <w:szCs w:val="24"/>
    </w:rPr>
  </w:style>
  <w:style w:type="paragraph" w:customStyle="1" w:styleId="546">
    <w:name w:val="XCHG论文正文 Char Char Char Char"/>
    <w:basedOn w:val="1"/>
    <w:qFormat/>
    <w:uiPriority w:val="0"/>
    <w:pPr>
      <w:spacing w:line="288" w:lineRule="auto"/>
      <w:ind w:firstLine="480" w:firstLineChars="200"/>
    </w:pPr>
    <w:rPr>
      <w:rFonts w:ascii="Times New Roman" w:hAnsi="Times New Roman"/>
      <w:color w:val="000000"/>
      <w:sz w:val="24"/>
      <w:szCs w:val="24"/>
    </w:rPr>
  </w:style>
  <w:style w:type="character" w:customStyle="1" w:styleId="547">
    <w:name w:val="XCHG论文正文 Char Char Char Char Char"/>
    <w:qFormat/>
    <w:uiPriority w:val="0"/>
    <w:rPr>
      <w:rFonts w:eastAsia="宋体"/>
      <w:color w:val="000000"/>
      <w:kern w:val="2"/>
      <w:sz w:val="24"/>
      <w:szCs w:val="24"/>
      <w:lang w:val="en-US" w:eastAsia="zh-CN" w:bidi="ar-SA"/>
    </w:rPr>
  </w:style>
  <w:style w:type="character" w:customStyle="1" w:styleId="548">
    <w:name w:val="普通文字 Char Char Char Char Char Char Char Char Char Char Char Char Char Char Char Char Char Char Char Char Char Char Char Char1 Char Char Char"/>
    <w:qFormat/>
    <w:uiPriority w:val="0"/>
    <w:rPr>
      <w:rFonts w:ascii="宋体" w:hAnsi="Courier New" w:eastAsia="宋体"/>
      <w:kern w:val="2"/>
      <w:sz w:val="21"/>
      <w:lang w:val="en-US" w:eastAsia="zh-CN" w:bidi="ar-SA"/>
    </w:rPr>
  </w:style>
  <w:style w:type="character" w:customStyle="1" w:styleId="549">
    <w:name w:val="XCHG论文正文 Char Char"/>
    <w:qFormat/>
    <w:uiPriority w:val="0"/>
    <w:rPr>
      <w:rFonts w:eastAsia="宋体"/>
      <w:color w:val="000000"/>
      <w:kern w:val="2"/>
      <w:sz w:val="24"/>
      <w:szCs w:val="24"/>
      <w:lang w:val="en-US" w:eastAsia="zh-CN" w:bidi="ar-SA"/>
    </w:rPr>
  </w:style>
  <w:style w:type="paragraph" w:customStyle="1" w:styleId="550">
    <w:name w:val="XCHG论文正文 Char Char Char"/>
    <w:basedOn w:val="1"/>
    <w:qFormat/>
    <w:uiPriority w:val="0"/>
    <w:pPr>
      <w:spacing w:line="288" w:lineRule="auto"/>
      <w:ind w:firstLine="480" w:firstLineChars="200"/>
    </w:pPr>
    <w:rPr>
      <w:rFonts w:ascii="Times New Roman" w:hAnsi="Times New Roman"/>
      <w:color w:val="000000"/>
      <w:sz w:val="24"/>
      <w:szCs w:val="24"/>
    </w:rPr>
  </w:style>
  <w:style w:type="paragraph" w:customStyle="1" w:styleId="551">
    <w:name w:val="13"/>
    <w:basedOn w:val="1"/>
    <w:next w:val="17"/>
    <w:qFormat/>
    <w:uiPriority w:val="0"/>
    <w:pPr>
      <w:spacing w:line="420" w:lineRule="exact"/>
      <w:ind w:firstLine="480"/>
    </w:pPr>
    <w:rPr>
      <w:rFonts w:ascii="Times New Roman" w:hAnsi="Times New Roman"/>
      <w:szCs w:val="20"/>
    </w:rPr>
  </w:style>
  <w:style w:type="paragraph" w:customStyle="1" w:styleId="552">
    <w:name w:val="12"/>
    <w:basedOn w:val="1"/>
    <w:next w:val="17"/>
    <w:qFormat/>
    <w:uiPriority w:val="0"/>
    <w:pPr>
      <w:spacing w:line="420" w:lineRule="exact"/>
      <w:ind w:firstLine="480"/>
    </w:pPr>
    <w:rPr>
      <w:rFonts w:ascii="Times New Roman" w:hAnsi="Times New Roman"/>
      <w:szCs w:val="20"/>
    </w:rPr>
  </w:style>
  <w:style w:type="character" w:customStyle="1" w:styleId="553">
    <w:name w:val="表格 Char Char Char"/>
    <w:qFormat/>
    <w:uiPriority w:val="0"/>
    <w:rPr>
      <w:rFonts w:ascii="宋体" w:hAnsi="宋体" w:eastAsia="宋体"/>
      <w:sz w:val="21"/>
      <w:szCs w:val="21"/>
      <w:lang w:val="en-US" w:eastAsia="zh-CN" w:bidi="ar-SA"/>
    </w:rPr>
  </w:style>
  <w:style w:type="character" w:customStyle="1" w:styleId="554">
    <w:name w:val="特点1"/>
    <w:qFormat/>
    <w:uiPriority w:val="0"/>
    <w:rPr>
      <w:rFonts w:eastAsia="宋体"/>
      <w:kern w:val="2"/>
      <w:sz w:val="24"/>
      <w:lang w:val="en-US" w:eastAsia="zh-CN" w:bidi="ar-SA"/>
    </w:rPr>
  </w:style>
  <w:style w:type="character" w:customStyle="1" w:styleId="555">
    <w:name w:val="表格 Char Char Char Char"/>
    <w:qFormat/>
    <w:uiPriority w:val="0"/>
    <w:rPr>
      <w:rFonts w:ascii="宋体" w:hAnsi="宋体" w:eastAsia="宋体"/>
      <w:kern w:val="2"/>
      <w:sz w:val="21"/>
      <w:szCs w:val="21"/>
      <w:lang w:val="en-US" w:eastAsia="zh-CN" w:bidi="ar-SA"/>
    </w:rPr>
  </w:style>
  <w:style w:type="character" w:customStyle="1" w:styleId="556">
    <w:name w:val="XCHG论文正文 Char Char Char Char Char Char"/>
    <w:qFormat/>
    <w:uiPriority w:val="0"/>
    <w:rPr>
      <w:rFonts w:eastAsia="宋体"/>
      <w:color w:val="000000"/>
      <w:kern w:val="2"/>
      <w:sz w:val="24"/>
      <w:szCs w:val="24"/>
      <w:lang w:val="en-US" w:eastAsia="zh-CN" w:bidi="ar-SA"/>
    </w:rPr>
  </w:style>
  <w:style w:type="paragraph" w:customStyle="1" w:styleId="557">
    <w:name w:val="Char Char Char Char Char Char Char Char Char2 Char 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558">
    <w:name w:val="12 Char Char Char"/>
    <w:basedOn w:val="1"/>
    <w:qFormat/>
    <w:uiPriority w:val="0"/>
    <w:pPr>
      <w:spacing w:line="360" w:lineRule="auto"/>
      <w:ind w:firstLine="200" w:firstLineChars="200"/>
    </w:pPr>
    <w:rPr>
      <w:rFonts w:ascii="宋体" w:hAnsi="宋体" w:cs="宋体"/>
      <w:sz w:val="24"/>
      <w:szCs w:val="24"/>
    </w:rPr>
  </w:style>
  <w:style w:type="paragraph" w:customStyle="1" w:styleId="559">
    <w:name w:val="Char Char Char Char Char Char Char Char Char1"/>
    <w:basedOn w:val="1"/>
    <w:qFormat/>
    <w:uiPriority w:val="0"/>
    <w:pPr>
      <w:spacing w:line="360" w:lineRule="auto"/>
      <w:ind w:firstLine="200" w:firstLineChars="200"/>
    </w:pPr>
    <w:rPr>
      <w:rFonts w:ascii="宋体" w:hAnsi="宋体" w:cs="宋体"/>
      <w:sz w:val="24"/>
      <w:szCs w:val="24"/>
    </w:rPr>
  </w:style>
  <w:style w:type="paragraph" w:customStyle="1" w:styleId="560">
    <w:name w:val="表格 Char Char Char Char Char"/>
    <w:basedOn w:val="1"/>
    <w:link w:val="561"/>
    <w:qFormat/>
    <w:uiPriority w:val="0"/>
    <w:pPr>
      <w:widowControl/>
      <w:adjustRightInd w:val="0"/>
      <w:snapToGrid w:val="0"/>
      <w:jc w:val="center"/>
    </w:pPr>
    <w:rPr>
      <w:rFonts w:ascii="宋体" w:hAnsi="宋体"/>
      <w:kern w:val="0"/>
      <w:sz w:val="20"/>
    </w:rPr>
  </w:style>
  <w:style w:type="character" w:customStyle="1" w:styleId="561">
    <w:name w:val="表格 Char Char Char Char Char Char"/>
    <w:link w:val="560"/>
    <w:qFormat/>
    <w:uiPriority w:val="0"/>
    <w:rPr>
      <w:rFonts w:ascii="宋体" w:hAnsi="宋体"/>
      <w:szCs w:val="21"/>
    </w:rPr>
  </w:style>
  <w:style w:type="paragraph" w:customStyle="1" w:styleId="562">
    <w:name w:val="XCHG论文正文 Char Char Char Char Char Char Char"/>
    <w:basedOn w:val="1"/>
    <w:link w:val="563"/>
    <w:qFormat/>
    <w:uiPriority w:val="0"/>
    <w:pPr>
      <w:spacing w:line="288" w:lineRule="auto"/>
      <w:ind w:firstLine="480" w:firstLineChars="200"/>
    </w:pPr>
    <w:rPr>
      <w:rFonts w:ascii="Times New Roman" w:hAnsi="Times New Roman"/>
      <w:color w:val="000000"/>
      <w:kern w:val="0"/>
      <w:sz w:val="24"/>
      <w:szCs w:val="24"/>
    </w:rPr>
  </w:style>
  <w:style w:type="character" w:customStyle="1" w:styleId="563">
    <w:name w:val="XCHG论文正文 Char Char Char Char Char Char Char Char"/>
    <w:link w:val="562"/>
    <w:qFormat/>
    <w:uiPriority w:val="0"/>
    <w:rPr>
      <w:color w:val="000000"/>
      <w:sz w:val="24"/>
      <w:szCs w:val="24"/>
    </w:rPr>
  </w:style>
  <w:style w:type="character" w:customStyle="1" w:styleId="564">
    <w:name w:val="文本条款 Char"/>
    <w:qFormat/>
    <w:uiPriority w:val="0"/>
    <w:rPr>
      <w:rFonts w:eastAsia="宋体"/>
      <w:kern w:val="2"/>
      <w:sz w:val="24"/>
      <w:lang w:val="en-US" w:eastAsia="zh-CN" w:bidi="ar-SA"/>
    </w:rPr>
  </w:style>
  <w:style w:type="paragraph" w:customStyle="1" w:styleId="565">
    <w:name w:val="12 Char Char Char Char Char Char"/>
    <w:basedOn w:val="1"/>
    <w:qFormat/>
    <w:uiPriority w:val="0"/>
    <w:pPr>
      <w:spacing w:line="360" w:lineRule="auto"/>
      <w:ind w:firstLine="200" w:firstLineChars="200"/>
    </w:pPr>
    <w:rPr>
      <w:rFonts w:ascii="宋体" w:hAnsi="宋体" w:cs="宋体"/>
      <w:sz w:val="24"/>
      <w:szCs w:val="24"/>
    </w:rPr>
  </w:style>
  <w:style w:type="character" w:customStyle="1" w:styleId="566">
    <w:name w:val="s4 Char Char1"/>
    <w:qFormat/>
    <w:uiPriority w:val="0"/>
    <w:rPr>
      <w:rFonts w:eastAsia="宋体"/>
      <w:kern w:val="2"/>
      <w:sz w:val="24"/>
      <w:lang w:val="en-US" w:eastAsia="zh-CN" w:bidi="ar-SA"/>
    </w:rPr>
  </w:style>
  <w:style w:type="character" w:customStyle="1" w:styleId="567">
    <w:name w:val="表格 Char Char Char Char Char Char Char"/>
    <w:qFormat/>
    <w:uiPriority w:val="0"/>
    <w:rPr>
      <w:rFonts w:ascii="宋体" w:hAnsi="宋体" w:eastAsia="宋体"/>
      <w:kern w:val="2"/>
      <w:sz w:val="21"/>
      <w:szCs w:val="21"/>
      <w:lang w:val="en-US" w:eastAsia="zh-CN" w:bidi="ar-SA"/>
    </w:rPr>
  </w:style>
  <w:style w:type="character" w:customStyle="1" w:styleId="568">
    <w:name w:val="XCHG论文正文 Char Char Char Char Char Char Char Char Char"/>
    <w:qFormat/>
    <w:uiPriority w:val="0"/>
    <w:rPr>
      <w:rFonts w:eastAsia="宋体"/>
      <w:color w:val="000000"/>
      <w:kern w:val="2"/>
      <w:sz w:val="24"/>
      <w:szCs w:val="24"/>
      <w:lang w:val="en-US" w:eastAsia="zh-CN" w:bidi="ar-SA"/>
    </w:rPr>
  </w:style>
  <w:style w:type="paragraph" w:customStyle="1" w:styleId="569">
    <w:name w:val="12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570">
    <w:name w:val="样式 宋体 小五 居中2"/>
    <w:basedOn w:val="1"/>
    <w:qFormat/>
    <w:uiPriority w:val="0"/>
    <w:pPr>
      <w:spacing w:line="420" w:lineRule="exact"/>
      <w:ind w:firstLine="425"/>
      <w:jc w:val="center"/>
    </w:pPr>
    <w:rPr>
      <w:rFonts w:ascii="宋体" w:hAnsi="宋体" w:cs="宋体"/>
      <w:kern w:val="0"/>
      <w:sz w:val="18"/>
      <w:szCs w:val="20"/>
    </w:rPr>
  </w:style>
  <w:style w:type="character" w:customStyle="1" w:styleId="571">
    <w:name w:val="表格 Char Char Char Char Char Char Char Char"/>
    <w:qFormat/>
    <w:uiPriority w:val="0"/>
    <w:rPr>
      <w:rFonts w:ascii="宋体" w:hAnsi="宋体" w:eastAsia="宋体"/>
      <w:kern w:val="2"/>
      <w:sz w:val="21"/>
      <w:szCs w:val="21"/>
      <w:lang w:val="en-US" w:eastAsia="zh-CN" w:bidi="ar-SA"/>
    </w:rPr>
  </w:style>
  <w:style w:type="character" w:customStyle="1" w:styleId="572">
    <w:name w:val="XCHG论文正文 Char Char Char Char Char Char Char Char Char Char"/>
    <w:qFormat/>
    <w:uiPriority w:val="0"/>
    <w:rPr>
      <w:rFonts w:eastAsia="宋体"/>
      <w:color w:val="000000"/>
      <w:kern w:val="2"/>
      <w:sz w:val="24"/>
      <w:szCs w:val="24"/>
      <w:lang w:val="en-US" w:eastAsia="zh-CN" w:bidi="ar-SA"/>
    </w:rPr>
  </w:style>
  <w:style w:type="paragraph" w:customStyle="1" w:styleId="573">
    <w:name w:val="正文 1"/>
    <w:basedOn w:val="1"/>
    <w:qFormat/>
    <w:uiPriority w:val="0"/>
    <w:pPr>
      <w:spacing w:line="480" w:lineRule="exact"/>
      <w:ind w:firstLine="567"/>
    </w:pPr>
    <w:rPr>
      <w:rFonts w:ascii="Times New Roman" w:hAnsi="Times New Roman"/>
      <w:sz w:val="28"/>
      <w:szCs w:val="20"/>
    </w:rPr>
  </w:style>
  <w:style w:type="paragraph" w:customStyle="1" w:styleId="574">
    <w:name w:val="默认段落字体 Para Char Char Char Char Char Char Char Char Char Char1 Char Char Char Char"/>
    <w:basedOn w:val="1"/>
    <w:qFormat/>
    <w:uiPriority w:val="0"/>
    <w:rPr>
      <w:rFonts w:ascii="Times New Roman" w:hAnsi="Times New Roman"/>
      <w:szCs w:val="24"/>
    </w:rPr>
  </w:style>
  <w:style w:type="paragraph" w:customStyle="1" w:styleId="575">
    <w:name w:val="样式 小四 居中"/>
    <w:qFormat/>
    <w:uiPriority w:val="0"/>
    <w:pPr>
      <w:widowControl w:val="0"/>
      <w:spacing w:before="60" w:after="60"/>
      <w:jc w:val="center"/>
    </w:pPr>
    <w:rPr>
      <w:rFonts w:ascii="楷体_GB2312" w:hAnsi="Times New Roman" w:eastAsia="楷体_GB2312" w:cs="Times New Roman"/>
      <w:bCs/>
      <w:kern w:val="2"/>
      <w:sz w:val="24"/>
      <w:szCs w:val="24"/>
      <w:lang w:val="en-US" w:eastAsia="zh-CN" w:bidi="ar-SA"/>
    </w:rPr>
  </w:style>
  <w:style w:type="paragraph" w:customStyle="1" w:styleId="576">
    <w:name w:val="Char Char Char Char Char Char Char Char Char2 Char Char Char Char Char Char Char Char Char Char Char Char1"/>
    <w:basedOn w:val="1"/>
    <w:qFormat/>
    <w:uiPriority w:val="0"/>
    <w:pPr>
      <w:spacing w:line="360" w:lineRule="auto"/>
      <w:ind w:firstLine="200" w:firstLineChars="200"/>
    </w:pPr>
    <w:rPr>
      <w:rFonts w:ascii="宋体" w:hAnsi="宋体" w:cs="宋体"/>
      <w:sz w:val="24"/>
      <w:szCs w:val="24"/>
    </w:rPr>
  </w:style>
  <w:style w:type="paragraph" w:customStyle="1" w:styleId="577">
    <w:name w:val="WPS Plain"/>
    <w:qFormat/>
    <w:uiPriority w:val="0"/>
    <w:rPr>
      <w:rFonts w:ascii="Times New Roman" w:hAnsi="Times New Roman" w:eastAsia="宋体" w:cs="Times New Roman"/>
      <w:lang w:val="en-US" w:eastAsia="zh-CN" w:bidi="ar-SA"/>
    </w:rPr>
  </w:style>
  <w:style w:type="paragraph" w:customStyle="1" w:styleId="578">
    <w:name w:val="1 Char Char Char Char Char Char Char"/>
    <w:basedOn w:val="1"/>
    <w:qFormat/>
    <w:uiPriority w:val="0"/>
    <w:rPr>
      <w:rFonts w:ascii="Times New Roman" w:hAnsi="Times New Roman"/>
      <w:bCs/>
      <w:kern w:val="0"/>
      <w:szCs w:val="24"/>
    </w:rPr>
  </w:style>
  <w:style w:type="paragraph" w:customStyle="1" w:styleId="579">
    <w:name w:val="Char Char Char Char Char Char Char Char Char Char1"/>
    <w:basedOn w:val="1"/>
    <w:qFormat/>
    <w:uiPriority w:val="0"/>
    <w:pPr>
      <w:spacing w:line="360" w:lineRule="auto"/>
      <w:ind w:firstLine="200" w:firstLineChars="200"/>
    </w:pPr>
    <w:rPr>
      <w:rFonts w:ascii="宋体" w:hAnsi="宋体" w:cs="宋体"/>
      <w:sz w:val="24"/>
      <w:szCs w:val="24"/>
    </w:rPr>
  </w:style>
  <w:style w:type="character" w:customStyle="1" w:styleId="580">
    <w:name w:val="标题 4 Char Char Char1"/>
    <w:qFormat/>
    <w:uiPriority w:val="0"/>
    <w:rPr>
      <w:rFonts w:ascii="Arial" w:hAnsi="Arial" w:eastAsia="黑体"/>
      <w:b/>
      <w:bCs/>
      <w:kern w:val="2"/>
      <w:sz w:val="28"/>
      <w:szCs w:val="28"/>
      <w:lang w:val="en-US" w:eastAsia="zh-CN" w:bidi="ar-SA"/>
    </w:rPr>
  </w:style>
  <w:style w:type="paragraph" w:customStyle="1" w:styleId="581">
    <w:name w:val="表格（小）"/>
    <w:basedOn w:val="1"/>
    <w:qFormat/>
    <w:uiPriority w:val="0"/>
    <w:pPr>
      <w:adjustRightInd w:val="0"/>
      <w:snapToGrid w:val="0"/>
    </w:pPr>
    <w:rPr>
      <w:rFonts w:ascii="Times New Roman" w:hAnsi="Times New Roman"/>
      <w:kern w:val="0"/>
      <w:szCs w:val="20"/>
    </w:rPr>
  </w:style>
  <w:style w:type="paragraph" w:customStyle="1" w:styleId="582">
    <w:name w:val="样式 haydonli + 首行缩进:  2 字符"/>
    <w:basedOn w:val="1"/>
    <w:qFormat/>
    <w:uiPriority w:val="0"/>
    <w:pPr>
      <w:adjustRightInd w:val="0"/>
      <w:snapToGrid w:val="0"/>
      <w:spacing w:line="420" w:lineRule="exact"/>
      <w:ind w:firstLine="480" w:firstLineChars="200"/>
    </w:pPr>
    <w:rPr>
      <w:rFonts w:ascii="宋体" w:hAnsi="宋体" w:cs="宋体"/>
      <w:kern w:val="0"/>
      <w:sz w:val="24"/>
      <w:szCs w:val="24"/>
    </w:rPr>
  </w:style>
  <w:style w:type="paragraph" w:customStyle="1" w:styleId="583">
    <w:name w:val="haydonli"/>
    <w:basedOn w:val="1"/>
    <w:link w:val="619"/>
    <w:qFormat/>
    <w:uiPriority w:val="0"/>
    <w:pPr>
      <w:snapToGrid w:val="0"/>
      <w:ind w:firstLine="420" w:firstLineChars="200"/>
      <w:jc w:val="center"/>
    </w:pPr>
    <w:rPr>
      <w:rFonts w:ascii="宋体" w:hAnsi="宋体"/>
      <w:snapToGrid w:val="0"/>
      <w:color w:val="000000"/>
      <w:kern w:val="0"/>
      <w:sz w:val="20"/>
    </w:rPr>
  </w:style>
  <w:style w:type="paragraph" w:customStyle="1" w:styleId="584">
    <w:name w:val="Char Char Char Char Char Char Char Char Char Char Char Char Char2"/>
    <w:basedOn w:val="1"/>
    <w:qFormat/>
    <w:uiPriority w:val="0"/>
    <w:pPr>
      <w:tabs>
        <w:tab w:val="left" w:pos="1191"/>
      </w:tabs>
      <w:spacing w:line="360" w:lineRule="auto"/>
      <w:ind w:firstLine="200" w:firstLineChars="200"/>
    </w:pPr>
    <w:rPr>
      <w:rFonts w:ascii="宋体" w:hAnsi="宋体" w:cs="宋体"/>
      <w:sz w:val="24"/>
      <w:szCs w:val="24"/>
    </w:rPr>
  </w:style>
  <w:style w:type="paragraph" w:customStyle="1" w:styleId="585">
    <w:name w:val="表后文"/>
    <w:basedOn w:val="1"/>
    <w:qFormat/>
    <w:uiPriority w:val="0"/>
    <w:pPr>
      <w:tabs>
        <w:tab w:val="left" w:pos="1191"/>
      </w:tabs>
      <w:adjustRightInd w:val="0"/>
      <w:spacing w:before="120" w:line="400" w:lineRule="exact"/>
      <w:ind w:firstLine="601"/>
      <w:textAlignment w:val="baseline"/>
    </w:pPr>
    <w:rPr>
      <w:rFonts w:ascii="Times New Roman" w:hAnsi="Times New Roman" w:eastAsia="楷体_GB2312"/>
      <w:spacing w:val="8"/>
      <w:kern w:val="0"/>
      <w:sz w:val="28"/>
      <w:szCs w:val="20"/>
    </w:rPr>
  </w:style>
  <w:style w:type="character" w:customStyle="1" w:styleId="586">
    <w:name w:val="正文文字 2 Char Char"/>
    <w:qFormat/>
    <w:uiPriority w:val="0"/>
    <w:rPr>
      <w:rFonts w:eastAsia="宋体"/>
      <w:kern w:val="2"/>
      <w:sz w:val="18"/>
      <w:szCs w:val="24"/>
      <w:lang w:val="en-US" w:eastAsia="zh-CN" w:bidi="ar-SA"/>
    </w:rPr>
  </w:style>
  <w:style w:type="paragraph" w:customStyle="1" w:styleId="587">
    <w:name w:val="Char Char Char Char Char Char Char Char Char Char Char Char Char3"/>
    <w:basedOn w:val="1"/>
    <w:qFormat/>
    <w:uiPriority w:val="0"/>
    <w:pPr>
      <w:spacing w:line="360" w:lineRule="auto"/>
      <w:ind w:firstLine="200" w:firstLineChars="200"/>
    </w:pPr>
    <w:rPr>
      <w:rFonts w:ascii="宋体" w:hAnsi="宋体" w:cs="宋体"/>
      <w:sz w:val="24"/>
      <w:szCs w:val="24"/>
    </w:rPr>
  </w:style>
  <w:style w:type="paragraph" w:customStyle="1" w:styleId="588">
    <w:name w:val="Char Char Char Char 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589">
    <w:name w:val="12 Char"/>
    <w:basedOn w:val="1"/>
    <w:qFormat/>
    <w:uiPriority w:val="0"/>
    <w:pPr>
      <w:spacing w:line="360" w:lineRule="auto"/>
      <w:ind w:firstLine="200" w:firstLineChars="200"/>
    </w:pPr>
    <w:rPr>
      <w:rFonts w:ascii="宋体" w:hAnsi="宋体" w:cs="宋体"/>
      <w:sz w:val="24"/>
      <w:szCs w:val="24"/>
    </w:rPr>
  </w:style>
  <w:style w:type="paragraph" w:customStyle="1" w:styleId="590">
    <w:name w:val="Char Char Char Char Char Char Char Char Char Char Char Char Char Char Char Char"/>
    <w:basedOn w:val="1"/>
    <w:qFormat/>
    <w:uiPriority w:val="0"/>
    <w:pPr>
      <w:spacing w:line="360" w:lineRule="auto"/>
      <w:ind w:firstLine="200" w:firstLineChars="200"/>
    </w:pPr>
    <w:rPr>
      <w:rFonts w:ascii="宋体" w:hAnsi="宋体" w:cs="宋体"/>
      <w:sz w:val="24"/>
      <w:szCs w:val="24"/>
    </w:rPr>
  </w:style>
  <w:style w:type="paragraph" w:customStyle="1" w:styleId="591">
    <w:name w:val="Char Char Char1"/>
    <w:basedOn w:val="1"/>
    <w:qFormat/>
    <w:uiPriority w:val="0"/>
    <w:pPr>
      <w:spacing w:line="360" w:lineRule="auto"/>
      <w:ind w:firstLine="200" w:firstLineChars="200"/>
    </w:pPr>
    <w:rPr>
      <w:rFonts w:ascii="宋体" w:hAnsi="宋体" w:cs="宋体"/>
      <w:sz w:val="24"/>
      <w:szCs w:val="24"/>
    </w:rPr>
  </w:style>
  <w:style w:type="paragraph" w:customStyle="1" w:styleId="592">
    <w:name w:val="样式 正文文本缩进 3正文文字缩进 3 + 首行缩进:  1.18 厘米"/>
    <w:basedOn w:val="54"/>
    <w:qFormat/>
    <w:uiPriority w:val="0"/>
    <w:pPr>
      <w:tabs>
        <w:tab w:val="left" w:pos="8790"/>
      </w:tabs>
      <w:adjustRightInd w:val="0"/>
      <w:snapToGrid w:val="0"/>
      <w:spacing w:before="40" w:after="0" w:line="276" w:lineRule="auto"/>
      <w:ind w:left="-37" w:leftChars="0" w:firstLine="667"/>
    </w:pPr>
    <w:rPr>
      <w:rFonts w:ascii="Arial" w:hAnsi="Arial" w:cs="宋体"/>
      <w:snapToGrid w:val="0"/>
      <w:color w:val="000000"/>
      <w:spacing w:val="6"/>
      <w:kern w:val="28"/>
      <w:sz w:val="24"/>
      <w:szCs w:val="20"/>
    </w:rPr>
  </w:style>
  <w:style w:type="paragraph" w:customStyle="1" w:styleId="593">
    <w:name w:val="Char Char Char Char Char Char Char Char1 Char Char Char Char"/>
    <w:basedOn w:val="1"/>
    <w:qFormat/>
    <w:uiPriority w:val="0"/>
    <w:rPr>
      <w:rFonts w:ascii="Times New Roman" w:hAnsi="Times New Roman"/>
      <w:szCs w:val="24"/>
    </w:rPr>
  </w:style>
  <w:style w:type="paragraph" w:customStyle="1" w:styleId="594">
    <w:name w:val="样式 观音岩正文段落 + 段前: 0.5 行 段后: 0.5 行"/>
    <w:basedOn w:val="1"/>
    <w:qFormat/>
    <w:uiPriority w:val="0"/>
    <w:pPr>
      <w:adjustRightInd w:val="0"/>
      <w:snapToGrid w:val="0"/>
      <w:spacing w:line="360" w:lineRule="auto"/>
      <w:ind w:firstLine="482"/>
    </w:pPr>
    <w:rPr>
      <w:rFonts w:ascii="Arial" w:hAnsi="Arial" w:cs="宋体"/>
      <w:sz w:val="24"/>
      <w:szCs w:val="20"/>
    </w:rPr>
  </w:style>
  <w:style w:type="paragraph" w:customStyle="1" w:styleId="595">
    <w:name w:val="正文1 小四"/>
    <w:basedOn w:val="1"/>
    <w:qFormat/>
    <w:uiPriority w:val="0"/>
    <w:pPr>
      <w:adjustRightInd w:val="0"/>
      <w:spacing w:line="420" w:lineRule="exact"/>
      <w:ind w:firstLine="200" w:firstLineChars="200"/>
      <w:jc w:val="left"/>
      <w:textAlignment w:val="baseline"/>
    </w:pPr>
    <w:rPr>
      <w:rFonts w:ascii="Times New Roman" w:hAnsi="Times New Roman"/>
      <w:kern w:val="0"/>
      <w:sz w:val="24"/>
      <w:szCs w:val="20"/>
    </w:rPr>
  </w:style>
  <w:style w:type="paragraph" w:customStyle="1" w:styleId="596">
    <w:name w:val="Char Char2 Char Char Char Char"/>
    <w:basedOn w:val="6"/>
    <w:qFormat/>
    <w:uiPriority w:val="0"/>
    <w:pPr>
      <w:numPr>
        <w:ilvl w:val="0"/>
        <w:numId w:val="0"/>
      </w:numPr>
      <w:tabs>
        <w:tab w:val="left" w:pos="900"/>
      </w:tabs>
      <w:adjustRightInd/>
      <w:spacing w:before="120" w:after="120"/>
      <w:ind w:left="542" w:leftChars="-12" w:firstLine="200" w:firstLineChars="200"/>
      <w:jc w:val="left"/>
    </w:pPr>
    <w:rPr>
      <w:rFonts w:eastAsia="黑体"/>
      <w:b w:val="0"/>
      <w:bCs w:val="0"/>
      <w:snapToGrid w:val="0"/>
      <w:szCs w:val="24"/>
    </w:rPr>
  </w:style>
  <w:style w:type="paragraph" w:customStyle="1" w:styleId="597">
    <w:name w:val="Char Char Char Char1 Char Char Char1"/>
    <w:basedOn w:val="6"/>
    <w:next w:val="109"/>
    <w:qFormat/>
    <w:uiPriority w:val="0"/>
    <w:pPr>
      <w:numPr>
        <w:ilvl w:val="0"/>
        <w:numId w:val="0"/>
      </w:numPr>
      <w:tabs>
        <w:tab w:val="left" w:pos="1260"/>
      </w:tabs>
      <w:adjustRightInd/>
      <w:snapToGrid/>
      <w:spacing w:beforeLines="50" w:afterLines="20"/>
      <w:ind w:left="1260" w:hanging="420"/>
    </w:pPr>
    <w:rPr>
      <w:rFonts w:ascii="宋体" w:hAnsi="宋体" w:eastAsia="黑体" w:cs="宋体"/>
      <w:b w:val="0"/>
      <w:bCs w:val="0"/>
      <w:szCs w:val="24"/>
    </w:rPr>
  </w:style>
  <w:style w:type="paragraph" w:customStyle="1" w:styleId="598">
    <w:name w:val="样式 标题 3Section条标题1.1.1标题 33标题 13(F4)小节标题4(C+F3)标题 3 Cha..."/>
    <w:basedOn w:val="6"/>
    <w:qFormat/>
    <w:uiPriority w:val="0"/>
    <w:pPr>
      <w:numPr>
        <w:ilvl w:val="0"/>
        <w:numId w:val="0"/>
      </w:numPr>
      <w:tabs>
        <w:tab w:val="left" w:pos="1260"/>
      </w:tabs>
      <w:adjustRightInd/>
      <w:snapToGrid/>
      <w:spacing w:beforeLines="50" w:afterLines="20" w:line="400" w:lineRule="exact"/>
      <w:ind w:left="1260" w:hanging="420"/>
    </w:pPr>
    <w:rPr>
      <w:rFonts w:eastAsia="黑体" w:cs="宋体"/>
      <w:b w:val="0"/>
      <w:bCs w:val="0"/>
      <w:color w:val="FF0000"/>
      <w:szCs w:val="20"/>
    </w:rPr>
  </w:style>
  <w:style w:type="character" w:customStyle="1" w:styleId="599">
    <w:name w:val="标题1.1.1.1.1 Char1"/>
    <w:qFormat/>
    <w:uiPriority w:val="0"/>
    <w:rPr>
      <w:rFonts w:ascii="黑体" w:hAnsi="宋体" w:eastAsia="黑体"/>
      <w:kern w:val="2"/>
      <w:sz w:val="24"/>
      <w:lang w:val="en-US" w:eastAsia="zh-CN" w:bidi="ar-SA"/>
    </w:rPr>
  </w:style>
  <w:style w:type="character" w:customStyle="1" w:styleId="600">
    <w:name w:val="dc1"/>
    <w:qFormat/>
    <w:uiPriority w:val="0"/>
    <w:rPr>
      <w:rFonts w:hint="eastAsia" w:ascii="宋体" w:hAnsi="宋体" w:eastAsia="宋体"/>
      <w:sz w:val="18"/>
      <w:szCs w:val="18"/>
    </w:rPr>
  </w:style>
  <w:style w:type="character" w:customStyle="1" w:styleId="601">
    <w:name w:val="11p"/>
    <w:basedOn w:val="74"/>
    <w:qFormat/>
    <w:uiPriority w:val="0"/>
  </w:style>
  <w:style w:type="character" w:customStyle="1" w:styleId="602">
    <w:name w:val="readnewstitle"/>
    <w:basedOn w:val="74"/>
    <w:qFormat/>
    <w:uiPriority w:val="0"/>
  </w:style>
  <w:style w:type="character" w:customStyle="1" w:styleId="603">
    <w:name w:val="lh22px"/>
    <w:basedOn w:val="74"/>
    <w:qFormat/>
    <w:uiPriority w:val="0"/>
  </w:style>
  <w:style w:type="character" w:customStyle="1" w:styleId="604">
    <w:name w:val="标题 1.1 Char"/>
    <w:qFormat/>
    <w:uiPriority w:val="0"/>
    <w:rPr>
      <w:rFonts w:eastAsia="黑体"/>
      <w:kern w:val="2"/>
      <w:sz w:val="28"/>
      <w:szCs w:val="32"/>
      <w:lang w:val="en-US" w:eastAsia="zh-CN" w:bidi="ar-SA"/>
    </w:rPr>
  </w:style>
  <w:style w:type="character" w:customStyle="1" w:styleId="605">
    <w:name w:val="zye"/>
    <w:basedOn w:val="74"/>
    <w:qFormat/>
    <w:uiPriority w:val="0"/>
  </w:style>
  <w:style w:type="character" w:customStyle="1" w:styleId="606">
    <w:name w:val="Char Char10"/>
    <w:qFormat/>
    <w:uiPriority w:val="0"/>
    <w:rPr>
      <w:rFonts w:ascii="Calibri" w:hAnsi="Calibri" w:eastAsia="宋体"/>
      <w:b/>
      <w:bCs/>
      <w:kern w:val="2"/>
      <w:sz w:val="32"/>
      <w:szCs w:val="32"/>
      <w:lang w:val="en-US" w:eastAsia="zh-CN" w:bidi="ar-SA"/>
    </w:rPr>
  </w:style>
  <w:style w:type="paragraph" w:customStyle="1" w:styleId="607">
    <w:name w:val="Char Char1 Char Char Char Char"/>
    <w:basedOn w:val="1"/>
    <w:qFormat/>
    <w:uiPriority w:val="0"/>
    <w:rPr>
      <w:rFonts w:ascii="Times New Roman" w:hAnsi="Times New Roman"/>
      <w:szCs w:val="24"/>
    </w:rPr>
  </w:style>
  <w:style w:type="paragraph" w:customStyle="1" w:styleId="608">
    <w:name w:val="标题C"/>
    <w:qFormat/>
    <w:uiPriority w:val="0"/>
    <w:pPr>
      <w:tabs>
        <w:tab w:val="left" w:pos="0"/>
      </w:tabs>
      <w:adjustRightInd w:val="0"/>
      <w:snapToGrid w:val="0"/>
      <w:spacing w:before="300"/>
      <w:outlineLvl w:val="2"/>
    </w:pPr>
    <w:rPr>
      <w:rFonts w:ascii="Times New Roman" w:hAnsi="Times New Roman" w:eastAsia="宋体" w:cs="Times New Roman"/>
      <w:b/>
      <w:snapToGrid w:val="0"/>
      <w:sz w:val="28"/>
      <w:lang w:val="en-US" w:eastAsia="zh-CN" w:bidi="ar-SA"/>
    </w:rPr>
  </w:style>
  <w:style w:type="paragraph" w:customStyle="1" w:styleId="609">
    <w:name w:val="正文new"/>
    <w:basedOn w:val="1"/>
    <w:qFormat/>
    <w:uiPriority w:val="0"/>
    <w:pPr>
      <w:spacing w:line="360" w:lineRule="auto"/>
      <w:ind w:firstLine="200" w:firstLineChars="200"/>
    </w:pPr>
    <w:rPr>
      <w:rFonts w:ascii="Times New Roman" w:hAnsi="Times New Roman" w:cs="宋体"/>
      <w:sz w:val="28"/>
      <w:szCs w:val="20"/>
    </w:rPr>
  </w:style>
  <w:style w:type="paragraph" w:customStyle="1" w:styleId="610">
    <w:name w:val="报告书正文 Char Char"/>
    <w:basedOn w:val="1"/>
    <w:qFormat/>
    <w:uiPriority w:val="0"/>
    <w:pPr>
      <w:spacing w:line="300" w:lineRule="auto"/>
      <w:ind w:firstLine="480" w:firstLineChars="200"/>
    </w:pPr>
    <w:rPr>
      <w:rFonts w:ascii="Times New Roman" w:hAnsi="Times New Roman"/>
      <w:color w:val="000000"/>
      <w:sz w:val="24"/>
      <w:szCs w:val="24"/>
    </w:rPr>
  </w:style>
  <w:style w:type="paragraph" w:customStyle="1" w:styleId="611">
    <w:name w:val="1 Char"/>
    <w:basedOn w:val="1"/>
    <w:qFormat/>
    <w:uiPriority w:val="0"/>
    <w:pPr>
      <w:keepNext/>
      <w:keepLines/>
      <w:spacing w:before="120" w:after="60"/>
      <w:jc w:val="left"/>
      <w:outlineLvl w:val="2"/>
    </w:pPr>
    <w:rPr>
      <w:rFonts w:ascii="Times New Roman" w:hAnsi="Times New Roman"/>
      <w:bCs/>
      <w:kern w:val="0"/>
      <w:szCs w:val="24"/>
    </w:rPr>
  </w:style>
  <w:style w:type="paragraph" w:customStyle="1" w:styleId="612">
    <w:name w:val="正文格式"/>
    <w:basedOn w:val="1"/>
    <w:semiHidden/>
    <w:qFormat/>
    <w:uiPriority w:val="0"/>
    <w:pPr>
      <w:spacing w:line="360" w:lineRule="auto"/>
      <w:ind w:firstLine="482"/>
    </w:pPr>
    <w:rPr>
      <w:rFonts w:ascii="宋体" w:hAnsi="Times New Roman"/>
      <w:sz w:val="24"/>
      <w:szCs w:val="24"/>
    </w:rPr>
  </w:style>
  <w:style w:type="character" w:customStyle="1" w:styleId="613">
    <w:name w:val="a61"/>
    <w:qFormat/>
    <w:uiPriority w:val="0"/>
    <w:rPr>
      <w:rFonts w:hint="eastAsia" w:ascii="宋体" w:hAnsi="宋体" w:eastAsia="宋体"/>
      <w:sz w:val="23"/>
      <w:szCs w:val="23"/>
    </w:rPr>
  </w:style>
  <w:style w:type="character" w:customStyle="1" w:styleId="614">
    <w:name w:val="样式 首行缩进:  2 字符 Char"/>
    <w:link w:val="125"/>
    <w:qFormat/>
    <w:uiPriority w:val="0"/>
    <w:rPr>
      <w:rFonts w:ascii="宋体" w:hAnsi="宋体" w:cs="宋体"/>
      <w:color w:val="FF0000"/>
      <w:sz w:val="24"/>
      <w:szCs w:val="24"/>
    </w:rPr>
  </w:style>
  <w:style w:type="character" w:customStyle="1" w:styleId="615">
    <w:name w:val="表头 Char"/>
    <w:qFormat/>
    <w:uiPriority w:val="0"/>
    <w:rPr>
      <w:rFonts w:ascii="宋体" w:hAnsi="宋体" w:eastAsia="宋体" w:cs="Times New Roman"/>
      <w:b/>
      <w:bCs/>
      <w:szCs w:val="21"/>
    </w:rPr>
  </w:style>
  <w:style w:type="paragraph" w:customStyle="1" w:styleId="616">
    <w:name w:val="Char1 Char Char Char"/>
    <w:basedOn w:val="1"/>
    <w:qFormat/>
    <w:uiPriority w:val="0"/>
    <w:pPr>
      <w:spacing w:line="360" w:lineRule="auto"/>
      <w:ind w:firstLine="200" w:firstLineChars="200"/>
    </w:pPr>
    <w:rPr>
      <w:rFonts w:ascii="宋体" w:hAnsi="宋体" w:cs="宋体"/>
      <w:sz w:val="24"/>
      <w:szCs w:val="24"/>
    </w:rPr>
  </w:style>
  <w:style w:type="character" w:customStyle="1" w:styleId="617">
    <w:name w:val="ft"/>
    <w:qFormat/>
    <w:uiPriority w:val="0"/>
  </w:style>
  <w:style w:type="character" w:customStyle="1" w:styleId="618">
    <w:name w:val="labeltitle1"/>
    <w:qFormat/>
    <w:uiPriority w:val="0"/>
    <w:rPr>
      <w:b/>
      <w:bCs/>
      <w:sz w:val="39"/>
      <w:szCs w:val="39"/>
    </w:rPr>
  </w:style>
  <w:style w:type="character" w:customStyle="1" w:styleId="619">
    <w:name w:val="haydonli Char"/>
    <w:link w:val="583"/>
    <w:qFormat/>
    <w:uiPriority w:val="0"/>
    <w:rPr>
      <w:rFonts w:ascii="宋体" w:hAnsi="宋体"/>
      <w:snapToGrid w:val="0"/>
      <w:color w:val="000000"/>
      <w:szCs w:val="21"/>
    </w:rPr>
  </w:style>
  <w:style w:type="paragraph" w:styleId="620">
    <w:name w:val="No Spacing"/>
    <w:qFormat/>
    <w:uiPriority w:val="1"/>
    <w:pPr>
      <w:widowControl w:val="0"/>
      <w:ind w:firstLine="425"/>
      <w:jc w:val="both"/>
    </w:pPr>
    <w:rPr>
      <w:rFonts w:ascii="Times New Roman" w:hAnsi="Times New Roman" w:eastAsia="宋体" w:cs="Times New Roman"/>
      <w:kern w:val="2"/>
      <w:sz w:val="24"/>
      <w:lang w:val="en-US" w:eastAsia="zh-CN" w:bidi="ar-SA"/>
    </w:rPr>
  </w:style>
  <w:style w:type="paragraph" w:customStyle="1" w:styleId="621">
    <w:name w:val="Char Char Char Char1 Char Char Char2"/>
    <w:basedOn w:val="6"/>
    <w:next w:val="109"/>
    <w:qFormat/>
    <w:uiPriority w:val="0"/>
    <w:pPr>
      <w:numPr>
        <w:ilvl w:val="0"/>
        <w:numId w:val="0"/>
      </w:numPr>
      <w:tabs>
        <w:tab w:val="left" w:pos="1260"/>
      </w:tabs>
      <w:adjustRightInd/>
      <w:snapToGrid/>
      <w:spacing w:before="50" w:after="20"/>
      <w:ind w:left="1260" w:hanging="420"/>
    </w:pPr>
    <w:rPr>
      <w:rFonts w:ascii="宋体" w:hAnsi="宋体" w:eastAsia="楷体" w:cs="宋体"/>
      <w:bCs w:val="0"/>
      <w:i/>
      <w:szCs w:val="24"/>
    </w:rPr>
  </w:style>
  <w:style w:type="character" w:customStyle="1" w:styleId="622">
    <w:name w:val="Char Char1"/>
    <w:link w:val="451"/>
    <w:qFormat/>
    <w:uiPriority w:val="0"/>
    <w:rPr>
      <w:rFonts w:ascii="宋体" w:hAnsi="宋体"/>
      <w:sz w:val="24"/>
      <w:szCs w:val="24"/>
    </w:rPr>
  </w:style>
  <w:style w:type="paragraph" w:customStyle="1" w:styleId="623">
    <w:name w:val="表文"/>
    <w:basedOn w:val="95"/>
    <w:qFormat/>
    <w:uiPriority w:val="0"/>
    <w:pPr>
      <w:spacing w:beforeLines="20" w:afterLines="20" w:line="240" w:lineRule="auto"/>
      <w:ind w:left="-25" w:leftChars="-25" w:right="-25" w:rightChars="-25" w:firstLine="200"/>
    </w:pPr>
    <w:rPr>
      <w:rFonts w:ascii="宋体" w:hAnsi="宋体"/>
      <w:b w:val="0"/>
      <w:kern w:val="0"/>
      <w:sz w:val="18"/>
      <w:szCs w:val="21"/>
    </w:rPr>
  </w:style>
  <w:style w:type="paragraph" w:customStyle="1" w:styleId="624">
    <w:name w:val="Char Char Char2"/>
    <w:basedOn w:val="1"/>
    <w:qFormat/>
    <w:uiPriority w:val="0"/>
    <w:rPr>
      <w:rFonts w:ascii="Times New Roman" w:hAnsi="Times New Roman"/>
    </w:rPr>
  </w:style>
  <w:style w:type="character" w:customStyle="1" w:styleId="625">
    <w:name w:val="apple-style-span"/>
    <w:qFormat/>
    <w:uiPriority w:val="0"/>
  </w:style>
  <w:style w:type="table" w:customStyle="1" w:styleId="626">
    <w:name w:val="典雅型1"/>
    <w:basedOn w:val="71"/>
    <w:qFormat/>
    <w:uiPriority w:val="0"/>
    <w:pPr>
      <w:widowControl w:val="0"/>
      <w:jc w:val="both"/>
    </w:pPr>
    <w:rPr>
      <w:rFonts w:ascii="Calibri" w:hAnsi="Calibri"/>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cPr>
        <w:tcBorders>
          <w:tl2br w:val="nil"/>
          <w:tr2bl w:val="nil"/>
        </w:tcBorders>
      </w:tcPr>
    </w:tblStylePr>
  </w:style>
  <w:style w:type="table" w:customStyle="1" w:styleId="627">
    <w:name w:val="典雅型2"/>
    <w:basedOn w:val="71"/>
    <w:qFormat/>
    <w:uiPriority w:val="0"/>
    <w:pPr>
      <w:widowControl w:val="0"/>
      <w:jc w:val="both"/>
    </w:pPr>
    <w:rPr>
      <w:rFonts w:ascii="Calibri" w:hAnsi="Calibri"/>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cPr>
        <w:tcBorders>
          <w:tl2br w:val="nil"/>
          <w:tr2bl w:val="nil"/>
        </w:tcBorders>
      </w:tcPr>
    </w:tblStylePr>
  </w:style>
  <w:style w:type="table" w:customStyle="1" w:styleId="628">
    <w:name w:val="典雅型3"/>
    <w:basedOn w:val="71"/>
    <w:qFormat/>
    <w:uiPriority w:val="0"/>
    <w:pPr>
      <w:widowControl w:val="0"/>
      <w:jc w:val="both"/>
    </w:pPr>
    <w:rPr>
      <w:rFonts w:ascii="Calibri" w:hAnsi="Calibri"/>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cPr>
        <w:tcBorders>
          <w:tl2br w:val="nil"/>
          <w:tr2bl w:val="nil"/>
        </w:tcBorders>
      </w:tcPr>
    </w:tblStylePr>
  </w:style>
  <w:style w:type="table" w:customStyle="1" w:styleId="629">
    <w:name w:val="典雅型4"/>
    <w:basedOn w:val="71"/>
    <w:qFormat/>
    <w:uiPriority w:val="0"/>
    <w:pPr>
      <w:widowControl w:val="0"/>
      <w:jc w:val="both"/>
    </w:pPr>
    <w:rPr>
      <w:rFonts w:ascii="Calibri" w:hAnsi="Calibri"/>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cPr>
        <w:tcBorders>
          <w:tl2br w:val="nil"/>
          <w:tr2bl w:val="nil"/>
        </w:tcBorders>
      </w:tcPr>
    </w:tblStylePr>
  </w:style>
  <w:style w:type="table" w:customStyle="1" w:styleId="630">
    <w:name w:val="典雅型5"/>
    <w:basedOn w:val="71"/>
    <w:qFormat/>
    <w:uiPriority w:val="0"/>
    <w:pPr>
      <w:widowControl w:val="0"/>
      <w:jc w:val="both"/>
    </w:pPr>
    <w:rPr>
      <w:rFonts w:ascii="Calibri" w:hAnsi="Calibri"/>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cPr>
        <w:tcBorders>
          <w:tl2br w:val="nil"/>
          <w:tr2bl w:val="nil"/>
        </w:tcBorders>
      </w:tcPr>
    </w:tblStylePr>
  </w:style>
  <w:style w:type="table" w:customStyle="1" w:styleId="631">
    <w:name w:val="典雅型6"/>
    <w:basedOn w:val="71"/>
    <w:qFormat/>
    <w:uiPriority w:val="0"/>
    <w:pPr>
      <w:widowControl w:val="0"/>
      <w:jc w:val="both"/>
    </w:pPr>
    <w:rPr>
      <w:rFonts w:ascii="Calibri" w:hAnsi="Calibri"/>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cPr>
        <w:tcBorders>
          <w:tl2br w:val="nil"/>
          <w:tr2bl w:val="nil"/>
        </w:tcBorders>
      </w:tcPr>
    </w:tblStylePr>
  </w:style>
  <w:style w:type="paragraph" w:customStyle="1" w:styleId="632">
    <w:name w:val="ming－正文"/>
    <w:basedOn w:val="1"/>
    <w:qFormat/>
    <w:uiPriority w:val="0"/>
    <w:pPr>
      <w:spacing w:line="360" w:lineRule="auto"/>
      <w:ind w:firstLine="200" w:firstLineChars="200"/>
    </w:pPr>
    <w:rPr>
      <w:rFonts w:ascii="Times New Roman" w:hAnsi="Times New Roman"/>
      <w:sz w:val="28"/>
      <w:szCs w:val="28"/>
    </w:rPr>
  </w:style>
  <w:style w:type="paragraph" w:customStyle="1" w:styleId="633">
    <w:name w:val="T正文"/>
    <w:qFormat/>
    <w:uiPriority w:val="0"/>
    <w:pPr>
      <w:widowControl w:val="0"/>
      <w:adjustRightInd w:val="0"/>
      <w:snapToGrid w:val="0"/>
      <w:spacing w:line="360" w:lineRule="auto"/>
      <w:ind w:firstLine="200" w:firstLineChars="200"/>
      <w:jc w:val="both"/>
    </w:pPr>
    <w:rPr>
      <w:rFonts w:ascii="Times New Roman" w:hAnsi="Times New Roman" w:eastAsia="宋体" w:cs="Times New Roman"/>
      <w:sz w:val="24"/>
      <w:lang w:val="en-US" w:eastAsia="zh-CN" w:bidi="ar-SA"/>
    </w:rPr>
  </w:style>
  <w:style w:type="paragraph" w:customStyle="1" w:styleId="634">
    <w:name w:val="why－正文"/>
    <w:basedOn w:val="1"/>
    <w:qFormat/>
    <w:uiPriority w:val="0"/>
    <w:pPr>
      <w:tabs>
        <w:tab w:val="left" w:pos="900"/>
      </w:tabs>
      <w:spacing w:line="360" w:lineRule="auto"/>
      <w:ind w:firstLine="480" w:firstLineChars="200"/>
    </w:pPr>
    <w:rPr>
      <w:rFonts w:ascii="Times New Roman" w:hAnsi="Times New Roman"/>
      <w:sz w:val="24"/>
      <w:szCs w:val="28"/>
    </w:rPr>
  </w:style>
  <w:style w:type="character" w:customStyle="1" w:styleId="635">
    <w:name w:val="Mention"/>
    <w:basedOn w:val="74"/>
    <w:semiHidden/>
    <w:unhideWhenUsed/>
    <w:qFormat/>
    <w:uiPriority w:val="99"/>
    <w:rPr>
      <w:color w:val="2B579A"/>
      <w:shd w:val="clear" w:color="auto" w:fill="E6E6E6"/>
    </w:rPr>
  </w:style>
  <w:style w:type="paragraph" w:customStyle="1" w:styleId="636">
    <w:name w:val="标题 61"/>
    <w:basedOn w:val="1"/>
    <w:qFormat/>
    <w:uiPriority w:val="1"/>
    <w:pPr>
      <w:ind w:left="120"/>
      <w:jc w:val="left"/>
      <w:outlineLvl w:val="6"/>
    </w:pPr>
    <w:rPr>
      <w:rFonts w:ascii="Courier New" w:hAnsi="Courier New" w:eastAsia="Courier New" w:cs="黑体"/>
      <w:b/>
      <w:bCs/>
      <w:kern w:val="0"/>
      <w:sz w:val="30"/>
      <w:szCs w:val="30"/>
      <w:lang w:eastAsia="en-US"/>
    </w:rPr>
  </w:style>
  <w:style w:type="character" w:customStyle="1" w:styleId="637">
    <w:name w:val="font121"/>
    <w:basedOn w:val="74"/>
    <w:qFormat/>
    <w:uiPriority w:val="0"/>
    <w:rPr>
      <w:rFonts w:hint="eastAsia" w:ascii="宋体" w:hAnsi="宋体" w:eastAsia="宋体" w:cs="宋体"/>
      <w:color w:val="000000"/>
      <w:sz w:val="22"/>
      <w:szCs w:val="22"/>
      <w:u w:val="none"/>
    </w:rPr>
  </w:style>
  <w:style w:type="character" w:customStyle="1" w:styleId="638">
    <w:name w:val="font131"/>
    <w:basedOn w:val="74"/>
    <w:qFormat/>
    <w:uiPriority w:val="0"/>
    <w:rPr>
      <w:rFonts w:hint="eastAsia" w:ascii="宋体" w:hAnsi="宋体" w:eastAsia="宋体" w:cs="宋体"/>
      <w:color w:val="000000"/>
      <w:sz w:val="22"/>
      <w:szCs w:val="22"/>
      <w:u w:val="none"/>
    </w:rPr>
  </w:style>
  <w:style w:type="character" w:customStyle="1" w:styleId="639">
    <w:name w:val="font81"/>
    <w:basedOn w:val="74"/>
    <w:qFormat/>
    <w:uiPriority w:val="0"/>
    <w:rPr>
      <w:rFonts w:hint="default" w:ascii="Times New Roman" w:hAnsi="Times New Roman" w:cs="Times New Roman"/>
      <w:b/>
      <w:color w:val="000000"/>
      <w:sz w:val="22"/>
      <w:szCs w:val="22"/>
      <w:u w:val="none"/>
    </w:rPr>
  </w:style>
  <w:style w:type="character" w:customStyle="1" w:styleId="640">
    <w:name w:val="font141"/>
    <w:basedOn w:val="74"/>
    <w:qFormat/>
    <w:uiPriority w:val="0"/>
    <w:rPr>
      <w:rFonts w:hint="eastAsia" w:ascii="宋体" w:hAnsi="宋体" w:eastAsia="宋体" w:cs="宋体"/>
      <w:color w:val="000000"/>
      <w:sz w:val="21"/>
      <w:szCs w:val="21"/>
      <w:u w:val="none"/>
    </w:rPr>
  </w:style>
  <w:style w:type="character" w:customStyle="1" w:styleId="641">
    <w:name w:val="font161"/>
    <w:basedOn w:val="74"/>
    <w:qFormat/>
    <w:uiPriority w:val="0"/>
    <w:rPr>
      <w:rFonts w:hint="eastAsia" w:ascii="宋体" w:hAnsi="宋体" w:eastAsia="宋体" w:cs="宋体"/>
      <w:b/>
      <w:color w:val="000000"/>
      <w:sz w:val="22"/>
      <w:szCs w:val="22"/>
      <w:u w:val="none"/>
    </w:rPr>
  </w:style>
  <w:style w:type="character" w:customStyle="1" w:styleId="642">
    <w:name w:val="font61"/>
    <w:basedOn w:val="74"/>
    <w:qFormat/>
    <w:uiPriority w:val="0"/>
    <w:rPr>
      <w:rFonts w:hint="eastAsia" w:ascii="宋体" w:hAnsi="宋体" w:eastAsia="宋体" w:cs="宋体"/>
      <w:color w:val="000000"/>
      <w:sz w:val="22"/>
      <w:szCs w:val="22"/>
      <w:u w:val="none"/>
    </w:rPr>
  </w:style>
  <w:style w:type="paragraph" w:customStyle="1" w:styleId="643">
    <w:name w:val="001正文"/>
    <w:basedOn w:val="1"/>
    <w:qFormat/>
    <w:uiPriority w:val="0"/>
    <w:pPr>
      <w:spacing w:line="360" w:lineRule="auto"/>
      <w:ind w:firstLine="200" w:firstLineChars="200"/>
    </w:pPr>
    <w:rPr>
      <w:rFonts w:ascii="Times New Roman" w:hAnsi="宋体"/>
      <w:color w:val="000000"/>
      <w:sz w:val="24"/>
      <w:szCs w:val="24"/>
    </w:rPr>
  </w:style>
  <w:style w:type="character" w:customStyle="1" w:styleId="644">
    <w:name w:val="on"/>
    <w:basedOn w:val="74"/>
    <w:qFormat/>
    <w:uiPriority w:val="0"/>
    <w:rPr>
      <w:color w:val="FFFFFF"/>
      <w:shd w:val="clear" w:color="auto" w:fill="1F71FC"/>
    </w:rPr>
  </w:style>
  <w:style w:type="character" w:customStyle="1" w:styleId="645">
    <w:name w:val="font91"/>
    <w:basedOn w:val="74"/>
    <w:qFormat/>
    <w:uiPriority w:val="0"/>
    <w:rPr>
      <w:rFonts w:hint="default" w:ascii="Times New Roman" w:hAnsi="Times New Roman" w:cs="Times New Roman"/>
      <w:b/>
      <w:color w:val="000000"/>
      <w:sz w:val="22"/>
      <w:szCs w:val="22"/>
      <w:u w:val="none"/>
    </w:rPr>
  </w:style>
  <w:style w:type="character" w:customStyle="1" w:styleId="646">
    <w:name w:val="font71"/>
    <w:basedOn w:val="74"/>
    <w:qFormat/>
    <w:uiPriority w:val="0"/>
    <w:rPr>
      <w:rFonts w:hint="eastAsia" w:ascii="宋体" w:hAnsi="宋体" w:eastAsia="宋体" w:cs="宋体"/>
      <w:color w:val="000000"/>
      <w:sz w:val="22"/>
      <w:szCs w:val="22"/>
      <w:u w:val="none"/>
    </w:rPr>
  </w:style>
  <w:style w:type="character" w:customStyle="1" w:styleId="647">
    <w:name w:val="font111"/>
    <w:basedOn w:val="74"/>
    <w:qFormat/>
    <w:uiPriority w:val="0"/>
    <w:rPr>
      <w:rFonts w:hint="default" w:ascii="Times New Roman" w:hAnsi="Times New Roman" w:cs="Times New Roman"/>
      <w:b/>
      <w:color w:val="000000"/>
      <w:sz w:val="36"/>
      <w:szCs w:val="36"/>
      <w:u w:val="none"/>
    </w:rPr>
  </w:style>
  <w:style w:type="character" w:customStyle="1" w:styleId="648">
    <w:name w:val="font101"/>
    <w:basedOn w:val="74"/>
    <w:qFormat/>
    <w:uiPriority w:val="0"/>
    <w:rPr>
      <w:rFonts w:hint="eastAsia" w:ascii="宋体" w:hAnsi="宋体" w:eastAsia="宋体" w:cs="宋体"/>
      <w:color w:val="000000"/>
      <w:sz w:val="36"/>
      <w:szCs w:val="36"/>
      <w:u w:val="none"/>
    </w:rPr>
  </w:style>
  <w:style w:type="character" w:customStyle="1" w:styleId="649">
    <w:name w:val="font01"/>
    <w:basedOn w:val="74"/>
    <w:qFormat/>
    <w:uiPriority w:val="0"/>
    <w:rPr>
      <w:rFonts w:hint="eastAsia" w:ascii="宋体" w:hAnsi="宋体" w:eastAsia="宋体" w:cs="宋体"/>
      <w:b/>
      <w:color w:val="000000"/>
      <w:sz w:val="22"/>
      <w:szCs w:val="22"/>
      <w:u w:val="none"/>
    </w:rPr>
  </w:style>
  <w:style w:type="character" w:customStyle="1" w:styleId="650">
    <w:name w:val="pic"/>
    <w:basedOn w:val="74"/>
    <w:qFormat/>
    <w:uiPriority w:val="0"/>
  </w:style>
  <w:style w:type="character" w:customStyle="1" w:styleId="651">
    <w:name w:val="text"/>
    <w:basedOn w:val="74"/>
    <w:qFormat/>
    <w:uiPriority w:val="0"/>
    <w:rPr>
      <w:color w:val="888888"/>
      <w:sz w:val="18"/>
      <w:szCs w:val="18"/>
    </w:rPr>
  </w:style>
  <w:style w:type="character" w:customStyle="1" w:styleId="652">
    <w:name w:val="sels"/>
    <w:basedOn w:val="74"/>
    <w:qFormat/>
    <w:uiPriority w:val="0"/>
    <w:rPr>
      <w:bdr w:val="single" w:color="DAB76A" w:sz="6" w:space="0"/>
      <w:shd w:val="clear" w:color="auto" w:fill="FFFFFF"/>
    </w:rPr>
  </w:style>
  <w:style w:type="character" w:customStyle="1" w:styleId="653">
    <w:name w:val="sel"/>
    <w:basedOn w:val="74"/>
    <w:qFormat/>
    <w:uiPriority w:val="0"/>
  </w:style>
  <w:style w:type="character" w:customStyle="1" w:styleId="654">
    <w:name w:val="bds_more"/>
    <w:basedOn w:val="74"/>
    <w:qFormat/>
    <w:uiPriority w:val="0"/>
    <w:rPr>
      <w:rFonts w:hint="eastAsia" w:ascii="宋体" w:hAnsi="宋体" w:eastAsia="宋体" w:cs="宋体"/>
    </w:rPr>
  </w:style>
  <w:style w:type="character" w:customStyle="1" w:styleId="655">
    <w:name w:val="bds_more1"/>
    <w:basedOn w:val="74"/>
    <w:qFormat/>
    <w:uiPriority w:val="0"/>
  </w:style>
  <w:style w:type="character" w:customStyle="1" w:styleId="656">
    <w:name w:val="bds_more2"/>
    <w:basedOn w:val="74"/>
    <w:qFormat/>
    <w:uiPriority w:val="0"/>
  </w:style>
  <w:style w:type="character" w:customStyle="1" w:styleId="657">
    <w:name w:val="bds_nopic"/>
    <w:basedOn w:val="74"/>
    <w:qFormat/>
    <w:uiPriority w:val="0"/>
  </w:style>
  <w:style w:type="character" w:customStyle="1" w:styleId="658">
    <w:name w:val="bds_nopic1"/>
    <w:basedOn w:val="74"/>
    <w:qFormat/>
    <w:uiPriority w:val="0"/>
  </w:style>
  <w:style w:type="character" w:customStyle="1" w:styleId="659">
    <w:name w:val="bds_nopic2"/>
    <w:basedOn w:val="74"/>
    <w:qFormat/>
    <w:uiPriority w:val="0"/>
  </w:style>
  <w:style w:type="paragraph" w:customStyle="1" w:styleId="660">
    <w:name w:val="表格字体"/>
    <w:qFormat/>
    <w:uiPriority w:val="0"/>
    <w:pPr>
      <w:jc w:val="center"/>
    </w:pPr>
    <w:rPr>
      <w:rFonts w:ascii="Times New Roman" w:hAnsi="Times New Roman" w:eastAsia="宋体" w:cs="Times New Roman"/>
      <w:color w:val="000000"/>
      <w:sz w:val="21"/>
      <w:szCs w:val="21"/>
      <w:lang w:val="en-US" w:eastAsia="zh-CN" w:bidi="ar-SA"/>
    </w:rPr>
  </w:style>
  <w:style w:type="paragraph" w:customStyle="1" w:styleId="661">
    <w:name w:val="WPSOffice手动目录 2"/>
    <w:qFormat/>
    <w:uiPriority w:val="0"/>
    <w:pPr>
      <w:ind w:left="200" w:leftChars="200"/>
    </w:pPr>
    <w:rPr>
      <w:rFonts w:ascii="Calibri" w:hAnsi="Calibri" w:eastAsia="宋体" w:cs="Times New Roman"/>
      <w:lang w:val="en-US" w:eastAsia="zh-CN" w:bidi="ar-SA"/>
    </w:rPr>
  </w:style>
  <w:style w:type="paragraph" w:customStyle="1" w:styleId="662">
    <w:name w:val="WPSOffice手动目录 3"/>
    <w:qFormat/>
    <w:uiPriority w:val="0"/>
    <w:pPr>
      <w:ind w:left="400" w:leftChars="400"/>
    </w:pPr>
    <w:rPr>
      <w:rFonts w:ascii="Calibri" w:hAnsi="Calibri" w:eastAsia="宋体" w:cs="Times New Roman"/>
      <w:lang w:val="en-US" w:eastAsia="zh-CN" w:bidi="ar-SA"/>
    </w:rPr>
  </w:style>
  <w:style w:type="character" w:customStyle="1" w:styleId="663">
    <w:name w:val="keyword-span-wrap"/>
    <w:basedOn w:val="74"/>
    <w:qFormat/>
    <w:uiPriority w:val="0"/>
    <w:rPr>
      <w:color w:val="19A97B"/>
    </w:rPr>
  </w:style>
  <w:style w:type="character" w:customStyle="1" w:styleId="664">
    <w:name w:val="wx-space"/>
    <w:basedOn w:val="74"/>
    <w:qFormat/>
    <w:uiPriority w:val="0"/>
  </w:style>
  <w:style w:type="character" w:customStyle="1" w:styleId="665">
    <w:name w:val="wx-space1"/>
    <w:basedOn w:val="74"/>
    <w:qFormat/>
    <w:uiPriority w:val="0"/>
  </w:style>
  <w:style w:type="character" w:customStyle="1" w:styleId="666">
    <w:name w:val="hover37"/>
    <w:basedOn w:val="74"/>
    <w:qFormat/>
    <w:uiPriority w:val="0"/>
    <w:rPr>
      <w:color w:val="47932F"/>
      <w:u w:val="none"/>
      <w:bdr w:val="single" w:color="47932F" w:sz="6" w:space="0"/>
    </w:rPr>
  </w:style>
  <w:style w:type="character" w:customStyle="1" w:styleId="667">
    <w:name w:val="hover38"/>
    <w:basedOn w:val="74"/>
    <w:qFormat/>
    <w:uiPriority w:val="0"/>
    <w:rPr>
      <w:color w:val="000000"/>
      <w:shd w:val="clear" w:color="auto" w:fill="FFFFFF"/>
    </w:rPr>
  </w:style>
  <w:style w:type="character" w:customStyle="1" w:styleId="668">
    <w:name w:val="layui-this"/>
    <w:basedOn w:val="74"/>
    <w:qFormat/>
    <w:uiPriority w:val="0"/>
    <w:rPr>
      <w:bdr w:val="single" w:color="EEEEEE" w:sz="6" w:space="0"/>
      <w:shd w:val="clear" w:color="auto" w:fill="FFFFFF"/>
    </w:rPr>
  </w:style>
  <w:style w:type="character" w:customStyle="1" w:styleId="669">
    <w:name w:val="first-child"/>
    <w:basedOn w:val="74"/>
    <w:qFormat/>
    <w:uiPriority w:val="0"/>
  </w:style>
  <w:style w:type="character" w:customStyle="1" w:styleId="670">
    <w:name w:val="button"/>
    <w:basedOn w:val="74"/>
    <w:qFormat/>
    <w:uiPriority w:val="0"/>
  </w:style>
  <w:style w:type="character" w:customStyle="1" w:styleId="671">
    <w:name w:val="hover"/>
    <w:basedOn w:val="74"/>
    <w:qFormat/>
    <w:uiPriority w:val="0"/>
    <w:rPr>
      <w:color w:val="47932F"/>
      <w:u w:val="none"/>
      <w:bdr w:val="single" w:color="47932F" w:sz="6" w:space="0"/>
    </w:rPr>
  </w:style>
  <w:style w:type="character" w:customStyle="1" w:styleId="672">
    <w:name w:val="hover1"/>
    <w:basedOn w:val="74"/>
    <w:qFormat/>
    <w:uiPriority w:val="0"/>
    <w:rPr>
      <w:color w:val="000000"/>
      <w:shd w:val="clear" w:color="auto" w:fill="FFFFFF"/>
    </w:rPr>
  </w:style>
  <w:style w:type="paragraph" w:customStyle="1" w:styleId="673">
    <w:name w:val="修订11"/>
    <w:hidden/>
    <w:unhideWhenUsed/>
    <w:qFormat/>
    <w:uiPriority w:val="99"/>
    <w:rPr>
      <w:rFonts w:ascii="Calibri" w:hAnsi="Calibri" w:eastAsia="宋体" w:cs="Times New Roman"/>
      <w:kern w:val="2"/>
      <w:sz w:val="21"/>
      <w:szCs w:val="22"/>
      <w:lang w:val="en-US" w:eastAsia="zh-CN" w:bidi="ar-SA"/>
    </w:rPr>
  </w:style>
  <w:style w:type="paragraph" w:customStyle="1" w:styleId="674">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75">
    <w:name w:val="字母编号列项（一级）"/>
    <w:qFormat/>
    <w:uiPriority w:val="0"/>
    <w:pPr>
      <w:ind w:left="840" w:leftChars="200" w:hanging="420" w:hangingChars="200"/>
      <w:jc w:val="both"/>
    </w:pPr>
    <w:rPr>
      <w:rFonts w:ascii="宋体" w:hAnsi="Times New Roman" w:eastAsia="宋体" w:cs="Times New Roman"/>
      <w:sz w:val="21"/>
      <w:lang w:val="en-US" w:eastAsia="zh-CN" w:bidi="ar-SA"/>
    </w:rPr>
  </w:style>
  <w:style w:type="paragraph" w:customStyle="1" w:styleId="676">
    <w:name w:val="图表脚注"/>
    <w:next w:val="674"/>
    <w:qFormat/>
    <w:uiPriority w:val="0"/>
    <w:pPr>
      <w:ind w:left="300" w:leftChars="200" w:hanging="100" w:hangingChars="100"/>
      <w:jc w:val="both"/>
    </w:pPr>
    <w:rPr>
      <w:rFonts w:ascii="宋体" w:hAnsi="Times New Roman" w:eastAsia="宋体" w:cs="Times New Roman"/>
      <w:sz w:val="18"/>
      <w:lang w:val="en-US" w:eastAsia="zh-CN" w:bidi="ar-SA"/>
    </w:rPr>
  </w:style>
  <w:style w:type="paragraph" w:customStyle="1" w:styleId="677">
    <w:name w:val="修订2"/>
    <w:hidden/>
    <w:unhideWhenUsed/>
    <w:qFormat/>
    <w:uiPriority w:val="99"/>
    <w:rPr>
      <w:rFonts w:ascii="Calibri" w:hAnsi="Calibri" w:eastAsia="宋体" w:cs="Times New Roman"/>
      <w:kern w:val="2"/>
      <w:sz w:val="21"/>
      <w:szCs w:val="22"/>
      <w:lang w:val="en-US" w:eastAsia="zh-CN" w:bidi="ar-SA"/>
    </w:rPr>
  </w:style>
  <w:style w:type="paragraph" w:customStyle="1" w:styleId="678">
    <w:name w:val="Normal_0"/>
    <w:qFormat/>
    <w:uiPriority w:val="0"/>
    <w:rPr>
      <w:rFonts w:ascii="Times New Roman" w:hAnsi="Times New Roman" w:eastAsia="Times New Roman" w:cs="Times New Roman"/>
      <w:sz w:val="24"/>
      <w:szCs w:val="24"/>
      <w:lang w:val="en-US" w:eastAsia="zh-CN" w:bidi="ar-SA"/>
    </w:rPr>
  </w:style>
  <w:style w:type="paragraph" w:customStyle="1" w:styleId="679">
    <w:name w:val="TOC 标题2"/>
    <w:basedOn w:val="4"/>
    <w:next w:val="1"/>
    <w:unhideWhenUsed/>
    <w:qFormat/>
    <w:uiPriority w:val="39"/>
    <w:pPr>
      <w:widowControl/>
      <w:numPr>
        <w:numId w:val="0"/>
      </w:numPr>
      <w:adjustRightInd/>
      <w:snapToGrid/>
      <w:spacing w:before="480" w:line="276" w:lineRule="auto"/>
      <w:jc w:val="left"/>
      <w:outlineLvl w:val="9"/>
    </w:pPr>
    <w:rPr>
      <w:rFonts w:asciiTheme="majorHAnsi" w:hAnsiTheme="majorHAnsi" w:eastAsiaTheme="majorEastAsia" w:cstheme="majorBidi"/>
      <w:b/>
      <w:color w:val="2E75B6" w:themeColor="accent1" w:themeShade="BF"/>
      <w:kern w:val="0"/>
      <w:sz w:val="28"/>
      <w:szCs w:val="28"/>
    </w:rPr>
  </w:style>
  <w:style w:type="paragraph" w:customStyle="1" w:styleId="680">
    <w:name w:val="样式 样式 正文缩进文本条款表格标题正文（首行缩进两字） Char Char Char Char Char Char Char....2"/>
    <w:basedOn w:val="1"/>
    <w:link w:val="681"/>
    <w:qFormat/>
    <w:uiPriority w:val="0"/>
    <w:pPr>
      <w:snapToGrid w:val="0"/>
      <w:spacing w:line="360" w:lineRule="auto"/>
      <w:ind w:firstLine="200" w:firstLineChars="200"/>
    </w:pPr>
    <w:rPr>
      <w:rFonts w:ascii="Times New Roman" w:hAnsi="Times New Roman" w:cs="宋体"/>
      <w:color w:val="000000"/>
      <w:sz w:val="28"/>
      <w:szCs w:val="20"/>
    </w:rPr>
  </w:style>
  <w:style w:type="character" w:customStyle="1" w:styleId="681">
    <w:name w:val="样式 样式 正文缩进文本条款表格标题正文（首行缩进两字） Char Char Char Char Char Char Char....2 Char"/>
    <w:link w:val="680"/>
    <w:qFormat/>
    <w:uiPriority w:val="0"/>
    <w:rPr>
      <w:rFonts w:cs="宋体"/>
      <w:color w:val="000000"/>
      <w:kern w:val="2"/>
      <w:sz w:val="28"/>
    </w:rPr>
  </w:style>
  <w:style w:type="paragraph" w:customStyle="1" w:styleId="682">
    <w:name w:val="监利表格注释"/>
    <w:basedOn w:val="57"/>
    <w:next w:val="1"/>
    <w:qFormat/>
    <w:uiPriority w:val="0"/>
    <w:pPr>
      <w:tabs>
        <w:tab w:val="left" w:pos="180"/>
      </w:tabs>
      <w:spacing w:before="0" w:line="560" w:lineRule="exact"/>
      <w:ind w:left="0"/>
    </w:pPr>
    <w:rPr>
      <w:rFonts w:eastAsiaTheme="minorEastAsia"/>
      <w:sz w:val="24"/>
      <w:szCs w:val="24"/>
    </w:rPr>
  </w:style>
  <w:style w:type="paragraph" w:customStyle="1" w:styleId="683">
    <w:name w:val="监利正文"/>
    <w:basedOn w:val="1"/>
    <w:next w:val="1"/>
    <w:qFormat/>
    <w:uiPriority w:val="0"/>
    <w:pPr>
      <w:ind w:firstLine="577" w:firstLineChars="200"/>
    </w:pPr>
    <w:rPr>
      <w:rFonts w:ascii="仿宋_GB2312" w:hAnsi="Times New Roman" w:eastAsia="仿宋_GB2312"/>
      <w:color w:val="000000"/>
      <w:sz w:val="28"/>
      <w:szCs w:val="28"/>
    </w:rPr>
  </w:style>
  <w:style w:type="paragraph" w:customStyle="1" w:styleId="684">
    <w:name w:val="样式 监利正文 + 首行缩进:  2 字符"/>
    <w:basedOn w:val="683"/>
    <w:qFormat/>
    <w:uiPriority w:val="0"/>
    <w:rPr>
      <w:rFonts w:cs="宋体"/>
      <w:szCs w:val="20"/>
    </w:rPr>
  </w:style>
  <w:style w:type="paragraph" w:customStyle="1" w:styleId="685">
    <w:name w:val="0(1)"/>
    <w:basedOn w:val="17"/>
    <w:qFormat/>
    <w:uiPriority w:val="0"/>
    <w:pPr>
      <w:tabs>
        <w:tab w:val="left" w:pos="1080"/>
      </w:tabs>
      <w:adjustRightInd w:val="0"/>
      <w:spacing w:line="440" w:lineRule="exact"/>
      <w:ind w:left="720" w:firstLine="0" w:firstLineChars="0"/>
    </w:pPr>
    <w:rPr>
      <w:rFonts w:ascii="Times New Roman"/>
      <w:sz w:val="24"/>
      <w:szCs w:val="24"/>
      <w:u w:color="000000"/>
    </w:rPr>
  </w:style>
  <w:style w:type="paragraph" w:customStyle="1" w:styleId="686">
    <w:name w:val="4正文"/>
    <w:basedOn w:val="1"/>
    <w:qFormat/>
    <w:uiPriority w:val="0"/>
    <w:pPr>
      <w:adjustRightInd w:val="0"/>
      <w:spacing w:line="480" w:lineRule="exact"/>
      <w:ind w:firstLine="560" w:firstLineChars="200"/>
      <w:jc w:val="left"/>
      <w:textAlignment w:val="baseline"/>
    </w:pPr>
    <w:rPr>
      <w:rFonts w:ascii="宋体" w:hAnsi="宋体"/>
      <w:kern w:val="0"/>
      <w:sz w:val="28"/>
      <w:szCs w:val="28"/>
    </w:rPr>
  </w:style>
  <w:style w:type="paragraph" w:customStyle="1" w:styleId="687">
    <w:name w:val="样式 样式 样式 样式 表头4 + 段前: 0.5 行 + 段前: 0.15 行 段后: 0.05 行 + 段前: 0.15 行..."/>
    <w:basedOn w:val="1"/>
    <w:qFormat/>
    <w:uiPriority w:val="0"/>
    <w:pPr>
      <w:spacing w:beforeLines="15" w:afterLines="5" w:line="480" w:lineRule="atLeast"/>
      <w:jc w:val="left"/>
    </w:pPr>
    <w:rPr>
      <w:rFonts w:ascii="Times New Roman" w:hAnsi="Times New Roman" w:cs="宋体"/>
      <w:b/>
      <w:sz w:val="24"/>
      <w:szCs w:val="24"/>
    </w:rPr>
  </w:style>
  <w:style w:type="paragraph" w:customStyle="1" w:styleId="688">
    <w:name w:val="样式 小4居中 +"/>
    <w:basedOn w:val="1"/>
    <w:link w:val="689"/>
    <w:qFormat/>
    <w:uiPriority w:val="0"/>
    <w:pPr>
      <w:snapToGrid w:val="0"/>
      <w:spacing w:beforeLines="15" w:afterLines="15" w:line="320" w:lineRule="atLeast"/>
      <w:jc w:val="center"/>
    </w:pPr>
    <w:rPr>
      <w:rFonts w:ascii="Times New Roman" w:hAnsi="Times New Roman"/>
      <w:kern w:val="0"/>
      <w:sz w:val="24"/>
      <w:szCs w:val="24"/>
    </w:rPr>
  </w:style>
  <w:style w:type="character" w:customStyle="1" w:styleId="689">
    <w:name w:val="样式 小4居中 + Char"/>
    <w:link w:val="688"/>
    <w:qFormat/>
    <w:uiPriority w:val="0"/>
    <w:rPr>
      <w:sz w:val="24"/>
      <w:szCs w:val="24"/>
    </w:rPr>
  </w:style>
  <w:style w:type="character" w:customStyle="1" w:styleId="690">
    <w:name w:val="列表 Char"/>
    <w:qFormat/>
    <w:uiPriority w:val="0"/>
    <w:rPr>
      <w:rFonts w:eastAsia="黑体"/>
      <w:kern w:val="2"/>
      <w:sz w:val="22"/>
      <w:lang w:val="en-US" w:eastAsia="zh-CN"/>
    </w:rPr>
  </w:style>
  <w:style w:type="paragraph" w:customStyle="1" w:styleId="691">
    <w:name w:val="正文表头"/>
    <w:basedOn w:val="1"/>
    <w:qFormat/>
    <w:uiPriority w:val="0"/>
    <w:pPr>
      <w:widowControl/>
      <w:autoSpaceDE w:val="0"/>
      <w:autoSpaceDN w:val="0"/>
      <w:adjustRightInd w:val="0"/>
      <w:spacing w:beforeLines="50" w:afterLines="50" w:line="360" w:lineRule="auto"/>
      <w:jc w:val="center"/>
    </w:pPr>
    <w:rPr>
      <w:rFonts w:ascii="Times New Roman" w:hAnsi="Times New Roman"/>
      <w:b/>
      <w:color w:val="000000"/>
      <w:kern w:val="0"/>
      <w:sz w:val="24"/>
      <w:szCs w:val="24"/>
    </w:rPr>
  </w:style>
  <w:style w:type="paragraph" w:customStyle="1" w:styleId="692">
    <w:name w:val="M表中字体"/>
    <w:qFormat/>
    <w:uiPriority w:val="0"/>
    <w:pPr>
      <w:adjustRightInd w:val="0"/>
      <w:snapToGrid w:val="0"/>
      <w:jc w:val="center"/>
    </w:pPr>
    <w:rPr>
      <w:rFonts w:ascii="Times New Roman" w:hAnsi="Times New Roman" w:eastAsia="宋体" w:cs="Times New Roman"/>
      <w:kern w:val="2"/>
      <w:sz w:val="21"/>
      <w:szCs w:val="21"/>
      <w:lang w:val="en-US" w:eastAsia="zh-CN" w:bidi="ar-SA"/>
    </w:rPr>
  </w:style>
  <w:style w:type="character" w:customStyle="1" w:styleId="693">
    <w:name w:val="书籍标题2"/>
    <w:basedOn w:val="74"/>
    <w:qFormat/>
    <w:uiPriority w:val="33"/>
    <w:rPr>
      <w:b/>
      <w:bCs/>
      <w:smallCaps/>
      <w:spacing w:val="5"/>
    </w:rPr>
  </w:style>
  <w:style w:type="character" w:customStyle="1" w:styleId="694">
    <w:name w:val="表字体 Char"/>
    <w:link w:val="93"/>
    <w:qFormat/>
    <w:uiPriority w:val="0"/>
    <w:rPr>
      <w:kern w:val="2"/>
      <w:sz w:val="21"/>
      <w:szCs w:val="21"/>
    </w:rPr>
  </w:style>
  <w:style w:type="paragraph" w:customStyle="1" w:styleId="695">
    <w:name w:val="报告文本"/>
    <w:basedOn w:val="1"/>
    <w:qFormat/>
    <w:uiPriority w:val="0"/>
    <w:pPr>
      <w:spacing w:line="360" w:lineRule="auto"/>
      <w:ind w:firstLine="200" w:firstLineChars="200"/>
      <w:jc w:val="left"/>
    </w:pPr>
    <w:rPr>
      <w:rFonts w:ascii="Times New Roman" w:hAnsi="Times New Roman"/>
      <w:sz w:val="24"/>
      <w:szCs w:val="22"/>
    </w:rPr>
  </w:style>
  <w:style w:type="character" w:customStyle="1" w:styleId="696">
    <w:name w:val="postbody1"/>
    <w:basedOn w:val="74"/>
    <w:qFormat/>
    <w:uiPriority w:val="0"/>
    <w:rPr>
      <w:sz w:val="21"/>
      <w:szCs w:val="21"/>
    </w:rPr>
  </w:style>
  <w:style w:type="paragraph" w:customStyle="1" w:styleId="697">
    <w:name w:val="表格中文字"/>
    <w:basedOn w:val="1"/>
    <w:qFormat/>
    <w:uiPriority w:val="0"/>
    <w:pPr>
      <w:adjustRightInd w:val="0"/>
      <w:snapToGrid w:val="0"/>
      <w:jc w:val="center"/>
    </w:pPr>
    <w:rPr>
      <w:rFonts w:ascii="Times New Roman" w:hAnsi="Times New Roman"/>
      <w:kern w:val="18"/>
      <w:szCs w:val="21"/>
    </w:rPr>
  </w:style>
  <w:style w:type="paragraph" w:customStyle="1" w:styleId="698">
    <w:name w:val="7表格文字"/>
    <w:basedOn w:val="1"/>
    <w:qFormat/>
    <w:uiPriority w:val="0"/>
    <w:pPr>
      <w:widowControl w:val="0"/>
      <w:spacing w:line="240" w:lineRule="auto"/>
      <w:ind w:firstLine="0" w:firstLineChars="0"/>
      <w:jc w:val="center"/>
    </w:pPr>
    <w:rPr>
      <w:kern w:val="2"/>
      <w:sz w:val="21"/>
      <w:szCs w:val="24"/>
    </w:rPr>
  </w:style>
  <w:style w:type="paragraph" w:customStyle="1" w:styleId="699">
    <w:name w:val="ZX 0 表格文字"/>
    <w:basedOn w:val="1"/>
    <w:qFormat/>
    <w:uiPriority w:val="0"/>
    <w:pPr>
      <w:widowControl/>
      <w:wordWrap w:val="0"/>
      <w:overflowPunct w:val="0"/>
      <w:topLinePunct/>
      <w:spacing w:line="276" w:lineRule="auto"/>
      <w:jc w:val="center"/>
    </w:pPr>
    <w:rPr>
      <w:kern w:val="0"/>
    </w:rPr>
  </w:style>
</w:styles>
</file>

<file path=word/_rels/document.xml.rels><?xml version="1.0" encoding="UTF-8" standalone="yes"?>
<Relationships xmlns="http://schemas.openxmlformats.org/package/2006/relationships"><Relationship Id="rId99" Type="http://schemas.openxmlformats.org/officeDocument/2006/relationships/image" Target="media/image68.wmf"/><Relationship Id="rId98" Type="http://schemas.openxmlformats.org/officeDocument/2006/relationships/image" Target="media/image67.wmf"/><Relationship Id="rId97" Type="http://schemas.openxmlformats.org/officeDocument/2006/relationships/image" Target="media/image66.wmf"/><Relationship Id="rId96" Type="http://schemas.openxmlformats.org/officeDocument/2006/relationships/image" Target="media/image65.wmf"/><Relationship Id="rId95" Type="http://schemas.openxmlformats.org/officeDocument/2006/relationships/image" Target="media/image64.wmf"/><Relationship Id="rId94" Type="http://schemas.openxmlformats.org/officeDocument/2006/relationships/image" Target="media/image63.wmf"/><Relationship Id="rId93" Type="http://schemas.openxmlformats.org/officeDocument/2006/relationships/image" Target="media/image62.wmf"/><Relationship Id="rId92" Type="http://schemas.openxmlformats.org/officeDocument/2006/relationships/image" Target="media/image61.wmf"/><Relationship Id="rId91" Type="http://schemas.openxmlformats.org/officeDocument/2006/relationships/image" Target="media/image60.wmf"/><Relationship Id="rId90" Type="http://schemas.openxmlformats.org/officeDocument/2006/relationships/image" Target="media/image59.wmf"/><Relationship Id="rId9" Type="http://schemas.openxmlformats.org/officeDocument/2006/relationships/footer" Target="footer4.xml"/><Relationship Id="rId89" Type="http://schemas.openxmlformats.org/officeDocument/2006/relationships/image" Target="media/image58.wmf"/><Relationship Id="rId88" Type="http://schemas.openxmlformats.org/officeDocument/2006/relationships/image" Target="media/image57.wmf"/><Relationship Id="rId87" Type="http://schemas.openxmlformats.org/officeDocument/2006/relationships/image" Target="media/image56.wmf"/><Relationship Id="rId86" Type="http://schemas.openxmlformats.org/officeDocument/2006/relationships/image" Target="media/image55.wmf"/><Relationship Id="rId85" Type="http://schemas.openxmlformats.org/officeDocument/2006/relationships/image" Target="media/image54.wmf"/><Relationship Id="rId84" Type="http://schemas.openxmlformats.org/officeDocument/2006/relationships/image" Target="media/image53.wmf"/><Relationship Id="rId83" Type="http://schemas.openxmlformats.org/officeDocument/2006/relationships/image" Target="media/image52.wmf"/><Relationship Id="rId82" Type="http://schemas.openxmlformats.org/officeDocument/2006/relationships/image" Target="media/image51.wmf"/><Relationship Id="rId81" Type="http://schemas.openxmlformats.org/officeDocument/2006/relationships/image" Target="media/image50.wmf"/><Relationship Id="rId80" Type="http://schemas.openxmlformats.org/officeDocument/2006/relationships/image" Target="media/image49.wmf"/><Relationship Id="rId8" Type="http://schemas.openxmlformats.org/officeDocument/2006/relationships/footer" Target="footer3.xml"/><Relationship Id="rId79" Type="http://schemas.openxmlformats.org/officeDocument/2006/relationships/image" Target="media/image48.wmf"/><Relationship Id="rId78" Type="http://schemas.openxmlformats.org/officeDocument/2006/relationships/image" Target="media/image47.wmf"/><Relationship Id="rId77" Type="http://schemas.openxmlformats.org/officeDocument/2006/relationships/image" Target="media/image46.wmf"/><Relationship Id="rId76" Type="http://schemas.openxmlformats.org/officeDocument/2006/relationships/image" Target="media/image45.wmf"/><Relationship Id="rId75" Type="http://schemas.openxmlformats.org/officeDocument/2006/relationships/image" Target="media/image44.wmf"/><Relationship Id="rId74" Type="http://schemas.openxmlformats.org/officeDocument/2006/relationships/image" Target="media/image43.wmf"/><Relationship Id="rId73" Type="http://schemas.openxmlformats.org/officeDocument/2006/relationships/image" Target="media/image42.wmf"/><Relationship Id="rId72" Type="http://schemas.openxmlformats.org/officeDocument/2006/relationships/image" Target="media/image41.wmf"/><Relationship Id="rId71" Type="http://schemas.openxmlformats.org/officeDocument/2006/relationships/image" Target="media/image40.wmf"/><Relationship Id="rId70" Type="http://schemas.openxmlformats.org/officeDocument/2006/relationships/image" Target="media/image39.wmf"/><Relationship Id="rId7" Type="http://schemas.openxmlformats.org/officeDocument/2006/relationships/footer" Target="footer2.xml"/><Relationship Id="rId69" Type="http://schemas.openxmlformats.org/officeDocument/2006/relationships/image" Target="media/image38.wmf"/><Relationship Id="rId68" Type="http://schemas.openxmlformats.org/officeDocument/2006/relationships/image" Target="media/image37.wmf"/><Relationship Id="rId67" Type="http://schemas.openxmlformats.org/officeDocument/2006/relationships/image" Target="media/image36.wmf"/><Relationship Id="rId66" Type="http://schemas.openxmlformats.org/officeDocument/2006/relationships/image" Target="media/image35.wmf"/><Relationship Id="rId65" Type="http://schemas.openxmlformats.org/officeDocument/2006/relationships/image" Target="media/image34.wmf"/><Relationship Id="rId64" Type="http://schemas.openxmlformats.org/officeDocument/2006/relationships/image" Target="media/image33.wmf"/><Relationship Id="rId63" Type="http://schemas.openxmlformats.org/officeDocument/2006/relationships/image" Target="media/image32.wmf"/><Relationship Id="rId62" Type="http://schemas.openxmlformats.org/officeDocument/2006/relationships/image" Target="media/image31.wmf"/><Relationship Id="rId61" Type="http://schemas.openxmlformats.org/officeDocument/2006/relationships/image" Target="media/image30.wmf"/><Relationship Id="rId60" Type="http://schemas.openxmlformats.org/officeDocument/2006/relationships/image" Target="media/image29.wmf"/><Relationship Id="rId6" Type="http://schemas.openxmlformats.org/officeDocument/2006/relationships/footer" Target="footer1.xml"/><Relationship Id="rId59" Type="http://schemas.openxmlformats.org/officeDocument/2006/relationships/image" Target="media/image28.wmf"/><Relationship Id="rId58" Type="http://schemas.openxmlformats.org/officeDocument/2006/relationships/image" Target="media/image27.wmf"/><Relationship Id="rId57" Type="http://schemas.openxmlformats.org/officeDocument/2006/relationships/image" Target="media/image26.wmf"/><Relationship Id="rId56" Type="http://schemas.openxmlformats.org/officeDocument/2006/relationships/image" Target="media/image25.wmf"/><Relationship Id="rId55" Type="http://schemas.openxmlformats.org/officeDocument/2006/relationships/image" Target="media/image24.jpeg"/><Relationship Id="rId54" Type="http://schemas.openxmlformats.org/officeDocument/2006/relationships/image" Target="media/image23.jpeg"/><Relationship Id="rId53" Type="http://schemas.openxmlformats.org/officeDocument/2006/relationships/image" Target="media/image22.jpeg"/><Relationship Id="rId52" Type="http://schemas.openxmlformats.org/officeDocument/2006/relationships/image" Target="media/image21.jpeg"/><Relationship Id="rId51" Type="http://schemas.openxmlformats.org/officeDocument/2006/relationships/image" Target="media/image20.png"/><Relationship Id="rId50" Type="http://schemas.openxmlformats.org/officeDocument/2006/relationships/image" Target="media/image19.wmf"/><Relationship Id="rId5" Type="http://schemas.openxmlformats.org/officeDocument/2006/relationships/header" Target="header1.xml"/><Relationship Id="rId49" Type="http://schemas.openxmlformats.org/officeDocument/2006/relationships/oleObject" Target="embeddings/oleObject8.bin"/><Relationship Id="rId48" Type="http://schemas.openxmlformats.org/officeDocument/2006/relationships/image" Target="media/image18.emf"/><Relationship Id="rId47" Type="http://schemas.openxmlformats.org/officeDocument/2006/relationships/oleObject" Target="embeddings/oleObject7.bin"/><Relationship Id="rId46" Type="http://schemas.openxmlformats.org/officeDocument/2006/relationships/image" Target="media/image17.wmf"/><Relationship Id="rId45" Type="http://schemas.openxmlformats.org/officeDocument/2006/relationships/oleObject" Target="embeddings/oleObject6.bin"/><Relationship Id="rId44" Type="http://schemas.openxmlformats.org/officeDocument/2006/relationships/image" Target="media/image16.wmf"/><Relationship Id="rId43" Type="http://schemas.openxmlformats.org/officeDocument/2006/relationships/oleObject" Target="embeddings/oleObject5.bin"/><Relationship Id="rId42" Type="http://schemas.openxmlformats.org/officeDocument/2006/relationships/image" Target="media/image15.png"/><Relationship Id="rId41" Type="http://schemas.openxmlformats.org/officeDocument/2006/relationships/image" Target="media/image14.wmf"/><Relationship Id="rId40" Type="http://schemas.openxmlformats.org/officeDocument/2006/relationships/oleObject" Target="embeddings/oleObject4.bin"/><Relationship Id="rId4" Type="http://schemas.openxmlformats.org/officeDocument/2006/relationships/endnotes" Target="endnotes.xml"/><Relationship Id="rId39" Type="http://schemas.openxmlformats.org/officeDocument/2006/relationships/image" Target="media/image13.emf"/><Relationship Id="rId38" Type="http://schemas.openxmlformats.org/officeDocument/2006/relationships/oleObject" Target="embeddings/oleObject3.bin"/><Relationship Id="rId37" Type="http://schemas.openxmlformats.org/officeDocument/2006/relationships/image" Target="media/image12.emf"/><Relationship Id="rId36" Type="http://schemas.openxmlformats.org/officeDocument/2006/relationships/oleObject" Target="embeddings/oleObject2.bin"/><Relationship Id="rId35" Type="http://schemas.openxmlformats.org/officeDocument/2006/relationships/image" Target="media/image11.png"/><Relationship Id="rId34" Type="http://schemas.openxmlformats.org/officeDocument/2006/relationships/image" Target="media/image10.emf"/><Relationship Id="rId33" Type="http://schemas.openxmlformats.org/officeDocument/2006/relationships/oleObject" Target="embeddings/oleObject1.bin"/><Relationship Id="rId32" Type="http://schemas.openxmlformats.org/officeDocument/2006/relationships/image" Target="media/image9.png"/><Relationship Id="rId31" Type="http://schemas.openxmlformats.org/officeDocument/2006/relationships/image" Target="media/image8.png"/><Relationship Id="rId30" Type="http://schemas.openxmlformats.org/officeDocument/2006/relationships/image" Target="media/image7.jpeg"/><Relationship Id="rId3" Type="http://schemas.openxmlformats.org/officeDocument/2006/relationships/footnotes" Target="footnotes.xml"/><Relationship Id="rId29" Type="http://schemas.openxmlformats.org/officeDocument/2006/relationships/image" Target="media/image6.png"/><Relationship Id="rId28" Type="http://schemas.openxmlformats.org/officeDocument/2006/relationships/image" Target="media/image5.png"/><Relationship Id="rId27" Type="http://schemas.openxmlformats.org/officeDocument/2006/relationships/image" Target="media/image4.jpeg"/><Relationship Id="rId26" Type="http://schemas.openxmlformats.org/officeDocument/2006/relationships/image" Target="media/image3.jpeg"/><Relationship Id="rId25" Type="http://schemas.openxmlformats.org/officeDocument/2006/relationships/image" Target="media/image2.jpeg"/><Relationship Id="rId24" Type="http://schemas.openxmlformats.org/officeDocument/2006/relationships/image" Target="media/image1.jpeg"/><Relationship Id="rId23" Type="http://schemas.openxmlformats.org/officeDocument/2006/relationships/theme" Target="theme/theme1.xml"/><Relationship Id="rId22" Type="http://schemas.openxmlformats.org/officeDocument/2006/relationships/header" Target="header10.xml"/><Relationship Id="rId21" Type="http://schemas.openxmlformats.org/officeDocument/2006/relationships/header" Target="header9.xml"/><Relationship Id="rId20" Type="http://schemas.openxmlformats.org/officeDocument/2006/relationships/header" Target="header8.xml"/><Relationship Id="rId2" Type="http://schemas.openxmlformats.org/officeDocument/2006/relationships/settings" Target="settings.xml"/><Relationship Id="rId193" Type="http://schemas.openxmlformats.org/officeDocument/2006/relationships/fontTable" Target="fontTable.xml"/><Relationship Id="rId192" Type="http://schemas.openxmlformats.org/officeDocument/2006/relationships/customXml" Target="../customXml/item2.xml"/><Relationship Id="rId191" Type="http://schemas.openxmlformats.org/officeDocument/2006/relationships/numbering" Target="numbering.xml"/><Relationship Id="rId190" Type="http://schemas.openxmlformats.org/officeDocument/2006/relationships/customXml" Target="../customXml/item1.xml"/><Relationship Id="rId19" Type="http://schemas.openxmlformats.org/officeDocument/2006/relationships/footer" Target="footer8.xml"/><Relationship Id="rId189" Type="http://schemas.openxmlformats.org/officeDocument/2006/relationships/image" Target="media/image154.jpeg"/><Relationship Id="rId188" Type="http://schemas.openxmlformats.org/officeDocument/2006/relationships/image" Target="media/image153.png"/><Relationship Id="rId187" Type="http://schemas.openxmlformats.org/officeDocument/2006/relationships/image" Target="media/image152.png"/><Relationship Id="rId186" Type="http://schemas.openxmlformats.org/officeDocument/2006/relationships/image" Target="media/image151.png"/><Relationship Id="rId185" Type="http://schemas.openxmlformats.org/officeDocument/2006/relationships/image" Target="media/image150.png"/><Relationship Id="rId184" Type="http://schemas.openxmlformats.org/officeDocument/2006/relationships/image" Target="media/image149.png"/><Relationship Id="rId183" Type="http://schemas.openxmlformats.org/officeDocument/2006/relationships/image" Target="media/image148.png"/><Relationship Id="rId182" Type="http://schemas.openxmlformats.org/officeDocument/2006/relationships/image" Target="media/image147.png"/><Relationship Id="rId181" Type="http://schemas.openxmlformats.org/officeDocument/2006/relationships/oleObject" Target="embeddings/oleObject12.bin"/><Relationship Id="rId180" Type="http://schemas.openxmlformats.org/officeDocument/2006/relationships/oleObject" Target="embeddings/oleObject11.bin"/><Relationship Id="rId18" Type="http://schemas.openxmlformats.org/officeDocument/2006/relationships/footer" Target="footer7.xml"/><Relationship Id="rId179" Type="http://schemas.openxmlformats.org/officeDocument/2006/relationships/image" Target="media/image146.wmf"/><Relationship Id="rId178" Type="http://schemas.openxmlformats.org/officeDocument/2006/relationships/image" Target="media/image145.wmf"/><Relationship Id="rId177" Type="http://schemas.openxmlformats.org/officeDocument/2006/relationships/oleObject" Target="embeddings/oleObject10.bin"/><Relationship Id="rId176" Type="http://schemas.openxmlformats.org/officeDocument/2006/relationships/image" Target="media/image144.wmf"/><Relationship Id="rId175" Type="http://schemas.openxmlformats.org/officeDocument/2006/relationships/oleObject" Target="embeddings/oleObject9.bin"/><Relationship Id="rId174" Type="http://schemas.openxmlformats.org/officeDocument/2006/relationships/image" Target="media/image143.wmf"/><Relationship Id="rId173" Type="http://schemas.openxmlformats.org/officeDocument/2006/relationships/image" Target="media/image142.png"/><Relationship Id="rId172" Type="http://schemas.openxmlformats.org/officeDocument/2006/relationships/image" Target="media/image141.png"/><Relationship Id="rId171" Type="http://schemas.openxmlformats.org/officeDocument/2006/relationships/image" Target="media/image140.png"/><Relationship Id="rId170" Type="http://schemas.openxmlformats.org/officeDocument/2006/relationships/image" Target="media/image139.png"/><Relationship Id="rId17" Type="http://schemas.openxmlformats.org/officeDocument/2006/relationships/header" Target="header7.xml"/><Relationship Id="rId169" Type="http://schemas.openxmlformats.org/officeDocument/2006/relationships/image" Target="media/image138.png"/><Relationship Id="rId168" Type="http://schemas.openxmlformats.org/officeDocument/2006/relationships/image" Target="media/image137.png"/><Relationship Id="rId167" Type="http://schemas.openxmlformats.org/officeDocument/2006/relationships/image" Target="media/image136.png"/><Relationship Id="rId166" Type="http://schemas.openxmlformats.org/officeDocument/2006/relationships/image" Target="media/image135.png"/><Relationship Id="rId165" Type="http://schemas.openxmlformats.org/officeDocument/2006/relationships/image" Target="media/image134.png"/><Relationship Id="rId164" Type="http://schemas.openxmlformats.org/officeDocument/2006/relationships/image" Target="media/image133.png"/><Relationship Id="rId163" Type="http://schemas.openxmlformats.org/officeDocument/2006/relationships/image" Target="media/image132.wmf"/><Relationship Id="rId162" Type="http://schemas.openxmlformats.org/officeDocument/2006/relationships/image" Target="media/image131.wmf"/><Relationship Id="rId161" Type="http://schemas.openxmlformats.org/officeDocument/2006/relationships/image" Target="media/image130.wmf"/><Relationship Id="rId160" Type="http://schemas.openxmlformats.org/officeDocument/2006/relationships/image" Target="media/image129.wmf"/><Relationship Id="rId16" Type="http://schemas.openxmlformats.org/officeDocument/2006/relationships/footer" Target="footer6.xml"/><Relationship Id="rId159" Type="http://schemas.openxmlformats.org/officeDocument/2006/relationships/image" Target="media/image128.wmf"/><Relationship Id="rId158" Type="http://schemas.openxmlformats.org/officeDocument/2006/relationships/image" Target="media/image127.wmf"/><Relationship Id="rId157" Type="http://schemas.openxmlformats.org/officeDocument/2006/relationships/image" Target="media/image126.wmf"/><Relationship Id="rId156" Type="http://schemas.openxmlformats.org/officeDocument/2006/relationships/image" Target="media/image125.wmf"/><Relationship Id="rId155" Type="http://schemas.openxmlformats.org/officeDocument/2006/relationships/image" Target="media/image124.wmf"/><Relationship Id="rId154" Type="http://schemas.openxmlformats.org/officeDocument/2006/relationships/image" Target="media/image123.wmf"/><Relationship Id="rId153" Type="http://schemas.openxmlformats.org/officeDocument/2006/relationships/image" Target="media/image122.wmf"/><Relationship Id="rId152" Type="http://schemas.openxmlformats.org/officeDocument/2006/relationships/image" Target="media/image121.wmf"/><Relationship Id="rId151" Type="http://schemas.openxmlformats.org/officeDocument/2006/relationships/image" Target="media/image120.wmf"/><Relationship Id="rId150" Type="http://schemas.openxmlformats.org/officeDocument/2006/relationships/image" Target="media/image119.wmf"/><Relationship Id="rId15" Type="http://schemas.openxmlformats.org/officeDocument/2006/relationships/header" Target="header6.xml"/><Relationship Id="rId149" Type="http://schemas.openxmlformats.org/officeDocument/2006/relationships/image" Target="media/image118.wmf"/><Relationship Id="rId148" Type="http://schemas.openxmlformats.org/officeDocument/2006/relationships/image" Target="media/image117.wmf"/><Relationship Id="rId147" Type="http://schemas.openxmlformats.org/officeDocument/2006/relationships/image" Target="media/image116.wmf"/><Relationship Id="rId146" Type="http://schemas.openxmlformats.org/officeDocument/2006/relationships/image" Target="media/image115.wmf"/><Relationship Id="rId145" Type="http://schemas.openxmlformats.org/officeDocument/2006/relationships/image" Target="media/image114.wmf"/><Relationship Id="rId144" Type="http://schemas.openxmlformats.org/officeDocument/2006/relationships/image" Target="media/image113.wmf"/><Relationship Id="rId143" Type="http://schemas.openxmlformats.org/officeDocument/2006/relationships/image" Target="media/image112.wmf"/><Relationship Id="rId142" Type="http://schemas.openxmlformats.org/officeDocument/2006/relationships/image" Target="media/image111.wmf"/><Relationship Id="rId141" Type="http://schemas.openxmlformats.org/officeDocument/2006/relationships/image" Target="media/image110.wmf"/><Relationship Id="rId140" Type="http://schemas.openxmlformats.org/officeDocument/2006/relationships/image" Target="media/image109.wmf"/><Relationship Id="rId14" Type="http://schemas.openxmlformats.org/officeDocument/2006/relationships/header" Target="header5.xml"/><Relationship Id="rId139" Type="http://schemas.openxmlformats.org/officeDocument/2006/relationships/image" Target="media/image108.wmf"/><Relationship Id="rId138" Type="http://schemas.openxmlformats.org/officeDocument/2006/relationships/image" Target="media/image107.wmf"/><Relationship Id="rId137" Type="http://schemas.openxmlformats.org/officeDocument/2006/relationships/image" Target="media/image106.wmf"/><Relationship Id="rId136" Type="http://schemas.openxmlformats.org/officeDocument/2006/relationships/image" Target="media/image105.wmf"/><Relationship Id="rId135" Type="http://schemas.openxmlformats.org/officeDocument/2006/relationships/image" Target="media/image104.wmf"/><Relationship Id="rId134" Type="http://schemas.openxmlformats.org/officeDocument/2006/relationships/image" Target="media/image103.wmf"/><Relationship Id="rId133" Type="http://schemas.openxmlformats.org/officeDocument/2006/relationships/image" Target="media/image102.wmf"/><Relationship Id="rId132" Type="http://schemas.openxmlformats.org/officeDocument/2006/relationships/image" Target="media/image101.wmf"/><Relationship Id="rId131" Type="http://schemas.openxmlformats.org/officeDocument/2006/relationships/image" Target="media/image100.wmf"/><Relationship Id="rId130" Type="http://schemas.openxmlformats.org/officeDocument/2006/relationships/image" Target="media/image99.wmf"/><Relationship Id="rId13" Type="http://schemas.openxmlformats.org/officeDocument/2006/relationships/footer" Target="footer5.xml"/><Relationship Id="rId129" Type="http://schemas.openxmlformats.org/officeDocument/2006/relationships/image" Target="media/image98.wmf"/><Relationship Id="rId128" Type="http://schemas.openxmlformats.org/officeDocument/2006/relationships/image" Target="media/image97.wmf"/><Relationship Id="rId127" Type="http://schemas.openxmlformats.org/officeDocument/2006/relationships/image" Target="media/image96.wmf"/><Relationship Id="rId126" Type="http://schemas.openxmlformats.org/officeDocument/2006/relationships/image" Target="media/image95.wmf"/><Relationship Id="rId125" Type="http://schemas.openxmlformats.org/officeDocument/2006/relationships/image" Target="media/image94.wmf"/><Relationship Id="rId124" Type="http://schemas.openxmlformats.org/officeDocument/2006/relationships/image" Target="media/image93.wmf"/><Relationship Id="rId123" Type="http://schemas.openxmlformats.org/officeDocument/2006/relationships/image" Target="media/image92.wmf"/><Relationship Id="rId122" Type="http://schemas.openxmlformats.org/officeDocument/2006/relationships/image" Target="media/image91.wmf"/><Relationship Id="rId121" Type="http://schemas.openxmlformats.org/officeDocument/2006/relationships/image" Target="media/image90.wmf"/><Relationship Id="rId120" Type="http://schemas.openxmlformats.org/officeDocument/2006/relationships/image" Target="media/image89.wmf"/><Relationship Id="rId12" Type="http://schemas.openxmlformats.org/officeDocument/2006/relationships/header" Target="header4.xml"/><Relationship Id="rId119" Type="http://schemas.openxmlformats.org/officeDocument/2006/relationships/image" Target="media/image88.wmf"/><Relationship Id="rId118" Type="http://schemas.openxmlformats.org/officeDocument/2006/relationships/image" Target="media/image87.wmf"/><Relationship Id="rId117" Type="http://schemas.openxmlformats.org/officeDocument/2006/relationships/image" Target="media/image86.wmf"/><Relationship Id="rId116" Type="http://schemas.openxmlformats.org/officeDocument/2006/relationships/image" Target="media/image85.wmf"/><Relationship Id="rId115" Type="http://schemas.openxmlformats.org/officeDocument/2006/relationships/image" Target="media/image84.wmf"/><Relationship Id="rId114" Type="http://schemas.openxmlformats.org/officeDocument/2006/relationships/image" Target="media/image83.wmf"/><Relationship Id="rId113" Type="http://schemas.openxmlformats.org/officeDocument/2006/relationships/image" Target="media/image82.wmf"/><Relationship Id="rId112" Type="http://schemas.openxmlformats.org/officeDocument/2006/relationships/image" Target="media/image81.wmf"/><Relationship Id="rId111" Type="http://schemas.openxmlformats.org/officeDocument/2006/relationships/image" Target="media/image80.wmf"/><Relationship Id="rId110" Type="http://schemas.openxmlformats.org/officeDocument/2006/relationships/image" Target="media/image79.wmf"/><Relationship Id="rId11" Type="http://schemas.openxmlformats.org/officeDocument/2006/relationships/header" Target="header3.xml"/><Relationship Id="rId109" Type="http://schemas.openxmlformats.org/officeDocument/2006/relationships/image" Target="media/image78.wmf"/><Relationship Id="rId108" Type="http://schemas.openxmlformats.org/officeDocument/2006/relationships/image" Target="media/image77.wmf"/><Relationship Id="rId107" Type="http://schemas.openxmlformats.org/officeDocument/2006/relationships/image" Target="media/image76.wmf"/><Relationship Id="rId106" Type="http://schemas.openxmlformats.org/officeDocument/2006/relationships/image" Target="media/image75.wmf"/><Relationship Id="rId105" Type="http://schemas.openxmlformats.org/officeDocument/2006/relationships/image" Target="media/image74.wmf"/><Relationship Id="rId104" Type="http://schemas.openxmlformats.org/officeDocument/2006/relationships/image" Target="media/image73.wmf"/><Relationship Id="rId103" Type="http://schemas.openxmlformats.org/officeDocument/2006/relationships/image" Target="media/image72.wmf"/><Relationship Id="rId102" Type="http://schemas.openxmlformats.org/officeDocument/2006/relationships/image" Target="media/image71.wmf"/><Relationship Id="rId101" Type="http://schemas.openxmlformats.org/officeDocument/2006/relationships/image" Target="media/image70.wmf"/><Relationship Id="rId100" Type="http://schemas.openxmlformats.org/officeDocument/2006/relationships/image" Target="media/image69.wmf"/><Relationship Id="rId10" Type="http://schemas.openxmlformats.org/officeDocument/2006/relationships/header" Target="header2.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00A83F1-6BA7-4AAB-973B-BE042FDB6F21}">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219</Pages>
  <Words>133545</Words>
  <Characters>151022</Characters>
  <Lines>279</Lines>
  <Paragraphs>349</Paragraphs>
  <TotalTime>184</TotalTime>
  <ScaleCrop>false</ScaleCrop>
  <LinksUpToDate>false</LinksUpToDate>
  <CharactersWithSpaces>153039</CharactersWithSpaces>
  <Application>WPS Office_11.1.0.11691_F1E327BC-269C-435d-A152-05C5408002CA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2020-04-24T09:41:00Z</dcterms:created>
  <dc:creator>微软用户</dc:creator>
  <cp:lastModifiedBy>珊珊</cp:lastModifiedBy>
  <cp:lastPrinted>2022-05-13T02:58:49Z</cp:lastPrinted>
  <dcterms:modified xsi:type="dcterms:W3CDTF">2022-05-13T06:10:46Z</dcterms:modified>
  <cp:revision>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2052-11.1.0.11691</vt:lpwstr>
  </property>
  <property fmtid="{D5CDD505-2E9C-101B-9397-08002B2CF9AE}" pid="3" name="ICV">
    <vt:lpwstr>C0DD9CA49966492DB345B291C90B8EB7</vt:lpwstr>
  </property>
</Properties>
</file>